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76" w:lineRule="auto"/>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02">
      <w:pPr>
        <w:shd w:fill="ffffff" w:val="clear"/>
        <w:spacing w:after="280" w:line="276" w:lineRule="auto"/>
        <w:rPr/>
      </w:pPr>
      <w:r w:rsidDel="00000000" w:rsidR="00000000" w:rsidRPr="00000000">
        <w:rPr>
          <w:rFonts w:ascii="Arial" w:cs="Arial" w:eastAsia="Arial" w:hAnsi="Arial"/>
          <w:color w:val="212529"/>
          <w:sz w:val="20"/>
          <w:szCs w:val="20"/>
          <w:rtl w:val="0"/>
        </w:rPr>
        <w:t xml:space="preserve">Stockholm onsdagen den 12 februari 2025</w:t>
      </w:r>
      <w:r w:rsidDel="00000000" w:rsidR="00000000" w:rsidRPr="00000000">
        <w:rPr>
          <w:rtl w:val="0"/>
        </w:rPr>
      </w:r>
    </w:p>
    <w:p w:rsidR="00000000" w:rsidDel="00000000" w:rsidP="00000000" w:rsidRDefault="00000000" w:rsidRPr="00000000" w14:paraId="00000003">
      <w:pPr>
        <w:spacing w:after="240" w:before="240" w:lineRule="auto"/>
        <w:rPr>
          <w:rFonts w:ascii="Helvetica Neue" w:cs="Helvetica Neue" w:eastAsia="Helvetica Neue" w:hAnsi="Helvetica Neue"/>
          <w:b w:val="1"/>
          <w:sz w:val="21"/>
          <w:szCs w:val="21"/>
        </w:rPr>
      </w:pPr>
      <w:r w:rsidDel="00000000" w:rsidR="00000000" w:rsidRPr="00000000">
        <w:rPr>
          <w:rFonts w:ascii="Arial" w:cs="Arial" w:eastAsia="Arial" w:hAnsi="Arial"/>
          <w:b w:val="1"/>
          <w:color w:val="212529"/>
          <w:sz w:val="30"/>
          <w:szCs w:val="30"/>
          <w:rtl w:val="0"/>
        </w:rPr>
        <w:t xml:space="preserve">Bästa arbetsplatserna i Sverige - de toppar listan</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Fonts w:ascii="Helvetica Neue" w:cs="Helvetica Neue" w:eastAsia="Helvetica Neue" w:hAnsi="Helvetica Neue"/>
          <w:b w:val="1"/>
          <w:sz w:val="21"/>
          <w:szCs w:val="21"/>
          <w:rtl w:val="0"/>
        </w:rPr>
        <w:t xml:space="preserve">Vilka arbetsplatser är bäst i landet enligt medarbetarna själva? Svaret är Svenskt Näringsliv, Länsförsäkringar, Natur &amp; Kultur, Thomas Concrete Group och Åke Sundvall. Det visar en stor kartläggning från undersöknings- och analysbolaget Brilliant Future som bygger på mer än 250 000 svar från medarbetarundersökningar.</w:t>
      </w:r>
      <w:r w:rsidDel="00000000" w:rsidR="00000000" w:rsidRPr="00000000">
        <w:rPr>
          <w:rtl w:val="0"/>
        </w:rPr>
      </w:r>
    </w:p>
    <w:p w:rsidR="00000000" w:rsidDel="00000000" w:rsidP="00000000" w:rsidRDefault="00000000" w:rsidRPr="00000000" w14:paraId="00000005">
      <w:pP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Förutom vilka arbetsplatser i landet som medarbetarna tycker är bäst visar undersökningen också vad det är som gör att organisationerna sticker ut. Det som kännetecknar de bästa arbetsplatserna är framför allt en tydlig och bra kommunikation från ledningen. Det innefattar att ledningsgruppen förmedlar en tydlig bild av organisationens framtida riktning, är bra på att kommunicera internt, leder organisationen på ett bra sätt och att organisationen utvecklas för att möta omvärldens förändringar. Att medarbetarna känner till och kan identifiera sig med organisationens värderingar är också en av de faktorer som skapar allra mest engagemang bland medarbetarna. </w:t>
      </w:r>
    </w:p>
    <w:p w:rsidR="00000000" w:rsidDel="00000000" w:rsidP="00000000" w:rsidRDefault="00000000" w:rsidRPr="00000000" w14:paraId="00000006">
      <w:pPr>
        <w:spacing w:after="240" w:before="240" w:lineRule="auto"/>
        <w:rPr>
          <w:rFonts w:ascii="Arial" w:cs="Arial" w:eastAsia="Arial" w:hAnsi="Arial"/>
          <w:color w:val="333333"/>
          <w:sz w:val="21"/>
          <w:szCs w:val="21"/>
        </w:rPr>
      </w:pPr>
      <w:r w:rsidDel="00000000" w:rsidR="00000000" w:rsidRPr="00000000">
        <w:rPr>
          <w:rFonts w:ascii="Arial" w:cs="Arial" w:eastAsia="Arial" w:hAnsi="Arial"/>
          <w:i w:val="1"/>
          <w:color w:val="333333"/>
          <w:sz w:val="21"/>
          <w:szCs w:val="21"/>
          <w:rtl w:val="0"/>
        </w:rPr>
        <w:t xml:space="preserve">–  Undersökningen visar tydligt vad som skapar störst medarbetarengagemang. Och medarbetarnas engagemang påverkar ju också kundupplevelsen. Våra löpande undersökningar visar att de organisationer som har mest engagerade medarbetare även har flest lojala kunder. Det är därför det är så viktigt att göra sådana här mätningar och agera på resultatet. Att ta datadrivna beslut för att lyckas med förbättringar. Det finns bara vinster med det,</w:t>
      </w:r>
      <w:r w:rsidDel="00000000" w:rsidR="00000000" w:rsidRPr="00000000">
        <w:rPr>
          <w:rFonts w:ascii="Arial" w:cs="Arial" w:eastAsia="Arial" w:hAnsi="Arial"/>
          <w:color w:val="333333"/>
          <w:sz w:val="21"/>
          <w:szCs w:val="21"/>
          <w:rtl w:val="0"/>
        </w:rPr>
        <w:t xml:space="preserve"> säger Ulrika Jonsson, vd för Brilliant Future.</w:t>
      </w:r>
    </w:p>
    <w:p w:rsidR="00000000" w:rsidDel="00000000" w:rsidP="00000000" w:rsidRDefault="00000000" w:rsidRPr="00000000" w14:paraId="00000007">
      <w:pPr>
        <w:spacing w:after="120" w:before="200" w:line="276" w:lineRule="auto"/>
        <w:rPr>
          <w:rFonts w:ascii="Times New Roman" w:cs="Times New Roman" w:eastAsia="Times New Roman" w:hAnsi="Times New Roman"/>
          <w:sz w:val="21"/>
          <w:szCs w:val="21"/>
        </w:rPr>
      </w:pPr>
      <w:r w:rsidDel="00000000" w:rsidR="00000000" w:rsidRPr="00000000">
        <w:rPr>
          <w:rFonts w:ascii="Arial" w:cs="Arial" w:eastAsia="Arial" w:hAnsi="Arial"/>
          <w:b w:val="1"/>
          <w:color w:val="333333"/>
          <w:sz w:val="21"/>
          <w:szCs w:val="21"/>
          <w:rtl w:val="0"/>
        </w:rPr>
        <w:t xml:space="preserve">Hela listan - bästa arbetsplatserna:</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Bygg, tillverkning och industri</w:t>
      </w:r>
      <w:r w:rsidDel="00000000" w:rsidR="00000000" w:rsidRPr="00000000">
        <w:rPr>
          <w:rFonts w:ascii="Times New Roman" w:cs="Times New Roman" w:eastAsia="Times New Roman" w:hAnsi="Times New Roman"/>
          <w:sz w:val="21"/>
          <w:szCs w:val="21"/>
          <w:rtl w:val="0"/>
        </w:rPr>
        <w:br w:type="textWrapping"/>
      </w:r>
      <w:r w:rsidDel="00000000" w:rsidR="00000000" w:rsidRPr="00000000">
        <w:rPr>
          <w:rFonts w:ascii="Arial" w:cs="Arial" w:eastAsia="Arial" w:hAnsi="Arial"/>
          <w:color w:val="333333"/>
          <w:sz w:val="21"/>
          <w:szCs w:val="21"/>
          <w:rtl w:val="0"/>
        </w:rPr>
        <w:t xml:space="preserve">1. Thomas Concrete Group</w:t>
        <w:br w:type="textWrapping"/>
        <w:t xml:space="preserve">2. Nederman Group</w:t>
        <w:br w:type="textWrapping"/>
        <w:t xml:space="preserve">3. BRA Bygg</w:t>
      </w:r>
    </w:p>
    <w:p w:rsidR="00000000" w:rsidDel="00000000" w:rsidP="00000000" w:rsidRDefault="00000000" w:rsidRPr="00000000" w14:paraId="00000009">
      <w:pPr>
        <w:spacing w:line="276"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Serviceorganisationer</w:t>
      </w:r>
      <w:r w:rsidDel="00000000" w:rsidR="00000000" w:rsidRPr="00000000">
        <w:rPr>
          <w:rFonts w:ascii="Times New Roman" w:cs="Times New Roman" w:eastAsia="Times New Roman" w:hAnsi="Times New Roman"/>
          <w:sz w:val="21"/>
          <w:szCs w:val="21"/>
          <w:rtl w:val="0"/>
        </w:rPr>
        <w:br w:type="textWrapping"/>
      </w:r>
      <w:r w:rsidDel="00000000" w:rsidR="00000000" w:rsidRPr="00000000">
        <w:rPr>
          <w:rFonts w:ascii="Arial" w:cs="Arial" w:eastAsia="Arial" w:hAnsi="Arial"/>
          <w:color w:val="333333"/>
          <w:sz w:val="21"/>
          <w:szCs w:val="21"/>
          <w:rtl w:val="0"/>
        </w:rPr>
        <w:t xml:space="preserve">1. Natur &amp; Kultur</w:t>
        <w:br w:type="textWrapping"/>
        <w:t xml:space="preserve">2. Hemsö</w:t>
        <w:br w:type="textWrapping"/>
        <w:t xml:space="preserve">3. Vasakronan</w:t>
      </w:r>
    </w:p>
    <w:p w:rsidR="00000000" w:rsidDel="00000000" w:rsidP="00000000" w:rsidRDefault="00000000" w:rsidRPr="00000000" w14:paraId="0000000A">
      <w:pPr>
        <w:spacing w:line="276"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Tjänsteorganisationer</w:t>
      </w:r>
      <w:r w:rsidDel="00000000" w:rsidR="00000000" w:rsidRPr="00000000">
        <w:rPr>
          <w:rFonts w:ascii="Times New Roman" w:cs="Times New Roman" w:eastAsia="Times New Roman" w:hAnsi="Times New Roman"/>
          <w:sz w:val="21"/>
          <w:szCs w:val="21"/>
          <w:rtl w:val="0"/>
        </w:rPr>
        <w:br w:type="textWrapping"/>
      </w:r>
      <w:r w:rsidDel="00000000" w:rsidR="00000000" w:rsidRPr="00000000">
        <w:rPr>
          <w:rFonts w:ascii="Arial" w:cs="Arial" w:eastAsia="Arial" w:hAnsi="Arial"/>
          <w:color w:val="333333"/>
          <w:sz w:val="21"/>
          <w:szCs w:val="21"/>
          <w:rtl w:val="0"/>
        </w:rPr>
        <w:t xml:space="preserve">1. Svenskt Näringsliv</w:t>
        <w:br w:type="textWrapping"/>
        <w:t xml:space="preserve">2. Länsförsäkringar Stockholm</w:t>
        <w:br w:type="textWrapping"/>
        <w:t xml:space="preserve">3. Länsförsäkringar Bergslagen</w:t>
        <w:br w:type="textWrapping"/>
        <w:br w:type="textWrapping"/>
      </w:r>
      <w:r w:rsidDel="00000000" w:rsidR="00000000" w:rsidRPr="00000000">
        <w:rPr>
          <w:rFonts w:ascii="Arial" w:cs="Arial" w:eastAsia="Arial" w:hAnsi="Arial"/>
          <w:b w:val="1"/>
          <w:color w:val="333333"/>
          <w:sz w:val="21"/>
          <w:szCs w:val="21"/>
          <w:rtl w:val="0"/>
        </w:rPr>
        <w:t xml:space="preserve">Organisationer med upp till 100 anställda</w:t>
      </w:r>
      <w:r w:rsidDel="00000000" w:rsidR="00000000" w:rsidRPr="00000000">
        <w:rPr>
          <w:rFonts w:ascii="Arial" w:cs="Arial" w:eastAsia="Arial" w:hAnsi="Arial"/>
          <w:color w:val="333333"/>
          <w:sz w:val="21"/>
          <w:szCs w:val="21"/>
          <w:rtl w:val="0"/>
        </w:rPr>
        <w:br w:type="textWrapping"/>
        <w:t xml:space="preserve">1. Åke Sundvall</w:t>
        <w:br w:type="textWrapping"/>
        <w:t xml:space="preserve">2. Sparbanken Västra Mälardalen</w:t>
        <w:br w:type="textWrapping"/>
        <w:t xml:space="preserve">3. Länsförsäkringar Gotland</w:t>
      </w:r>
    </w:p>
    <w:p w:rsidR="00000000" w:rsidDel="00000000" w:rsidP="00000000" w:rsidRDefault="00000000" w:rsidRPr="00000000" w14:paraId="0000000B">
      <w:pPr>
        <w:spacing w:line="276" w:lineRule="auto"/>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Organisationer med upp till 30 anställda</w:t>
      </w:r>
      <w:r w:rsidDel="00000000" w:rsidR="00000000" w:rsidRPr="00000000">
        <w:rPr>
          <w:rFonts w:ascii="Arial" w:cs="Arial" w:eastAsia="Arial" w:hAnsi="Arial"/>
          <w:color w:val="333333"/>
          <w:sz w:val="21"/>
          <w:szCs w:val="21"/>
          <w:rtl w:val="0"/>
        </w:rPr>
        <w:br w:type="textWrapping"/>
        <w:t xml:space="preserve">1. Bergendal och Swedish Orient Line (delad förstaplats)</w:t>
        <w:br w:type="textWrapping"/>
        <w:t xml:space="preserve">2. Maskrosbarn</w:t>
      </w:r>
      <w:r w:rsidDel="00000000" w:rsidR="00000000" w:rsidRPr="00000000">
        <w:rPr>
          <w:rFonts w:ascii="Arial" w:cs="Arial" w:eastAsia="Arial" w:hAnsi="Arial"/>
          <w:color w:val="333333"/>
          <w:sz w:val="21"/>
          <w:szCs w:val="21"/>
          <w:rtl w:val="0"/>
        </w:rPr>
        <w:br w:type="textWrapping"/>
        <w:br w:type="textWrapping"/>
      </w:r>
      <w:r w:rsidDel="00000000" w:rsidR="00000000" w:rsidRPr="00000000">
        <w:rPr>
          <w:rFonts w:ascii="Arial" w:cs="Arial" w:eastAsia="Arial" w:hAnsi="Arial"/>
          <w:b w:val="1"/>
          <w:color w:val="333333"/>
          <w:sz w:val="21"/>
          <w:szCs w:val="21"/>
          <w:rtl w:val="0"/>
        </w:rPr>
        <w:t xml:space="preserve">Bästa ledarskap </w:t>
        <w:br w:type="textWrapping"/>
      </w:r>
      <w:r w:rsidDel="00000000" w:rsidR="00000000" w:rsidRPr="00000000">
        <w:rPr>
          <w:rFonts w:ascii="Arial" w:cs="Arial" w:eastAsia="Arial" w:hAnsi="Arial"/>
          <w:color w:val="333333"/>
          <w:sz w:val="21"/>
          <w:szCs w:val="21"/>
          <w:rtl w:val="0"/>
        </w:rPr>
        <w:t xml:space="preserve">1. Länsförsäkringar Göinge-Kristianstad</w:t>
        <w:br w:type="textWrapping"/>
        <w:t xml:space="preserve">2. Länsförsäkringar Värmland</w:t>
        <w:br w:type="textWrapping"/>
        <w:t xml:space="preserve">3. Cheffelo</w:t>
        <w:br w:type="textWrapping"/>
        <w:br w:type="textWrapping"/>
      </w:r>
      <w:r w:rsidDel="00000000" w:rsidR="00000000" w:rsidRPr="00000000">
        <w:rPr>
          <w:rFonts w:ascii="Arial" w:cs="Arial" w:eastAsia="Arial" w:hAnsi="Arial"/>
          <w:b w:val="1"/>
          <w:color w:val="000000"/>
          <w:sz w:val="21"/>
          <w:szCs w:val="21"/>
          <w:rtl w:val="0"/>
        </w:rPr>
        <w:t xml:space="preserve">Årets för</w:t>
      </w:r>
      <w:r w:rsidDel="00000000" w:rsidR="00000000" w:rsidRPr="00000000">
        <w:rPr>
          <w:rFonts w:ascii="Arial" w:cs="Arial" w:eastAsia="Arial" w:hAnsi="Arial"/>
          <w:b w:val="1"/>
          <w:sz w:val="21"/>
          <w:szCs w:val="21"/>
          <w:rtl w:val="0"/>
        </w:rPr>
        <w:t xml:space="preserve">bättring</w:t>
      </w:r>
      <w:r w:rsidDel="00000000" w:rsidR="00000000" w:rsidRPr="00000000">
        <w:rPr>
          <w:rFonts w:ascii="Arial" w:cs="Arial" w:eastAsia="Arial" w:hAnsi="Arial"/>
          <w:b w:val="1"/>
          <w:color w:val="000000"/>
          <w:sz w:val="21"/>
          <w:szCs w:val="21"/>
          <w:rtl w:val="0"/>
        </w:rPr>
        <w:t xml:space="preserve">sresa </w:t>
      </w:r>
      <w:r w:rsidDel="00000000" w:rsidR="00000000" w:rsidRPr="00000000">
        <w:rPr>
          <w:rFonts w:ascii="Arial" w:cs="Arial" w:eastAsia="Arial" w:hAnsi="Arial"/>
          <w:b w:val="1"/>
          <w:sz w:val="21"/>
          <w:szCs w:val="21"/>
          <w:rtl w:val="0"/>
        </w:rPr>
        <w:t xml:space="preserve">–</w:t>
      </w:r>
      <w:r w:rsidDel="00000000" w:rsidR="00000000" w:rsidRPr="00000000">
        <w:rPr>
          <w:rFonts w:ascii="Arial" w:cs="Arial" w:eastAsia="Arial" w:hAnsi="Arial"/>
          <w:b w:val="1"/>
          <w:color w:val="000000"/>
          <w:sz w:val="21"/>
          <w:szCs w:val="21"/>
          <w:rtl w:val="0"/>
        </w:rPr>
        <w:t xml:space="preserve"> organisationerna som har förbättrat sitt medarbetarengagemang allra mest under det gångna året:</w:t>
      </w:r>
      <w:r w:rsidDel="00000000" w:rsidR="00000000" w:rsidRPr="00000000">
        <w:rPr>
          <w:rFonts w:ascii="Times New Roman" w:cs="Times New Roman" w:eastAsia="Times New Roman" w:hAnsi="Times New Roman"/>
          <w:sz w:val="21"/>
          <w:szCs w:val="21"/>
          <w:rtl w:val="0"/>
        </w:rPr>
        <w:br w:type="textWrapping"/>
      </w:r>
      <w:r w:rsidDel="00000000" w:rsidR="00000000" w:rsidRPr="00000000">
        <w:rPr>
          <w:rFonts w:ascii="Arial" w:cs="Arial" w:eastAsia="Arial" w:hAnsi="Arial"/>
          <w:color w:val="333333"/>
          <w:sz w:val="21"/>
          <w:szCs w:val="21"/>
          <w:rtl w:val="0"/>
        </w:rPr>
        <w:t xml:space="preserve">1. Länsförsäkringar Bergslagen</w:t>
        <w:br w:type="textWrapping"/>
        <w:t xml:space="preserve">2. Svensk Handel</w:t>
        <w:br w:type="textWrapping"/>
        <w:t xml:space="preserve">3. Corem Property Group</w:t>
        <w:br w:type="textWrapping"/>
        <w:br w:type="textWrapping"/>
      </w:r>
      <w:r w:rsidDel="00000000" w:rsidR="00000000" w:rsidRPr="00000000">
        <w:rPr>
          <w:rFonts w:ascii="Arial" w:cs="Arial" w:eastAsia="Arial" w:hAnsi="Arial"/>
          <w:b w:val="1"/>
          <w:color w:val="000000"/>
          <w:sz w:val="21"/>
          <w:szCs w:val="21"/>
          <w:rtl w:val="0"/>
        </w:rPr>
        <w:t xml:space="preserve">Om </w:t>
      </w:r>
      <w:r w:rsidDel="00000000" w:rsidR="00000000" w:rsidRPr="00000000">
        <w:rPr>
          <w:rFonts w:ascii="Arial" w:cs="Arial" w:eastAsia="Arial" w:hAnsi="Arial"/>
          <w:b w:val="1"/>
          <w:sz w:val="21"/>
          <w:szCs w:val="21"/>
          <w:rtl w:val="0"/>
        </w:rPr>
        <w:t xml:space="preserve">undersökningen</w:t>
      </w: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Totalt ligger cirka 250 000 svar från organisationernas egna medarbetarundersökningar till grund för beslutsunderlaget.</w:t>
      </w:r>
    </w:p>
    <w:p w:rsidR="00000000" w:rsidDel="00000000" w:rsidP="00000000" w:rsidRDefault="00000000" w:rsidRPr="00000000" w14:paraId="0000000D">
      <w:pPr>
        <w:numPr>
          <w:ilvl w:val="0"/>
          <w:numId w:val="1"/>
        </w:numPr>
        <w:spacing w:after="0" w:line="276" w:lineRule="auto"/>
        <w:ind w:left="720" w:hanging="36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Insamlingen av data har pågått sedan 1 januari 2024 och har samlats in under hela året.</w:t>
      </w:r>
    </w:p>
    <w:p w:rsidR="00000000" w:rsidDel="00000000" w:rsidP="00000000" w:rsidRDefault="00000000" w:rsidRPr="00000000" w14:paraId="0000000E">
      <w:pPr>
        <w:numPr>
          <w:ilvl w:val="0"/>
          <w:numId w:val="1"/>
        </w:numPr>
        <w:spacing w:after="0" w:line="276" w:lineRule="auto"/>
        <w:ind w:left="720" w:hanging="36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För mer information, se tillhörande pressunderlag.</w:t>
      </w:r>
    </w:p>
    <w:p w:rsidR="00000000" w:rsidDel="00000000" w:rsidP="00000000" w:rsidRDefault="00000000" w:rsidRPr="00000000" w14:paraId="0000000F">
      <w:pPr>
        <w:spacing w:line="276"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0"/>
          <w:szCs w:val="20"/>
          <w:rtl w:val="0"/>
        </w:rPr>
        <w:t xml:space="preserve">För mer information, kontakta:</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color w:val="333333"/>
          <w:sz w:val="20"/>
          <w:szCs w:val="20"/>
          <w:rtl w:val="0"/>
        </w:rPr>
        <w:t xml:space="preserve">Alexandra Vass, presskontakt, Brilliant Future</w:t>
      </w:r>
      <w:r w:rsidDel="00000000" w:rsidR="00000000" w:rsidRPr="00000000">
        <w:rPr>
          <w:rFonts w:ascii="Times New Roman" w:cs="Times New Roman" w:eastAsia="Times New Roman" w:hAnsi="Times New Roman"/>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alexandra@aderstennorlin.com</w:t>
        </w:r>
      </w:hyperlink>
      <w:r w:rsidDel="00000000" w:rsidR="00000000" w:rsidRPr="00000000">
        <w:rPr>
          <w:rFonts w:ascii="Arial" w:cs="Arial" w:eastAsia="Arial" w:hAnsi="Arial"/>
          <w:color w:val="333333"/>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color w:val="333333"/>
          <w:sz w:val="20"/>
          <w:szCs w:val="20"/>
          <w:rtl w:val="0"/>
        </w:rPr>
        <w:t xml:space="preserve">+46 (0) 70-771 51 65</w:t>
      </w:r>
      <w:r w:rsidDel="00000000" w:rsidR="00000000" w:rsidRPr="00000000">
        <w:rPr>
          <w:rtl w:val="0"/>
        </w:rPr>
      </w:r>
    </w:p>
    <w:p w:rsidR="00000000" w:rsidDel="00000000" w:rsidP="00000000" w:rsidRDefault="00000000" w:rsidRPr="00000000" w14:paraId="00000011">
      <w:pPr>
        <w:spacing w:after="0" w:line="276" w:lineRule="auto"/>
        <w:rPr>
          <w:rFonts w:ascii="Times New Roman" w:cs="Times New Roman" w:eastAsia="Times New Roman" w:hAnsi="Times New Roman"/>
          <w:sz w:val="20"/>
          <w:szCs w:val="20"/>
        </w:rPr>
      </w:pPr>
      <w:r w:rsidDel="00000000" w:rsidR="00000000" w:rsidRPr="00000000">
        <w:rPr>
          <w:rFonts w:ascii="Arial" w:cs="Arial" w:eastAsia="Arial" w:hAnsi="Arial"/>
          <w:color w:val="333333"/>
          <w:sz w:val="20"/>
          <w:szCs w:val="20"/>
          <w:rtl w:val="0"/>
        </w:rPr>
        <w:t xml:space="preserve"> </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color w:val="008a7e"/>
          <w:sz w:val="20"/>
          <w:szCs w:val="20"/>
        </w:rPr>
      </w:pPr>
      <w:r w:rsidDel="00000000" w:rsidR="00000000" w:rsidRPr="00000000">
        <w:rPr>
          <w:rFonts w:ascii="Arial" w:cs="Arial" w:eastAsia="Arial" w:hAnsi="Arial"/>
          <w:b w:val="1"/>
          <w:color w:val="000000"/>
          <w:sz w:val="20"/>
          <w:szCs w:val="20"/>
          <w:rtl w:val="0"/>
        </w:rPr>
        <w:t xml:space="preserve">Om Brilliant Future:</w:t>
      </w:r>
      <w:r w:rsidDel="00000000" w:rsidR="00000000" w:rsidRPr="00000000">
        <w:rPr>
          <w:rFonts w:ascii="Arial" w:cs="Arial" w:eastAsia="Arial" w:hAnsi="Arial"/>
          <w:b w:val="1"/>
          <w:color w:val="008a7e"/>
          <w:sz w:val="20"/>
          <w:szCs w:val="20"/>
          <w:rtl w:val="0"/>
        </w:rPr>
        <w:br w:type="textWrapping"/>
      </w:r>
      <w:r w:rsidDel="00000000" w:rsidR="00000000" w:rsidRPr="00000000">
        <w:rPr>
          <w:rFonts w:ascii="Arial" w:cs="Arial" w:eastAsia="Arial" w:hAnsi="Arial"/>
          <w:color w:val="333333"/>
          <w:sz w:val="20"/>
          <w:szCs w:val="20"/>
          <w:rtl w:val="0"/>
        </w:rPr>
        <w:t xml:space="preserve">Brilliant är en av marknadens främsta plattformar för stärkta kund- och medarbetarrelationer. Med 25 års erfarenhet och 75 anställda förser vi kunder i mer än 50 länder med agerbara insikter som hjälper organisationer att maxa sin fulla potential och stärka relationen till kunder och medarbetare. Det resulterar i faktabaserade beslut, ett helhetsperspektiv och en starkare affär.</w:t>
      </w:r>
      <w:r w:rsidDel="00000000" w:rsidR="00000000" w:rsidRPr="00000000">
        <w:rPr>
          <w:rFonts w:ascii="Arial" w:cs="Arial" w:eastAsia="Arial" w:hAnsi="Arial"/>
          <w:color w:val="333333"/>
          <w:sz w:val="21"/>
          <w:szCs w:val="21"/>
          <w:rtl w:val="0"/>
        </w:rPr>
        <w:br w:type="textWrapping"/>
      </w:r>
      <w:r w:rsidDel="00000000" w:rsidR="00000000" w:rsidRPr="00000000">
        <w:rPr>
          <w:rFonts w:ascii="Arial" w:cs="Arial" w:eastAsia="Arial" w:hAnsi="Arial"/>
          <w:b w:val="1"/>
          <w:i w:val="1"/>
          <w:color w:val="008a7e"/>
          <w:sz w:val="20"/>
          <w:szCs w:val="20"/>
          <w:rtl w:val="0"/>
        </w:rPr>
        <w:br w:type="textWrapping"/>
      </w:r>
      <w:hyperlink r:id="rId8">
        <w:r w:rsidDel="00000000" w:rsidR="00000000" w:rsidRPr="00000000">
          <w:rPr>
            <w:rFonts w:ascii="Arial" w:cs="Arial" w:eastAsia="Arial" w:hAnsi="Arial"/>
            <w:color w:val="0000ff"/>
            <w:sz w:val="20"/>
            <w:szCs w:val="20"/>
            <w:u w:val="single"/>
            <w:rtl w:val="0"/>
          </w:rPr>
          <w:t xml:space="preserve">www.brilliantfuture.se</w:t>
        </w:r>
      </w:hyperlink>
      <w:r w:rsidDel="00000000" w:rsidR="00000000" w:rsidRPr="00000000">
        <w:rPr>
          <w:rFonts w:ascii="Arial" w:cs="Arial" w:eastAsia="Arial" w:hAnsi="Arial"/>
          <w:color w:val="333333"/>
          <w:sz w:val="20"/>
          <w:szCs w:val="20"/>
          <w:rtl w:val="0"/>
        </w:rPr>
        <w:t xml:space="preserve"> </w:t>
      </w:r>
      <w:r w:rsidDel="00000000" w:rsidR="00000000" w:rsidRPr="00000000">
        <w:rPr>
          <w:rtl w:val="0"/>
        </w:rPr>
      </w:r>
    </w:p>
    <w:p w:rsidR="00000000" w:rsidDel="00000000" w:rsidP="00000000" w:rsidRDefault="00000000" w:rsidRPr="00000000" w14:paraId="00000013">
      <w:pPr>
        <w:shd w:fill="ffffff" w:val="clear"/>
        <w:spacing w:after="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9" w:type="default"/>
      <w:headerReference r:id="rId10" w:type="first"/>
      <w:footerReference r:id="rId11"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536"/>
        <w:tab w:val="right" w:leader="none" w:pos="9072"/>
      </w:tabs>
      <w:spacing w:after="0" w:line="240" w:lineRule="auto"/>
      <w:rPr/>
    </w:pPr>
    <w:r w:rsidDel="00000000" w:rsidR="00000000" w:rsidRPr="00000000">
      <w:rPr>
        <w:rFonts w:ascii="Times New Roman" w:cs="Times New Roman" w:eastAsia="Times New Roman" w:hAnsi="Times New Roman"/>
        <w:sz w:val="20"/>
        <w:szCs w:val="20"/>
      </w:rPr>
      <w:drawing>
        <wp:inline distB="0" distT="0" distL="0" distR="0">
          <wp:extent cx="1734102" cy="368712"/>
          <wp:effectExtent b="0" l="0" r="0" t="0"/>
          <wp:docPr descr="Shape&#10;&#10;Description automatically generated with medium confidence" id="4"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1734102" cy="368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80"/>
      <w:outlineLvl w:val="0"/>
    </w:pPr>
    <w:rPr>
      <w:b w:val="1"/>
      <w:sz w:val="48"/>
      <w:szCs w:val="48"/>
    </w:rPr>
  </w:style>
  <w:style w:type="paragraph" w:styleId="Rubri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next w:val="Normal"/>
    <w:uiPriority w:val="9"/>
    <w:semiHidden w:val="1"/>
    <w:unhideWhenUsed w:val="1"/>
    <w:qFormat w:val="1"/>
    <w:pPr>
      <w:spacing w:line="240" w:lineRule="auto"/>
      <w:outlineLvl w:val="3"/>
    </w:pPr>
    <w:rPr>
      <w:rFonts w:ascii="Times New Roman" w:cs="Times New Roman" w:eastAsia="Times New Roman" w:hAnsi="Times New Roman"/>
      <w:b w:val="1"/>
      <w:sz w:val="24"/>
      <w:szCs w:val="24"/>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3" w:customStyle="1">
    <w:name w:val="Table Normal3"/>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idhuvud">
    <w:name w:val="header"/>
    <w:basedOn w:val="Normal"/>
    <w:link w:val="SidhuvudChar"/>
    <w:uiPriority w:val="99"/>
    <w:semiHidden w:val="1"/>
    <w:unhideWhenUsed w:val="1"/>
    <w:rsid w:val="00963766"/>
    <w:pPr>
      <w:tabs>
        <w:tab w:val="center" w:pos="4536"/>
        <w:tab w:val="right" w:pos="9072"/>
      </w:tabs>
      <w:spacing w:after="0" w:line="240" w:lineRule="auto"/>
    </w:pPr>
  </w:style>
  <w:style w:type="character" w:styleId="SidhuvudChar" w:customStyle="1">
    <w:name w:val="Sidhuvud Char"/>
    <w:basedOn w:val="Standardstycketeckensnitt"/>
    <w:link w:val="Sidhuvud"/>
    <w:uiPriority w:val="99"/>
    <w:semiHidden w:val="1"/>
    <w:rsid w:val="00963766"/>
  </w:style>
  <w:style w:type="paragraph" w:styleId="Sidfot">
    <w:name w:val="footer"/>
    <w:basedOn w:val="Normal"/>
    <w:link w:val="SidfotChar"/>
    <w:uiPriority w:val="99"/>
    <w:semiHidden w:val="1"/>
    <w:unhideWhenUsed w:val="1"/>
    <w:rsid w:val="00963766"/>
    <w:pPr>
      <w:tabs>
        <w:tab w:val="center" w:pos="4536"/>
        <w:tab w:val="right" w:pos="9072"/>
      </w:tabs>
      <w:spacing w:after="0" w:line="240" w:lineRule="auto"/>
    </w:pPr>
  </w:style>
  <w:style w:type="character" w:styleId="SidfotChar" w:customStyle="1">
    <w:name w:val="Sidfot Char"/>
    <w:basedOn w:val="Standardstycketeckensnitt"/>
    <w:link w:val="Sidfot"/>
    <w:uiPriority w:val="99"/>
    <w:semiHidden w:val="1"/>
    <w:rsid w:val="00963766"/>
  </w:style>
  <w:style w:type="table" w:styleId="TableNormal2" w:customStyle="1">
    <w:name w:val="Table Normal2"/>
    <w:rsid w:val="00D66845"/>
    <w:tblPr>
      <w:tblCellMar>
        <w:top w:w="0.0" w:type="dxa"/>
        <w:left w:w="0.0" w:type="dxa"/>
        <w:bottom w:w="0.0" w:type="dxa"/>
        <w:right w:w="0.0" w:type="dxa"/>
      </w:tblCellMar>
    </w:tblPr>
  </w:style>
  <w:style w:type="paragraph" w:styleId="Kommentarer">
    <w:name w:val="annotation text"/>
    <w:basedOn w:val="Normal"/>
    <w:link w:val="KommentarerChar"/>
    <w:uiPriority w:val="99"/>
    <w:semiHidden w:val="1"/>
    <w:unhideWhenUsed w:val="1"/>
    <w:pPr>
      <w:spacing w:line="240" w:lineRule="auto"/>
    </w:pPr>
    <w:rPr>
      <w:sz w:val="20"/>
      <w:szCs w:val="20"/>
    </w:rPr>
  </w:style>
  <w:style w:type="character" w:styleId="KommentarerChar" w:customStyle="1">
    <w:name w:val="Kommentarer Char"/>
    <w:basedOn w:val="Standardstycketeckensnitt"/>
    <w:link w:val="Kommentarer"/>
    <w:uiPriority w:val="99"/>
    <w:semiHidden w:val="1"/>
    <w:rPr>
      <w:sz w:val="20"/>
      <w:szCs w:val="20"/>
    </w:rPr>
  </w:style>
  <w:style w:type="character" w:styleId="Kommentarsreferens">
    <w:name w:val="annotation reference"/>
    <w:basedOn w:val="Standardstycketeckensnit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andra@aderstennorlin.com" TargetMode="External"/><Relationship Id="rId8" Type="http://schemas.openxmlformats.org/officeDocument/2006/relationships/hyperlink" Target="http://www.brilliantfuture.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FvBr+kd5WGIMofgKGuPDwKxbA==">CgMxLjA4AHIhMThRWWYzN2RvRmxYSnB3ZkU3a3U2a2NJVlJyeVR3VE9C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2024-02-01T17:44:00Z</dcterms:created>
  <dc:creator>Malin Hising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SetDate">
    <vt:lpwstr>2021-08-27T12:09:25.7876647Z</vt:lpwstr>
  </property>
  <property fmtid="{D5CDD505-2E9C-101B-9397-08002B2CF9AE}" pid="3" name="Sensitivity">
    <vt:lpwstr>Internal</vt:lpwstr>
  </property>
  <property fmtid="{D5CDD505-2E9C-101B-9397-08002B2CF9AE}" pid="4" name="MSIP_Label_362f6a78-1a75-42b7-badf-40e4818d54e6_Name">
    <vt:lpwstr>Internal</vt:lpwstr>
  </property>
  <property fmtid="{D5CDD505-2E9C-101B-9397-08002B2CF9AE}" pid="5" name="MSIP_Label_362f6a78-1a75-42b7-badf-40e4818d54e6_Extended_MSFT_Method">
    <vt:lpwstr>Automatic</vt:lpwstr>
  </property>
  <property fmtid="{D5CDD505-2E9C-101B-9397-08002B2CF9AE}" pid="6" name="MSIP_Label_362f6a78-1a75-42b7-badf-40e4818d54e6_Owner">
    <vt:lpwstr>Joakim.lundberg@brilliantfuture.se</vt:lpwstr>
  </property>
  <property fmtid="{D5CDD505-2E9C-101B-9397-08002B2CF9AE}" pid="7" name="MSIP_Label_362f6a78-1a75-42b7-badf-40e4818d54e6_ActionId">
    <vt:lpwstr>36749156-8a97-48af-b72d-474d3b8284b5</vt:lpwstr>
  </property>
  <property fmtid="{D5CDD505-2E9C-101B-9397-08002B2CF9AE}" pid="8" name="MSIP_Label_362f6a78-1a75-42b7-badf-40e4818d54e6_SiteId">
    <vt:lpwstr>67a84333-7dcc-45bb-bed3-3ff32c24f1c9</vt:lpwstr>
  </property>
  <property fmtid="{D5CDD505-2E9C-101B-9397-08002B2CF9AE}" pid="9" name="MSIP_Label_362f6a78-1a75-42b7-badf-40e4818d54e6_Enabled">
    <vt:lpwstr>True</vt:lpwstr>
  </property>
  <property fmtid="{D5CDD505-2E9C-101B-9397-08002B2CF9AE}" pid="10" name="MSIP_Label_362f6a78-1a75-42b7-badf-40e4818d54e6_Application">
    <vt:lpwstr>Microsoft Azure Information Protection</vt:lpwstr>
  </property>
  <property fmtid="{D5CDD505-2E9C-101B-9397-08002B2CF9AE}" pid="11" name="ContentTypeId">
    <vt:lpwstr>0x010100844CDE431F43814896463EC98DDE588B</vt:lpwstr>
  </property>
  <property fmtid="{D5CDD505-2E9C-101B-9397-08002B2CF9AE}" pid="12" name="MediaServiceImageTags">
    <vt:lpwstr/>
  </property>
</Properties>
</file>