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CA8E" w14:textId="06255453" w:rsidR="00F36EF9" w:rsidRPr="00ED516B" w:rsidRDefault="00F36EF9" w:rsidP="00F36EF9">
      <w:pPr>
        <w:rPr>
          <w:rFonts w:ascii="Calibri" w:hAnsi="Calibri" w:cs="Calibri"/>
          <w:color w:val="000000" w:themeColor="text1"/>
        </w:rPr>
      </w:pPr>
      <w:r>
        <w:rPr>
          <w:rStyle w:val="x1o6pynw"/>
          <w:rFonts w:ascii="Calibri" w:hAnsi="Calibri" w:cs="Calibri"/>
          <w:b/>
          <w:bCs/>
        </w:rPr>
        <w:t xml:space="preserve">Pressemelding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cs="Calibri"/>
          <w:b/>
          <w:bCs/>
          <w:color w:val="000000" w:themeColor="text1"/>
        </w:rPr>
        <w:t>23. oktober, 2026</w:t>
      </w:r>
    </w:p>
    <w:p w14:paraId="6DD40EC7" w14:textId="77777777" w:rsidR="001D1823" w:rsidRDefault="001D1823" w:rsidP="00F36EF9">
      <w:pPr>
        <w:autoSpaceDE w:val="0"/>
        <w:autoSpaceDN w:val="0"/>
        <w:adjustRightInd w:val="0"/>
        <w:spacing w:after="0" w:line="240" w:lineRule="auto"/>
        <w:rPr>
          <w:rStyle w:val="x1o6pynw"/>
          <w:rFonts w:ascii="Calibri" w:hAnsi="Calibri" w:cs="Calibri"/>
          <w:b/>
          <w:bCs/>
        </w:rPr>
      </w:pPr>
    </w:p>
    <w:p w14:paraId="085C3489" w14:textId="77777777" w:rsidR="00FC41F0" w:rsidRDefault="00FC41F0" w:rsidP="00F36EF9">
      <w:pPr>
        <w:autoSpaceDE w:val="0"/>
        <w:autoSpaceDN w:val="0"/>
        <w:adjustRightInd w:val="0"/>
        <w:spacing w:after="0" w:line="240" w:lineRule="auto"/>
        <w:rPr>
          <w:rStyle w:val="x1o6pynw"/>
          <w:rFonts w:ascii="Calibri" w:hAnsi="Calibri" w:cs="Calibri"/>
          <w:b/>
          <w:bCs/>
        </w:rPr>
      </w:pPr>
    </w:p>
    <w:p w14:paraId="7E325A96" w14:textId="17FAB771" w:rsidR="00F36EF9" w:rsidRPr="00ED516B" w:rsidRDefault="007D3C41" w:rsidP="00F36EF9">
      <w:pPr>
        <w:autoSpaceDE w:val="0"/>
        <w:autoSpaceDN w:val="0"/>
        <w:adjustRightInd w:val="0"/>
        <w:spacing w:after="0" w:line="240" w:lineRule="auto"/>
        <w:rPr>
          <w:rStyle w:val="x1o6pynw"/>
          <w:rFonts w:ascii="Calibri" w:hAnsi="Calibri" w:cs="Calibri"/>
          <w:b/>
          <w:bCs/>
        </w:rPr>
      </w:pPr>
      <w:r>
        <w:rPr>
          <w:rStyle w:val="x1o6pynw"/>
          <w:rFonts w:ascii="Calibri" w:hAnsi="Calibri" w:cs="Calibri"/>
          <w:b/>
          <w:bCs/>
        </w:rPr>
        <w:t xml:space="preserve">Økte inntekter for DN Media Group </w:t>
      </w:r>
    </w:p>
    <w:p w14:paraId="6CCA24C0" w14:textId="77777777" w:rsidR="00F36EF9" w:rsidRPr="005E0107" w:rsidRDefault="00F36EF9" w:rsidP="00F36EF9">
      <w:pPr>
        <w:autoSpaceDE w:val="0"/>
        <w:autoSpaceDN w:val="0"/>
        <w:adjustRightInd w:val="0"/>
        <w:spacing w:after="0" w:line="240" w:lineRule="auto"/>
        <w:rPr>
          <w:rStyle w:val="x1o6pynw"/>
          <w:rFonts w:ascii="Calibri" w:hAnsi="Calibri" w:cs="Calibri"/>
          <w:b/>
          <w:bCs/>
        </w:rPr>
      </w:pPr>
    </w:p>
    <w:p w14:paraId="090E21C9" w14:textId="2396D153" w:rsidR="00297A47" w:rsidRPr="00297A47" w:rsidRDefault="00297A47" w:rsidP="00297A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Mediedivisjonen i NHST Holding, DN Media Group, hadde i tredje kvartal samlede inntekter på 255.8 millioner kroner, tilsvarende en økning på 3</w:t>
      </w:r>
      <w:r w:rsidR="00AC6C5B">
        <w:rPr>
          <w:rFonts w:ascii="Calibri" w:hAnsi="Calibri" w:cs="Calibri"/>
          <w:color w:val="000000" w:themeColor="text1"/>
        </w:rPr>
        <w:t>.</w:t>
      </w:r>
      <w:r>
        <w:rPr>
          <w:rFonts w:ascii="Calibri" w:hAnsi="Calibri" w:cs="Calibri"/>
          <w:color w:val="000000" w:themeColor="text1"/>
        </w:rPr>
        <w:t>8 prosent fra samme periode i fjor.</w:t>
      </w:r>
    </w:p>
    <w:p w14:paraId="3E0E05E6" w14:textId="77777777" w:rsidR="00CE7EA9" w:rsidRDefault="00CE7EA9" w:rsidP="00CE7E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145FA7E3" w14:textId="7DEB88BB" w:rsidR="00AB5268" w:rsidRPr="00AB5268" w:rsidRDefault="00AB5268" w:rsidP="00AB526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Abonnementsinntektene økte med 2</w:t>
      </w:r>
      <w:r w:rsidR="00AC6C5B">
        <w:rPr>
          <w:rFonts w:ascii="Calibri" w:hAnsi="Calibri" w:cs="Calibri"/>
          <w:color w:val="000000" w:themeColor="text1"/>
        </w:rPr>
        <w:t>.</w:t>
      </w:r>
      <w:r>
        <w:rPr>
          <w:rFonts w:ascii="Calibri" w:hAnsi="Calibri" w:cs="Calibri"/>
          <w:color w:val="000000" w:themeColor="text1"/>
        </w:rPr>
        <w:t xml:space="preserve">1 prosent til 183.2 millioner kroner i kvartalet, opp fra 179.4 millioner kroner året før. </w:t>
      </w:r>
      <w:r w:rsidR="001153C1">
        <w:rPr>
          <w:rFonts w:ascii="Calibri" w:hAnsi="Calibri" w:cs="Calibri"/>
          <w:color w:val="000000" w:themeColor="text1"/>
        </w:rPr>
        <w:t>H</w:t>
      </w:r>
      <w:r>
        <w:rPr>
          <w:rFonts w:ascii="Calibri" w:hAnsi="Calibri" w:cs="Calibri"/>
          <w:color w:val="000000" w:themeColor="text1"/>
        </w:rPr>
        <w:t>eldigitale abonnementsinntekter utgjør 66</w:t>
      </w:r>
      <w:r w:rsidR="00AE1812">
        <w:rPr>
          <w:rFonts w:ascii="Calibri" w:hAnsi="Calibri" w:cs="Calibri"/>
          <w:color w:val="000000" w:themeColor="text1"/>
        </w:rPr>
        <w:t>.</w:t>
      </w:r>
      <w:r>
        <w:rPr>
          <w:rFonts w:ascii="Calibri" w:hAnsi="Calibri" w:cs="Calibri"/>
          <w:color w:val="000000" w:themeColor="text1"/>
        </w:rPr>
        <w:t>3 prosent av samlede abonnementsinntekter, opp fra 65</w:t>
      </w:r>
      <w:r w:rsidR="00AE1812">
        <w:rPr>
          <w:rFonts w:ascii="Calibri" w:hAnsi="Calibri" w:cs="Calibri"/>
          <w:color w:val="000000" w:themeColor="text1"/>
        </w:rPr>
        <w:t>.</w:t>
      </w:r>
      <w:r>
        <w:rPr>
          <w:rFonts w:ascii="Calibri" w:hAnsi="Calibri" w:cs="Calibri"/>
          <w:color w:val="000000" w:themeColor="text1"/>
        </w:rPr>
        <w:t xml:space="preserve">2 prosent i samme kvartal i fjor. Veksten i digitale abonnement mer enn oppveier fallet i </w:t>
      </w:r>
      <w:proofErr w:type="spellStart"/>
      <w:r>
        <w:rPr>
          <w:rFonts w:ascii="Calibri" w:hAnsi="Calibri" w:cs="Calibri"/>
          <w:color w:val="000000" w:themeColor="text1"/>
        </w:rPr>
        <w:t>printbaserte</w:t>
      </w:r>
      <w:proofErr w:type="spellEnd"/>
      <w:r>
        <w:rPr>
          <w:rFonts w:ascii="Calibri" w:hAnsi="Calibri" w:cs="Calibri"/>
          <w:color w:val="000000" w:themeColor="text1"/>
        </w:rPr>
        <w:t xml:space="preserve"> abonnementsinntekter.</w:t>
      </w:r>
    </w:p>
    <w:p w14:paraId="1FA671A5" w14:textId="77777777" w:rsidR="00967942" w:rsidRDefault="00967942" w:rsidP="00CE7E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3208C081" w14:textId="4FE96AD7" w:rsidR="00884560" w:rsidRPr="00884560" w:rsidRDefault="00884560" w:rsidP="008845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 w:rsidRPr="5F9D6625">
        <w:rPr>
          <w:rFonts w:ascii="Calibri" w:hAnsi="Calibri" w:cs="Calibri"/>
          <w:color w:val="000000" w:themeColor="text1"/>
        </w:rPr>
        <w:t>Samtidig økte inntektene fra annonser og kommersielle tjenester med 13</w:t>
      </w:r>
      <w:r w:rsidR="00114607">
        <w:rPr>
          <w:rFonts w:ascii="Calibri" w:hAnsi="Calibri" w:cs="Calibri"/>
          <w:color w:val="000000" w:themeColor="text1"/>
        </w:rPr>
        <w:t>.</w:t>
      </w:r>
      <w:r w:rsidRPr="5F9D6625">
        <w:rPr>
          <w:rFonts w:ascii="Calibri" w:hAnsi="Calibri" w:cs="Calibri"/>
          <w:color w:val="000000" w:themeColor="text1"/>
        </w:rPr>
        <w:t xml:space="preserve">0 prosent til 70.7 millioner kroner. Annonseinntektene fra </w:t>
      </w:r>
      <w:proofErr w:type="spellStart"/>
      <w:r w:rsidRPr="5F9D6625">
        <w:rPr>
          <w:rFonts w:ascii="Calibri" w:hAnsi="Calibri" w:cs="Calibri"/>
          <w:color w:val="000000" w:themeColor="text1"/>
        </w:rPr>
        <w:t>print</w:t>
      </w:r>
      <w:proofErr w:type="spellEnd"/>
      <w:r w:rsidRPr="5F9D6625">
        <w:rPr>
          <w:rFonts w:ascii="Calibri" w:hAnsi="Calibri" w:cs="Calibri"/>
          <w:color w:val="000000" w:themeColor="text1"/>
        </w:rPr>
        <w:t xml:space="preserve"> og digital var på nivå med samme kvartal i fjor, mens veksten var drevet </w:t>
      </w:r>
      <w:r w:rsidRPr="00A04AE2">
        <w:rPr>
          <w:rFonts w:ascii="Calibri" w:hAnsi="Calibri" w:cs="Calibri"/>
          <w:color w:val="000000" w:themeColor="text1"/>
        </w:rPr>
        <w:t xml:space="preserve">av </w:t>
      </w:r>
      <w:proofErr w:type="spellStart"/>
      <w:r w:rsidR="21C33B11" w:rsidRPr="00A04AE2">
        <w:rPr>
          <w:rFonts w:ascii="Calibri" w:hAnsi="Calibri" w:cs="Calibri"/>
        </w:rPr>
        <w:t>event</w:t>
      </w:r>
      <w:proofErr w:type="spellEnd"/>
      <w:r w:rsidR="21C33B11" w:rsidRPr="00A04AE2">
        <w:rPr>
          <w:rFonts w:ascii="Calibri" w:hAnsi="Calibri" w:cs="Calibri"/>
        </w:rPr>
        <w:t>- og nettverksvirksomhet samt innholdsmarkedsføring</w:t>
      </w:r>
      <w:r w:rsidR="00A04AE2" w:rsidRPr="00A04AE2">
        <w:rPr>
          <w:rFonts w:ascii="Calibri" w:hAnsi="Calibri" w:cs="Calibri"/>
        </w:rPr>
        <w:t>.</w:t>
      </w:r>
    </w:p>
    <w:p w14:paraId="053122BA" w14:textId="77777777" w:rsidR="00884560" w:rsidRDefault="00884560" w:rsidP="00CE7E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0B77480A" w14:textId="48B48C27" w:rsidR="00F4658C" w:rsidRPr="00F4658C" w:rsidRDefault="00F4658C" w:rsidP="00F465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Driftskostnadene økte med 4</w:t>
      </w:r>
      <w:r w:rsidR="00AE1812">
        <w:rPr>
          <w:rFonts w:ascii="Calibri" w:hAnsi="Calibri" w:cs="Calibri"/>
          <w:color w:val="000000" w:themeColor="text1"/>
        </w:rPr>
        <w:t>.</w:t>
      </w:r>
      <w:r>
        <w:rPr>
          <w:rFonts w:ascii="Calibri" w:hAnsi="Calibri" w:cs="Calibri"/>
          <w:color w:val="000000" w:themeColor="text1"/>
        </w:rPr>
        <w:t>5 prosent til 222.9 millioner kroner, hovedsakelig som følge av høyere personal- og konferansekostnader.</w:t>
      </w:r>
    </w:p>
    <w:p w14:paraId="05B6B1CB" w14:textId="77777777" w:rsidR="000B0147" w:rsidRDefault="000B0147" w:rsidP="000B01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207C840E" w14:textId="247F982B" w:rsidR="002F6B67" w:rsidRPr="002F6B67" w:rsidRDefault="006C6058" w:rsidP="002F6B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DN Media Group fikk et resultat (EBITDA) på 32.8 millioner kroner, ned fra 33.3 millioner kroner i samme kvartal i fjor. DN Media Group har virksomhet i flere internasjonale markeder, og valutaeffekter reduserte EBITDA med 2.2 millioner kroner sammenlignet med samme kvartal i fjor.</w:t>
      </w:r>
    </w:p>
    <w:p w14:paraId="18D53D4C" w14:textId="77777777" w:rsidR="00F94DEB" w:rsidRDefault="00F94DEB" w:rsidP="006C60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3875F2BE" w14:textId="04FF2A9B" w:rsidR="00690B5F" w:rsidRDefault="00F6218C" w:rsidP="007508A5">
      <w:pPr>
        <w:spacing w:after="0" w:line="300" w:lineRule="atLeast"/>
        <w:rPr>
          <w:rFonts w:ascii="Calibri" w:hAnsi="Calibri" w:cs="Calibri"/>
          <w:i/>
          <w:iCs/>
          <w:color w:val="000000" w:themeColor="text1"/>
        </w:rPr>
      </w:pPr>
      <w:r w:rsidRPr="00EE6AF6">
        <w:rPr>
          <w:rFonts w:ascii="Calibri" w:hAnsi="Calibri" w:cs="Calibri"/>
          <w:i/>
          <w:iCs/>
          <w:color w:val="000000" w:themeColor="text1"/>
        </w:rPr>
        <w:t>– Det er gledelig at både abonnements- og annonseinntektene vokser, og at kvalitetsjournalistikken og de sterke merkevarene våre nå gir god vekst på tvers av porteføljen. Mediebransjen er i rask endring, med kunstig intelligens og nye brukervaner, men for oss er det først og fremst en mulighet</w:t>
      </w:r>
      <w:r w:rsidR="00D8758A">
        <w:rPr>
          <w:rFonts w:ascii="Calibri" w:hAnsi="Calibri" w:cs="Calibri"/>
          <w:i/>
          <w:iCs/>
          <w:color w:val="000000" w:themeColor="text1"/>
        </w:rPr>
        <w:t>,</w:t>
      </w:r>
      <w:r w:rsidRPr="00EE6AF6">
        <w:rPr>
          <w:rFonts w:ascii="Calibri" w:hAnsi="Calibri" w:cs="Calibri"/>
          <w:i/>
          <w:iCs/>
          <w:color w:val="000000" w:themeColor="text1"/>
        </w:rPr>
        <w:t xml:space="preserve"> sier James Lamont, konsernsjef i NHST Holding og DN Media Group.</w:t>
      </w:r>
    </w:p>
    <w:p w14:paraId="6DB54C42" w14:textId="77777777" w:rsidR="004967B2" w:rsidRPr="00896E4A" w:rsidRDefault="004967B2" w:rsidP="007508A5">
      <w:pPr>
        <w:spacing w:after="0" w:line="300" w:lineRule="atLeast"/>
        <w:rPr>
          <w:rFonts w:ascii="Calibri" w:hAnsi="Calibri" w:cs="Calibri"/>
          <w:i/>
          <w:iCs/>
          <w:color w:val="000000" w:themeColor="text1"/>
        </w:rPr>
      </w:pPr>
    </w:p>
    <w:tbl>
      <w:tblPr>
        <w:tblW w:w="881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650"/>
        <w:gridCol w:w="880"/>
        <w:gridCol w:w="880"/>
        <w:gridCol w:w="880"/>
        <w:gridCol w:w="880"/>
        <w:gridCol w:w="880"/>
        <w:gridCol w:w="880"/>
        <w:gridCol w:w="880"/>
      </w:tblGrid>
      <w:tr w:rsidR="002A07F0" w14:paraId="4731439F" w14:textId="77777777">
        <w:tc>
          <w:tcPr>
            <w:tcW w:w="2650" w:type="dxa"/>
            <w:shd w:val="clear" w:color="auto" w:fill="103F37"/>
          </w:tcPr>
          <w:p w14:paraId="5F5A35EF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b/>
                <w:bCs/>
                <w:color w:val="FFFFFF"/>
                <w:sz w:val="17"/>
                <w:szCs w:val="17"/>
              </w:rPr>
              <w:t>DN Media Group</w:t>
            </w:r>
          </w:p>
        </w:tc>
        <w:tc>
          <w:tcPr>
            <w:tcW w:w="4400" w:type="dxa"/>
            <w:gridSpan w:val="5"/>
            <w:shd w:val="clear" w:color="auto" w:fill="103F37"/>
          </w:tcPr>
          <w:p w14:paraId="14400C56" w14:textId="77777777" w:rsidR="002A07F0" w:rsidRDefault="0001220D">
            <w:pPr>
              <w:spacing w:before="20" w:after="2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7"/>
                <w:szCs w:val="17"/>
              </w:rPr>
              <w:t>Quarter</w:t>
            </w:r>
          </w:p>
        </w:tc>
        <w:tc>
          <w:tcPr>
            <w:tcW w:w="1760" w:type="dxa"/>
            <w:gridSpan w:val="2"/>
            <w:shd w:val="clear" w:color="auto" w:fill="103F37"/>
          </w:tcPr>
          <w:p w14:paraId="274C1047" w14:textId="77777777" w:rsidR="002A07F0" w:rsidRDefault="0001220D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7"/>
                <w:szCs w:val="17"/>
              </w:rPr>
              <w:t>Year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7"/>
                <w:szCs w:val="17"/>
              </w:rPr>
              <w:t xml:space="preserve"> to Date</w:t>
            </w:r>
          </w:p>
        </w:tc>
      </w:tr>
      <w:tr w:rsidR="002A07F0" w14:paraId="2277B895" w14:textId="77777777">
        <w:tc>
          <w:tcPr>
            <w:tcW w:w="2650" w:type="dxa"/>
            <w:shd w:val="clear" w:color="auto" w:fill="103F37"/>
          </w:tcPr>
          <w:p w14:paraId="1E777DFA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NOK million</w:t>
            </w:r>
          </w:p>
        </w:tc>
        <w:tc>
          <w:tcPr>
            <w:tcW w:w="880" w:type="dxa"/>
            <w:shd w:val="clear" w:color="auto" w:fill="103F37"/>
          </w:tcPr>
          <w:p w14:paraId="1FC0D5D2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Q3-25</w:t>
            </w:r>
          </w:p>
        </w:tc>
        <w:tc>
          <w:tcPr>
            <w:tcW w:w="880" w:type="dxa"/>
            <w:shd w:val="clear" w:color="auto" w:fill="103F37"/>
          </w:tcPr>
          <w:p w14:paraId="43683D26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Q4-25</w:t>
            </w:r>
          </w:p>
        </w:tc>
        <w:tc>
          <w:tcPr>
            <w:tcW w:w="880" w:type="dxa"/>
            <w:shd w:val="clear" w:color="auto" w:fill="103F37"/>
          </w:tcPr>
          <w:p w14:paraId="132D874C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Q1-26</w:t>
            </w:r>
          </w:p>
        </w:tc>
        <w:tc>
          <w:tcPr>
            <w:tcW w:w="880" w:type="dxa"/>
            <w:shd w:val="clear" w:color="auto" w:fill="103F37"/>
          </w:tcPr>
          <w:p w14:paraId="56D8DF6F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Q2-26</w:t>
            </w:r>
          </w:p>
        </w:tc>
        <w:tc>
          <w:tcPr>
            <w:tcW w:w="880" w:type="dxa"/>
            <w:shd w:val="clear" w:color="auto" w:fill="103F37"/>
          </w:tcPr>
          <w:p w14:paraId="44179EF9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Q3-26</w:t>
            </w:r>
          </w:p>
        </w:tc>
        <w:tc>
          <w:tcPr>
            <w:tcW w:w="880" w:type="dxa"/>
            <w:shd w:val="clear" w:color="auto" w:fill="103F37"/>
          </w:tcPr>
          <w:p w14:paraId="7BE769AA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YTD-25</w:t>
            </w:r>
          </w:p>
        </w:tc>
        <w:tc>
          <w:tcPr>
            <w:tcW w:w="880" w:type="dxa"/>
            <w:shd w:val="clear" w:color="auto" w:fill="103F37"/>
          </w:tcPr>
          <w:p w14:paraId="42CF7024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color w:val="FFFFFF"/>
                <w:sz w:val="17"/>
                <w:szCs w:val="17"/>
              </w:rPr>
              <w:t>YTD-26</w:t>
            </w:r>
          </w:p>
        </w:tc>
      </w:tr>
      <w:tr w:rsidR="002A07F0" w14:paraId="1EB916E1" w14:textId="77777777">
        <w:tc>
          <w:tcPr>
            <w:tcW w:w="2650" w:type="dxa"/>
          </w:tcPr>
          <w:p w14:paraId="459C6046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 xml:space="preserve">User </w:t>
            </w:r>
            <w:proofErr w:type="spellStart"/>
            <w:r>
              <w:rPr>
                <w:rFonts w:ascii="Calibri" w:hAnsi="Calibri" w:cs="Calibri"/>
                <w:sz w:val="17"/>
                <w:szCs w:val="17"/>
              </w:rPr>
              <w:t>market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7"/>
                <w:szCs w:val="17"/>
              </w:rPr>
              <w:t>revenues</w:t>
            </w:r>
            <w:proofErr w:type="spellEnd"/>
          </w:p>
        </w:tc>
        <w:tc>
          <w:tcPr>
            <w:tcW w:w="880" w:type="dxa"/>
          </w:tcPr>
          <w:p w14:paraId="34095434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179.4</w:t>
            </w:r>
          </w:p>
        </w:tc>
        <w:tc>
          <w:tcPr>
            <w:tcW w:w="880" w:type="dxa"/>
          </w:tcPr>
          <w:p w14:paraId="2372562D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177.5</w:t>
            </w:r>
          </w:p>
        </w:tc>
        <w:tc>
          <w:tcPr>
            <w:tcW w:w="880" w:type="dxa"/>
          </w:tcPr>
          <w:p w14:paraId="69B5DEC6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180.5</w:t>
            </w:r>
          </w:p>
        </w:tc>
        <w:tc>
          <w:tcPr>
            <w:tcW w:w="880" w:type="dxa"/>
          </w:tcPr>
          <w:p w14:paraId="66831572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170.3</w:t>
            </w:r>
          </w:p>
        </w:tc>
        <w:tc>
          <w:tcPr>
            <w:tcW w:w="880" w:type="dxa"/>
            <w:shd w:val="clear" w:color="auto" w:fill="F2F2F2"/>
          </w:tcPr>
          <w:p w14:paraId="77AF03EC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183.2</w:t>
            </w:r>
          </w:p>
        </w:tc>
        <w:tc>
          <w:tcPr>
            <w:tcW w:w="880" w:type="dxa"/>
          </w:tcPr>
          <w:p w14:paraId="05FA8FB9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521.5</w:t>
            </w:r>
          </w:p>
        </w:tc>
        <w:tc>
          <w:tcPr>
            <w:tcW w:w="880" w:type="dxa"/>
            <w:shd w:val="clear" w:color="auto" w:fill="F2F2F2"/>
          </w:tcPr>
          <w:p w14:paraId="1C40FC57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534.0</w:t>
            </w:r>
          </w:p>
        </w:tc>
      </w:tr>
      <w:tr w:rsidR="002A07F0" w14:paraId="665595B2" w14:textId="77777777">
        <w:tc>
          <w:tcPr>
            <w:tcW w:w="2650" w:type="dxa"/>
          </w:tcPr>
          <w:p w14:paraId="2FD27EFD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 xml:space="preserve">Advertising &amp; </w:t>
            </w:r>
            <w:proofErr w:type="spellStart"/>
            <w:r>
              <w:rPr>
                <w:rFonts w:ascii="Calibri" w:hAnsi="Calibri" w:cs="Calibri"/>
                <w:sz w:val="17"/>
                <w:szCs w:val="17"/>
              </w:rPr>
              <w:t>commercial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services</w:t>
            </w:r>
          </w:p>
        </w:tc>
        <w:tc>
          <w:tcPr>
            <w:tcW w:w="880" w:type="dxa"/>
          </w:tcPr>
          <w:p w14:paraId="03974210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62.6</w:t>
            </w:r>
          </w:p>
        </w:tc>
        <w:tc>
          <w:tcPr>
            <w:tcW w:w="880" w:type="dxa"/>
          </w:tcPr>
          <w:p w14:paraId="0A7D0193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83.3</w:t>
            </w:r>
          </w:p>
        </w:tc>
        <w:tc>
          <w:tcPr>
            <w:tcW w:w="880" w:type="dxa"/>
          </w:tcPr>
          <w:p w14:paraId="7A69ED2A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56.1</w:t>
            </w:r>
          </w:p>
        </w:tc>
        <w:tc>
          <w:tcPr>
            <w:tcW w:w="880" w:type="dxa"/>
          </w:tcPr>
          <w:p w14:paraId="2EDE9B9A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75.5</w:t>
            </w:r>
          </w:p>
        </w:tc>
        <w:tc>
          <w:tcPr>
            <w:tcW w:w="880" w:type="dxa"/>
            <w:shd w:val="clear" w:color="auto" w:fill="F2F2F2"/>
          </w:tcPr>
          <w:p w14:paraId="2AAD1BAC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70.7</w:t>
            </w:r>
          </w:p>
        </w:tc>
        <w:tc>
          <w:tcPr>
            <w:tcW w:w="880" w:type="dxa"/>
          </w:tcPr>
          <w:p w14:paraId="6EAD51DC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194.0</w:t>
            </w:r>
          </w:p>
        </w:tc>
        <w:tc>
          <w:tcPr>
            <w:tcW w:w="880" w:type="dxa"/>
            <w:shd w:val="clear" w:color="auto" w:fill="F2F2F2"/>
          </w:tcPr>
          <w:p w14:paraId="650C55A8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202.4</w:t>
            </w:r>
          </w:p>
        </w:tc>
      </w:tr>
      <w:tr w:rsidR="002A07F0" w14:paraId="25A8F578" w14:textId="77777777">
        <w:tc>
          <w:tcPr>
            <w:tcW w:w="2650" w:type="dxa"/>
          </w:tcPr>
          <w:p w14:paraId="4F7AB272" w14:textId="77777777" w:rsidR="002A07F0" w:rsidRDefault="0001220D">
            <w:pPr>
              <w:spacing w:before="20" w:after="20" w:line="240" w:lineRule="auto"/>
            </w:pPr>
            <w:proofErr w:type="spellStart"/>
            <w:r>
              <w:rPr>
                <w:rFonts w:ascii="Calibri" w:hAnsi="Calibri" w:cs="Calibri"/>
                <w:sz w:val="17"/>
                <w:szCs w:val="17"/>
              </w:rPr>
              <w:t>Other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7"/>
                <w:szCs w:val="17"/>
              </w:rPr>
              <w:t>revenues</w:t>
            </w:r>
            <w:proofErr w:type="spellEnd"/>
          </w:p>
        </w:tc>
        <w:tc>
          <w:tcPr>
            <w:tcW w:w="880" w:type="dxa"/>
          </w:tcPr>
          <w:p w14:paraId="25B0E7C1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4.5</w:t>
            </w:r>
          </w:p>
        </w:tc>
        <w:tc>
          <w:tcPr>
            <w:tcW w:w="880" w:type="dxa"/>
          </w:tcPr>
          <w:p w14:paraId="0E03A3D7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3.9</w:t>
            </w:r>
          </w:p>
        </w:tc>
        <w:tc>
          <w:tcPr>
            <w:tcW w:w="880" w:type="dxa"/>
          </w:tcPr>
          <w:p w14:paraId="269EBE80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3.4</w:t>
            </w:r>
          </w:p>
        </w:tc>
        <w:tc>
          <w:tcPr>
            <w:tcW w:w="880" w:type="dxa"/>
          </w:tcPr>
          <w:p w14:paraId="3D77ADB0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3.2</w:t>
            </w:r>
          </w:p>
        </w:tc>
        <w:tc>
          <w:tcPr>
            <w:tcW w:w="880" w:type="dxa"/>
            <w:shd w:val="clear" w:color="auto" w:fill="F2F2F2"/>
          </w:tcPr>
          <w:p w14:paraId="451AB481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1.8</w:t>
            </w:r>
          </w:p>
        </w:tc>
        <w:tc>
          <w:tcPr>
            <w:tcW w:w="880" w:type="dxa"/>
          </w:tcPr>
          <w:p w14:paraId="5609A1EF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12.</w:t>
            </w:r>
            <w:r>
              <w:rPr>
                <w:rFonts w:ascii="Calibri" w:hAnsi="Calibri" w:cs="Calibri"/>
                <w:sz w:val="17"/>
                <w:szCs w:val="17"/>
              </w:rPr>
              <w:t>6</w:t>
            </w:r>
          </w:p>
        </w:tc>
        <w:tc>
          <w:tcPr>
            <w:tcW w:w="880" w:type="dxa"/>
            <w:shd w:val="clear" w:color="auto" w:fill="F2F2F2"/>
          </w:tcPr>
          <w:p w14:paraId="59331F5A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8.5</w:t>
            </w:r>
          </w:p>
        </w:tc>
      </w:tr>
      <w:tr w:rsidR="002A07F0" w14:paraId="572BEBFA" w14:textId="77777777"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14:paraId="66E84076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Total operating </w:t>
            </w:r>
            <w:proofErr w:type="spellStart"/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revenues</w:t>
            </w:r>
            <w:proofErr w:type="spellEnd"/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</w:tcPr>
          <w:p w14:paraId="45100EE4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246.5</w:t>
            </w:r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</w:tcPr>
          <w:p w14:paraId="2C29198E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264.7</w:t>
            </w:r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</w:tcPr>
          <w:p w14:paraId="20B0141D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240.1</w:t>
            </w:r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</w:tcPr>
          <w:p w14:paraId="7FACF666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249.1</w:t>
            </w:r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F0586A2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255.8</w:t>
            </w:r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</w:tcPr>
          <w:p w14:paraId="094FD5AC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728.1</w:t>
            </w:r>
          </w:p>
        </w:tc>
        <w:tc>
          <w:tcPr>
            <w:tcW w:w="8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2AF628C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744.9</w:t>
            </w:r>
          </w:p>
        </w:tc>
      </w:tr>
      <w:tr w:rsidR="002A07F0" w14:paraId="672A6659" w14:textId="77777777">
        <w:tc>
          <w:tcPr>
            <w:tcW w:w="2650" w:type="dxa"/>
          </w:tcPr>
          <w:p w14:paraId="0A37501D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5DAB6C7B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02EB378F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6A05A809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5A39BBE3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41C8F396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72A3D3EC" w14:textId="77777777" w:rsidR="002A07F0" w:rsidRDefault="002A07F0">
            <w:pPr>
              <w:spacing w:before="20" w:after="20" w:line="240" w:lineRule="auto"/>
            </w:pPr>
          </w:p>
        </w:tc>
        <w:tc>
          <w:tcPr>
            <w:tcW w:w="880" w:type="dxa"/>
          </w:tcPr>
          <w:p w14:paraId="0D0B940D" w14:textId="77777777" w:rsidR="002A07F0" w:rsidRDefault="002A07F0">
            <w:pPr>
              <w:spacing w:before="20" w:after="20" w:line="240" w:lineRule="auto"/>
            </w:pPr>
          </w:p>
        </w:tc>
      </w:tr>
      <w:tr w:rsidR="002A07F0" w14:paraId="6E657F35" w14:textId="77777777">
        <w:tc>
          <w:tcPr>
            <w:tcW w:w="2650" w:type="dxa"/>
          </w:tcPr>
          <w:p w14:paraId="1153468B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 xml:space="preserve">Operating </w:t>
            </w:r>
            <w:proofErr w:type="spellStart"/>
            <w:r>
              <w:rPr>
                <w:rFonts w:ascii="Calibri" w:hAnsi="Calibri" w:cs="Calibri"/>
                <w:sz w:val="17"/>
                <w:szCs w:val="17"/>
              </w:rPr>
              <w:t>expenses</w:t>
            </w:r>
            <w:proofErr w:type="spellEnd"/>
          </w:p>
        </w:tc>
        <w:tc>
          <w:tcPr>
            <w:tcW w:w="880" w:type="dxa"/>
          </w:tcPr>
          <w:p w14:paraId="2837AD20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213.2</w:t>
            </w:r>
          </w:p>
        </w:tc>
        <w:tc>
          <w:tcPr>
            <w:tcW w:w="880" w:type="dxa"/>
          </w:tcPr>
          <w:p w14:paraId="40F1B0DB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230.0</w:t>
            </w:r>
          </w:p>
        </w:tc>
        <w:tc>
          <w:tcPr>
            <w:tcW w:w="880" w:type="dxa"/>
          </w:tcPr>
          <w:p w14:paraId="66A47D5F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220.0</w:t>
            </w:r>
          </w:p>
        </w:tc>
        <w:tc>
          <w:tcPr>
            <w:tcW w:w="880" w:type="dxa"/>
          </w:tcPr>
          <w:p w14:paraId="1577C6C5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206.0</w:t>
            </w:r>
          </w:p>
        </w:tc>
        <w:tc>
          <w:tcPr>
            <w:tcW w:w="880" w:type="dxa"/>
            <w:shd w:val="clear" w:color="auto" w:fill="F2F2F2"/>
          </w:tcPr>
          <w:p w14:paraId="613647C5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222.9</w:t>
            </w:r>
          </w:p>
        </w:tc>
        <w:tc>
          <w:tcPr>
            <w:tcW w:w="880" w:type="dxa"/>
          </w:tcPr>
          <w:p w14:paraId="5767E3CB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623.8</w:t>
            </w:r>
          </w:p>
        </w:tc>
        <w:tc>
          <w:tcPr>
            <w:tcW w:w="880" w:type="dxa"/>
            <w:shd w:val="clear" w:color="auto" w:fill="F2F2F2"/>
          </w:tcPr>
          <w:p w14:paraId="198B873E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649.0</w:t>
            </w:r>
          </w:p>
        </w:tc>
      </w:tr>
      <w:tr w:rsidR="002A07F0" w14:paraId="3B98913F" w14:textId="77777777">
        <w:tc>
          <w:tcPr>
            <w:tcW w:w="2650" w:type="dxa"/>
            <w:tcBorders>
              <w:top w:val="single" w:sz="6" w:space="0" w:color="000000"/>
            </w:tcBorders>
          </w:tcPr>
          <w:p w14:paraId="4C7117DA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EBITDA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5CD8A2C5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33.3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17DA902A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34.7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0C373B36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20.1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487BF028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43.0</w:t>
            </w:r>
          </w:p>
        </w:tc>
        <w:tc>
          <w:tcPr>
            <w:tcW w:w="880" w:type="dxa"/>
            <w:tcBorders>
              <w:top w:val="single" w:sz="6" w:space="0" w:color="000000"/>
            </w:tcBorders>
            <w:shd w:val="clear" w:color="auto" w:fill="F2F2F2"/>
          </w:tcPr>
          <w:p w14:paraId="7190498D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32.8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3F56A9A9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104.3</w:t>
            </w:r>
          </w:p>
        </w:tc>
        <w:tc>
          <w:tcPr>
            <w:tcW w:w="880" w:type="dxa"/>
            <w:tcBorders>
              <w:top w:val="single" w:sz="6" w:space="0" w:color="000000"/>
            </w:tcBorders>
            <w:shd w:val="clear" w:color="auto" w:fill="F2F2F2"/>
          </w:tcPr>
          <w:p w14:paraId="4381C745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95.9</w:t>
            </w:r>
          </w:p>
        </w:tc>
      </w:tr>
      <w:tr w:rsidR="002A07F0" w14:paraId="7D19BBE8" w14:textId="77777777">
        <w:tc>
          <w:tcPr>
            <w:tcW w:w="2650" w:type="dxa"/>
          </w:tcPr>
          <w:p w14:paraId="0E22A338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CAPEX</w:t>
            </w:r>
          </w:p>
        </w:tc>
        <w:tc>
          <w:tcPr>
            <w:tcW w:w="880" w:type="dxa"/>
          </w:tcPr>
          <w:p w14:paraId="64C1B599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2.6</w:t>
            </w:r>
          </w:p>
        </w:tc>
        <w:tc>
          <w:tcPr>
            <w:tcW w:w="880" w:type="dxa"/>
          </w:tcPr>
          <w:p w14:paraId="41ADC8E8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4.1</w:t>
            </w:r>
          </w:p>
        </w:tc>
        <w:tc>
          <w:tcPr>
            <w:tcW w:w="880" w:type="dxa"/>
          </w:tcPr>
          <w:p w14:paraId="5147D317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2.8</w:t>
            </w:r>
          </w:p>
        </w:tc>
        <w:tc>
          <w:tcPr>
            <w:tcW w:w="880" w:type="dxa"/>
          </w:tcPr>
          <w:p w14:paraId="06D8C0FA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2.9</w:t>
            </w:r>
          </w:p>
        </w:tc>
        <w:tc>
          <w:tcPr>
            <w:tcW w:w="880" w:type="dxa"/>
            <w:shd w:val="clear" w:color="auto" w:fill="F2F2F2"/>
          </w:tcPr>
          <w:p w14:paraId="3B576BDF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4.8</w:t>
            </w:r>
          </w:p>
        </w:tc>
        <w:tc>
          <w:tcPr>
            <w:tcW w:w="880" w:type="dxa"/>
          </w:tcPr>
          <w:p w14:paraId="03590785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11.4</w:t>
            </w:r>
          </w:p>
        </w:tc>
        <w:tc>
          <w:tcPr>
            <w:tcW w:w="880" w:type="dxa"/>
            <w:shd w:val="clear" w:color="auto" w:fill="F2F2F2"/>
          </w:tcPr>
          <w:p w14:paraId="61AD5C92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10.5</w:t>
            </w:r>
          </w:p>
        </w:tc>
      </w:tr>
      <w:tr w:rsidR="002A07F0" w14:paraId="5BF6A4C2" w14:textId="77777777">
        <w:tc>
          <w:tcPr>
            <w:tcW w:w="2650" w:type="dxa"/>
            <w:tcBorders>
              <w:top w:val="single" w:sz="6" w:space="0" w:color="000000"/>
            </w:tcBorders>
          </w:tcPr>
          <w:p w14:paraId="7BF7AE9C" w14:textId="77777777" w:rsidR="002A07F0" w:rsidRDefault="0001220D">
            <w:pPr>
              <w:spacing w:before="20" w:after="2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EBITDA less CAPEX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64C16B71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30.8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5E7A6665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30.6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29A5A287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17.2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61651710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40.2</w:t>
            </w:r>
          </w:p>
        </w:tc>
        <w:tc>
          <w:tcPr>
            <w:tcW w:w="880" w:type="dxa"/>
            <w:tcBorders>
              <w:top w:val="single" w:sz="6" w:space="0" w:color="000000"/>
            </w:tcBorders>
            <w:shd w:val="clear" w:color="auto" w:fill="F2F2F2"/>
          </w:tcPr>
          <w:p w14:paraId="19C212A6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28.1</w:t>
            </w:r>
          </w:p>
        </w:tc>
        <w:tc>
          <w:tcPr>
            <w:tcW w:w="880" w:type="dxa"/>
            <w:tcBorders>
              <w:top w:val="single" w:sz="6" w:space="0" w:color="000000"/>
            </w:tcBorders>
          </w:tcPr>
          <w:p w14:paraId="4F102AB7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92.8</w:t>
            </w:r>
          </w:p>
        </w:tc>
        <w:tc>
          <w:tcPr>
            <w:tcW w:w="880" w:type="dxa"/>
            <w:tcBorders>
              <w:top w:val="single" w:sz="6" w:space="0" w:color="000000"/>
            </w:tcBorders>
            <w:shd w:val="clear" w:color="auto" w:fill="F2F2F2"/>
          </w:tcPr>
          <w:p w14:paraId="05BEFB7B" w14:textId="77777777" w:rsidR="002A07F0" w:rsidRDefault="0001220D">
            <w:pPr>
              <w:spacing w:before="20" w:after="20" w:line="240" w:lineRule="auto"/>
              <w:jc w:val="right"/>
            </w:pPr>
            <w:r>
              <w:rPr>
                <w:rFonts w:ascii="Calibri" w:hAnsi="Calibri" w:cs="Calibri"/>
                <w:sz w:val="17"/>
                <w:szCs w:val="17"/>
              </w:rPr>
              <w:t>85.4</w:t>
            </w:r>
          </w:p>
        </w:tc>
      </w:tr>
    </w:tbl>
    <w:p w14:paraId="0E27B00A" w14:textId="77777777" w:rsidR="002A07F0" w:rsidRDefault="002A07F0">
      <w:pPr>
        <w:spacing w:after="0"/>
      </w:pPr>
    </w:p>
    <w:sectPr w:rsidR="002A07F0">
      <w:pgSz w:w="11906" w:h="16838"/>
      <w:pgMar w:top="850" w:right="141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70C5E"/>
    <w:multiLevelType w:val="hybridMultilevel"/>
    <w:tmpl w:val="95F44EA4"/>
    <w:lvl w:ilvl="0" w:tplc="167A926A">
      <w:start w:val="8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65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40"/>
    <w:rsid w:val="00007F61"/>
    <w:rsid w:val="000164C6"/>
    <w:rsid w:val="00032686"/>
    <w:rsid w:val="0004672B"/>
    <w:rsid w:val="0006463C"/>
    <w:rsid w:val="00090424"/>
    <w:rsid w:val="000955B8"/>
    <w:rsid w:val="00097384"/>
    <w:rsid w:val="000B0147"/>
    <w:rsid w:val="000E48E1"/>
    <w:rsid w:val="0010009A"/>
    <w:rsid w:val="001057B1"/>
    <w:rsid w:val="00114607"/>
    <w:rsid w:val="001153C1"/>
    <w:rsid w:val="00140997"/>
    <w:rsid w:val="001702F5"/>
    <w:rsid w:val="001B3ED8"/>
    <w:rsid w:val="001C4C54"/>
    <w:rsid w:val="001D1823"/>
    <w:rsid w:val="001E2A00"/>
    <w:rsid w:val="001F41CE"/>
    <w:rsid w:val="00207448"/>
    <w:rsid w:val="00235636"/>
    <w:rsid w:val="00285D47"/>
    <w:rsid w:val="00297A47"/>
    <w:rsid w:val="002A07F0"/>
    <w:rsid w:val="002C0120"/>
    <w:rsid w:val="002C0DD4"/>
    <w:rsid w:val="002D70A6"/>
    <w:rsid w:val="002E0D98"/>
    <w:rsid w:val="002F489A"/>
    <w:rsid w:val="002F6B67"/>
    <w:rsid w:val="003072C3"/>
    <w:rsid w:val="00354567"/>
    <w:rsid w:val="003640FD"/>
    <w:rsid w:val="00392E40"/>
    <w:rsid w:val="00395F35"/>
    <w:rsid w:val="003D2638"/>
    <w:rsid w:val="003D4BDD"/>
    <w:rsid w:val="003E256A"/>
    <w:rsid w:val="003E35F8"/>
    <w:rsid w:val="00430631"/>
    <w:rsid w:val="0046082B"/>
    <w:rsid w:val="0046411B"/>
    <w:rsid w:val="0049572E"/>
    <w:rsid w:val="004967B2"/>
    <w:rsid w:val="004A5090"/>
    <w:rsid w:val="004C0DDE"/>
    <w:rsid w:val="00554306"/>
    <w:rsid w:val="00562DCD"/>
    <w:rsid w:val="00564F5D"/>
    <w:rsid w:val="0058050A"/>
    <w:rsid w:val="0059303F"/>
    <w:rsid w:val="005933A6"/>
    <w:rsid w:val="00595BD5"/>
    <w:rsid w:val="005C2E74"/>
    <w:rsid w:val="005C3B81"/>
    <w:rsid w:val="005E5BB9"/>
    <w:rsid w:val="005F745A"/>
    <w:rsid w:val="006532AA"/>
    <w:rsid w:val="00657B99"/>
    <w:rsid w:val="006813E9"/>
    <w:rsid w:val="00690B5F"/>
    <w:rsid w:val="006A672A"/>
    <w:rsid w:val="006B71BB"/>
    <w:rsid w:val="006C6058"/>
    <w:rsid w:val="006D5A0B"/>
    <w:rsid w:val="00712A9C"/>
    <w:rsid w:val="0073525C"/>
    <w:rsid w:val="007500BC"/>
    <w:rsid w:val="007508A5"/>
    <w:rsid w:val="00796BEC"/>
    <w:rsid w:val="007A3218"/>
    <w:rsid w:val="007A3701"/>
    <w:rsid w:val="007A7B54"/>
    <w:rsid w:val="007B1540"/>
    <w:rsid w:val="007C6A75"/>
    <w:rsid w:val="007D3C41"/>
    <w:rsid w:val="007E136C"/>
    <w:rsid w:val="0082339D"/>
    <w:rsid w:val="00842931"/>
    <w:rsid w:val="008432E4"/>
    <w:rsid w:val="008511A0"/>
    <w:rsid w:val="008632BB"/>
    <w:rsid w:val="00884560"/>
    <w:rsid w:val="00896E4A"/>
    <w:rsid w:val="008A39AE"/>
    <w:rsid w:val="008D1FB9"/>
    <w:rsid w:val="008E31F4"/>
    <w:rsid w:val="0092362C"/>
    <w:rsid w:val="0092599B"/>
    <w:rsid w:val="0096632E"/>
    <w:rsid w:val="00967942"/>
    <w:rsid w:val="009A0BCB"/>
    <w:rsid w:val="009B2D7D"/>
    <w:rsid w:val="009D7266"/>
    <w:rsid w:val="009E424F"/>
    <w:rsid w:val="00A04AE2"/>
    <w:rsid w:val="00A144FF"/>
    <w:rsid w:val="00A14B8B"/>
    <w:rsid w:val="00A36E21"/>
    <w:rsid w:val="00A73A71"/>
    <w:rsid w:val="00A916FE"/>
    <w:rsid w:val="00AB311E"/>
    <w:rsid w:val="00AB5268"/>
    <w:rsid w:val="00AC6C5B"/>
    <w:rsid w:val="00AE1812"/>
    <w:rsid w:val="00AE5133"/>
    <w:rsid w:val="00B02C2B"/>
    <w:rsid w:val="00B12C56"/>
    <w:rsid w:val="00B32A87"/>
    <w:rsid w:val="00B57DAD"/>
    <w:rsid w:val="00B71048"/>
    <w:rsid w:val="00B80F3B"/>
    <w:rsid w:val="00B92965"/>
    <w:rsid w:val="00BA23E5"/>
    <w:rsid w:val="00BA2D60"/>
    <w:rsid w:val="00BB4893"/>
    <w:rsid w:val="00C376F7"/>
    <w:rsid w:val="00C5128F"/>
    <w:rsid w:val="00CC6C6D"/>
    <w:rsid w:val="00CD384C"/>
    <w:rsid w:val="00CD4E09"/>
    <w:rsid w:val="00CD546C"/>
    <w:rsid w:val="00CE7EA9"/>
    <w:rsid w:val="00CF6389"/>
    <w:rsid w:val="00D20015"/>
    <w:rsid w:val="00D4407D"/>
    <w:rsid w:val="00D6192C"/>
    <w:rsid w:val="00D8758A"/>
    <w:rsid w:val="00DA2437"/>
    <w:rsid w:val="00DF42EB"/>
    <w:rsid w:val="00E0325A"/>
    <w:rsid w:val="00E273D5"/>
    <w:rsid w:val="00E34E6A"/>
    <w:rsid w:val="00E36DBE"/>
    <w:rsid w:val="00E46F43"/>
    <w:rsid w:val="00E61840"/>
    <w:rsid w:val="00E62521"/>
    <w:rsid w:val="00E639EC"/>
    <w:rsid w:val="00E71E40"/>
    <w:rsid w:val="00E725AA"/>
    <w:rsid w:val="00E76CF4"/>
    <w:rsid w:val="00E82A0E"/>
    <w:rsid w:val="00EA6CEF"/>
    <w:rsid w:val="00EB6D4F"/>
    <w:rsid w:val="00EC603F"/>
    <w:rsid w:val="00EE6AF6"/>
    <w:rsid w:val="00EF1F22"/>
    <w:rsid w:val="00EF3E2B"/>
    <w:rsid w:val="00F36EF9"/>
    <w:rsid w:val="00F4658C"/>
    <w:rsid w:val="00F6218C"/>
    <w:rsid w:val="00F707EC"/>
    <w:rsid w:val="00F76BEE"/>
    <w:rsid w:val="00F94DEB"/>
    <w:rsid w:val="00FC41F0"/>
    <w:rsid w:val="00FE5E2C"/>
    <w:rsid w:val="00FE6AFD"/>
    <w:rsid w:val="21C33B11"/>
    <w:rsid w:val="4B0243C0"/>
    <w:rsid w:val="5F9D6625"/>
    <w:rsid w:val="63FA6A8B"/>
    <w:rsid w:val="74F49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39D2"/>
  <w15:chartTrackingRefBased/>
  <w15:docId w15:val="{26602BAF-DAEA-49F2-A67A-4993A016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EF9"/>
    <w:pPr>
      <w:spacing w:line="279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B1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B1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B1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B1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B1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B1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B1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B1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B1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B1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B1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B1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B154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B154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B154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B154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B154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B154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B1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B1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B1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B1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B1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B154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B154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B154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B1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B154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B1540"/>
    <w:rPr>
      <w:b/>
      <w:bCs/>
      <w:smallCaps/>
      <w:color w:val="0F4761" w:themeColor="accent1" w:themeShade="BF"/>
      <w:spacing w:val="5"/>
    </w:rPr>
  </w:style>
  <w:style w:type="character" w:customStyle="1" w:styleId="x1o6pynw">
    <w:name w:val="x1o6pynw"/>
    <w:basedOn w:val="Standardskriftforavsnitt"/>
    <w:rsid w:val="00F36EF9"/>
  </w:style>
  <w:style w:type="character" w:styleId="Utheving">
    <w:name w:val="Emphasis"/>
    <w:uiPriority w:val="20"/>
    <w:qFormat/>
    <w:rsid w:val="003D2638"/>
    <w:rPr>
      <w:rFonts w:ascii="Arial" w:hAnsi="Arial" w:cs="Arial"/>
      <w:b/>
      <w:sz w:val="22"/>
      <w:szCs w:val="22"/>
      <w:lang w:val="en-US"/>
    </w:rPr>
  </w:style>
  <w:style w:type="paragraph" w:styleId="Revisjon">
    <w:name w:val="Revision"/>
    <w:hidden/>
    <w:uiPriority w:val="99"/>
    <w:semiHidden/>
    <w:rsid w:val="00AC6C5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C48CBC16079041B11EBF63E4FEC59C" ma:contentTypeVersion="19" ma:contentTypeDescription="Opprett et nytt dokument." ma:contentTypeScope="" ma:versionID="80a8df76eaef010c94cf2d42145ea599">
  <xsd:schema xmlns:xsd="http://www.w3.org/2001/XMLSchema" xmlns:xs="http://www.w3.org/2001/XMLSchema" xmlns:p="http://schemas.microsoft.com/office/2006/metadata/properties" xmlns:ns2="ae367276-04be-41ed-9001-cf4871a5d21a" xmlns:ns3="78fd4eb9-46c4-400f-bcb1-510d2a31e54d" targetNamespace="http://schemas.microsoft.com/office/2006/metadata/properties" ma:root="true" ma:fieldsID="c4fca24cdbb169501bf2fe893baf5dd4" ns2:_="" ns3:_="">
    <xsd:import namespace="ae367276-04be-41ed-9001-cf4871a5d21a"/>
    <xsd:import namespace="78fd4eb9-46c4-400f-bcb1-510d2a31e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67276-04be-41ed-9001-cf4871a5d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428237e0-0d27-4360-ab3a-91f81ee73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d4eb9-46c4-400f-bcb1-510d2a31e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f4d0110-ffd3-4ebe-9897-bebcf7cb89e2}" ma:internalName="TaxCatchAll" ma:showField="CatchAllData" ma:web="78fd4eb9-46c4-400f-bcb1-510d2a31e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367276-04be-41ed-9001-cf4871a5d21a">
      <Terms xmlns="http://schemas.microsoft.com/office/infopath/2007/PartnerControls"/>
    </lcf76f155ced4ddcb4097134ff3c332f>
    <TaxCatchAll xmlns="78fd4eb9-46c4-400f-bcb1-510d2a31e54d" xsi:nil="true"/>
  </documentManagement>
</p:properties>
</file>

<file path=customXml/itemProps1.xml><?xml version="1.0" encoding="utf-8"?>
<ds:datastoreItem xmlns:ds="http://schemas.openxmlformats.org/officeDocument/2006/customXml" ds:itemID="{4138E727-030C-42BE-AAC2-99EFB06E6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850752-517B-496B-B75B-7CC4C1BD6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367276-04be-41ed-9001-cf4871a5d21a"/>
    <ds:schemaRef ds:uri="78fd4eb9-46c4-400f-bcb1-510d2a31e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65B0D7-D408-402D-ABA3-032ACA478172}">
  <ds:schemaRefs>
    <ds:schemaRef ds:uri="http://schemas.microsoft.com/office/2006/metadata/properties"/>
    <ds:schemaRef ds:uri="http://schemas.microsoft.com/office/infopath/2007/PartnerControls"/>
    <ds:schemaRef ds:uri="ae367276-04be-41ed-9001-cf4871a5d21a"/>
    <ds:schemaRef ds:uri="78fd4eb9-46c4-400f-bcb1-510d2a31e54d"/>
  </ds:schemaRefs>
</ds:datastoreItem>
</file>

<file path=docMetadata/LabelInfo.xml><?xml version="1.0" encoding="utf-8"?>
<clbl:labelList xmlns:clbl="http://schemas.microsoft.com/office/2020/mipLabelMetadata">
  <clbl:label id="{1c9ec733-f484-475b-be7c-68f3bf6e8daf}" enabled="1" method="Standard" siteId="{5a5999b8-e5a3-4db5-ac13-ee8741def6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Tronier Halvorsen</dc:creator>
  <cp:keywords/>
  <dc:description/>
  <cp:lastModifiedBy>Ann Elisabeth Rimereit</cp:lastModifiedBy>
  <cp:revision>2</cp:revision>
  <dcterms:created xsi:type="dcterms:W3CDTF">2026-10-23T06:33:00Z</dcterms:created>
  <dcterms:modified xsi:type="dcterms:W3CDTF">2026-10-23T06:33:00Z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0x01010084C48CBC16079041B11EBF63E4FEC59C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