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AB17C0" w:rsidRDefault="007A3A2F" w:rsidP="007A3A2F">
      <w:pPr>
        <w:pStyle w:val="titel"/>
        <w:rPr>
          <w:sz w:val="22"/>
          <w:szCs w:val="22"/>
          <w:lang w:val="en-US"/>
        </w:rPr>
      </w:pPr>
      <w:r w:rsidRPr="00AB17C0">
        <w:rPr>
          <w:sz w:val="22"/>
          <w:szCs w:val="22"/>
          <w:lang w:val="en-US"/>
        </w:rPr>
        <w:t>GOETHEANUM</w:t>
      </w:r>
      <w:r w:rsidRPr="00AB17C0">
        <w:rPr>
          <w:sz w:val="22"/>
          <w:szCs w:val="22"/>
          <w:lang w:val="en-US"/>
        </w:rPr>
        <w:tab/>
      </w:r>
      <w:r w:rsidR="00B90BB3" w:rsidRPr="00AB17C0">
        <w:rPr>
          <w:sz w:val="22"/>
          <w:szCs w:val="22"/>
          <w:lang w:val="en-US"/>
        </w:rPr>
        <w:t xml:space="preserve"> </w:t>
      </w:r>
      <w:r w:rsidR="0081275A" w:rsidRPr="00AB17C0">
        <w:rPr>
          <w:sz w:val="22"/>
          <w:szCs w:val="22"/>
          <w:lang w:val="en-US"/>
        </w:rPr>
        <w:t>COMUNICACIÓN</w:t>
      </w:r>
    </w:p>
    <w:p w14:paraId="2CA980B4" w14:textId="77777777" w:rsidR="007A3A2F" w:rsidRPr="00AB17C0" w:rsidRDefault="007A3A2F" w:rsidP="007A3A2F">
      <w:pPr>
        <w:pStyle w:val="titel"/>
        <w:jc w:val="right"/>
        <w:rPr>
          <w:sz w:val="22"/>
          <w:szCs w:val="22"/>
          <w:lang w:val="en-US"/>
        </w:rPr>
      </w:pPr>
    </w:p>
    <w:p w14:paraId="20177A70" w14:textId="77777777" w:rsidR="00AB17C0" w:rsidRPr="00AB17C0" w:rsidRDefault="00AB17C0" w:rsidP="00AB17C0">
      <w:pPr>
        <w:pStyle w:val="titel"/>
        <w:jc w:val="right"/>
        <w:rPr>
          <w:rFonts w:ascii="Titillium Lt" w:hAnsi="Titillium Lt" w:cs="Titillium Lt"/>
          <w:sz w:val="22"/>
          <w:szCs w:val="22"/>
          <w:lang w:val="en-US"/>
        </w:rPr>
      </w:pPr>
      <w:r w:rsidRPr="00AB17C0">
        <w:rPr>
          <w:sz w:val="22"/>
          <w:szCs w:val="22"/>
          <w:lang w:val="en-US"/>
        </w:rPr>
        <w:tab/>
        <w:t>Goetheanum, Dornach, Suiza, 25 de junio de 2024</w:t>
      </w:r>
    </w:p>
    <w:p w14:paraId="3FC0CC5E" w14:textId="77777777" w:rsidR="00AB17C0" w:rsidRPr="00AB17C0" w:rsidRDefault="00AB17C0" w:rsidP="00AB17C0">
      <w:pPr>
        <w:pStyle w:val="titel"/>
        <w:rPr>
          <w:sz w:val="28"/>
          <w:szCs w:val="28"/>
          <w:lang w:val="en-US"/>
        </w:rPr>
      </w:pPr>
    </w:p>
    <w:p w14:paraId="626CF608" w14:textId="77777777" w:rsidR="00AB17C0" w:rsidRPr="00AB17C0" w:rsidRDefault="00AB17C0" w:rsidP="00AB17C0">
      <w:pPr>
        <w:pStyle w:val="titel"/>
        <w:spacing w:before="57"/>
        <w:rPr>
          <w:b/>
          <w:bCs/>
          <w:sz w:val="28"/>
          <w:szCs w:val="28"/>
          <w:lang w:val="en-US"/>
        </w:rPr>
      </w:pPr>
      <w:r w:rsidRPr="00AB17C0">
        <w:rPr>
          <w:b/>
          <w:bCs/>
          <w:sz w:val="28"/>
          <w:szCs w:val="28"/>
          <w:lang w:val="en-US"/>
        </w:rPr>
        <w:t>Conocer más de cerca el movimiento mundial de la agricultura biodinámica</w:t>
      </w:r>
    </w:p>
    <w:p w14:paraId="0927807A" w14:textId="77777777" w:rsidR="00AB17C0" w:rsidRPr="00AB17C0" w:rsidRDefault="00AB17C0" w:rsidP="00AB17C0">
      <w:pPr>
        <w:pStyle w:val="titel"/>
        <w:spacing w:before="57"/>
        <w:rPr>
          <w:b/>
          <w:bCs/>
          <w:sz w:val="24"/>
          <w:szCs w:val="24"/>
          <w:lang w:val="en-US"/>
        </w:rPr>
      </w:pPr>
      <w:r w:rsidRPr="00AB17C0">
        <w:rPr>
          <w:b/>
          <w:bCs/>
          <w:sz w:val="24"/>
          <w:szCs w:val="24"/>
          <w:lang w:val="en-US"/>
        </w:rPr>
        <w:t>Primera edición de la nueva revista ‹Living Farms› con motivo del 100 aniversario</w:t>
      </w:r>
    </w:p>
    <w:p w14:paraId="4B788D8E" w14:textId="77777777" w:rsidR="00AB17C0" w:rsidRPr="00AB17C0" w:rsidRDefault="00AB17C0" w:rsidP="00AB17C0">
      <w:pPr>
        <w:pStyle w:val="body"/>
        <w:rPr>
          <w:b/>
          <w:bCs/>
          <w:lang w:val="en-US"/>
        </w:rPr>
      </w:pPr>
    </w:p>
    <w:p w14:paraId="6ADB5421" w14:textId="77777777" w:rsidR="00AB17C0" w:rsidRPr="00AB17C0" w:rsidRDefault="00AB17C0" w:rsidP="00AB17C0">
      <w:pPr>
        <w:pStyle w:val="body"/>
        <w:rPr>
          <w:rFonts w:ascii="Titillium" w:hAnsi="Titillium" w:cs="Titillium"/>
          <w:b/>
          <w:bCs/>
          <w:lang w:val="en-US"/>
        </w:rPr>
      </w:pPr>
      <w:r w:rsidRPr="00AB17C0">
        <w:rPr>
          <w:rFonts w:ascii="Titillium" w:hAnsi="Titillium" w:cs="Titillium"/>
          <w:b/>
          <w:bCs/>
          <w:spacing w:val="-1"/>
          <w:lang w:val="en-US"/>
        </w:rPr>
        <w:t>Mucha gente conoce la marca Demeter, pero no muchos saben lo que representa. Los principios en los que se basa y cómo se practica en todo el mundo se ilustran en la nueva revista ‹Living Farms› de la Sección de Agricultura del Goetheanum.</w:t>
      </w:r>
    </w:p>
    <w:p w14:paraId="7B376421" w14:textId="77777777" w:rsidR="00AB17C0" w:rsidRPr="00AB17C0" w:rsidRDefault="00AB17C0" w:rsidP="00AB17C0">
      <w:pPr>
        <w:pStyle w:val="body"/>
        <w:rPr>
          <w:rFonts w:ascii="Titillium" w:hAnsi="Titillium" w:cs="Titillium"/>
          <w:spacing w:val="1"/>
          <w:lang w:val="en-US"/>
        </w:rPr>
      </w:pPr>
    </w:p>
    <w:p w14:paraId="170946A5" w14:textId="77777777" w:rsidR="00AB17C0" w:rsidRPr="00AB17C0" w:rsidRDefault="00AB17C0" w:rsidP="00AB17C0">
      <w:pPr>
        <w:pStyle w:val="body"/>
        <w:rPr>
          <w:rFonts w:ascii="Titillium" w:hAnsi="Titillium" w:cs="Titillium"/>
          <w:spacing w:val="1"/>
          <w:lang w:val="en-US"/>
        </w:rPr>
      </w:pPr>
      <w:r w:rsidRPr="00AB17C0">
        <w:rPr>
          <w:rFonts w:ascii="Titillium" w:hAnsi="Titillium" w:cs="Titillium"/>
          <w:spacing w:val="1"/>
          <w:lang w:val="en-US"/>
        </w:rPr>
        <w:t xml:space="preserve">Suelos ricos en nutrientes, alimentos sanos, biodiversidad, diversidad de especies, bienestar animal y cadenas de valor social: Esto es lo que caracteriza a la agricultura biodinámica. Pero, ¿cómo se consigue esto? La biodinámica se esfuerza por trabajar en armonía con el cosmos, la naturaleza y los seres humanos y por considerarlos en sus múltiples interrelaciones e interacciones. Las ciencias naturales y las ciencias espirituales se dan la mano. En 1924, por ejemplo, Rudolf Steiner introdujo el concepto de individualidad en el campo de la agronomía cuando un grupo de agricultores necesitados le pidieron consejo. ¡Toda una novedad! Surgió la „individualidad agrícola“, que vino acompañada de una nueva comprensión de la agricultura. </w:t>
      </w:r>
    </w:p>
    <w:p w14:paraId="59E7D6C5" w14:textId="77777777" w:rsidR="00AB17C0" w:rsidRPr="00AB17C0" w:rsidRDefault="00AB17C0" w:rsidP="00AB17C0">
      <w:pPr>
        <w:pStyle w:val="body"/>
        <w:rPr>
          <w:rFonts w:ascii="Titillium" w:hAnsi="Titillium" w:cs="Titillium"/>
          <w:spacing w:val="1"/>
          <w:lang w:val="en-US"/>
        </w:rPr>
      </w:pPr>
    </w:p>
    <w:p w14:paraId="2E273190" w14:textId="77777777" w:rsidR="00AB17C0" w:rsidRPr="00AB17C0" w:rsidRDefault="00AB17C0" w:rsidP="00AB17C0">
      <w:pPr>
        <w:pStyle w:val="body"/>
        <w:rPr>
          <w:rFonts w:ascii="Titillium" w:hAnsi="Titillium" w:cs="Titillium"/>
          <w:spacing w:val="1"/>
          <w:lang w:val="en-US"/>
        </w:rPr>
      </w:pPr>
      <w:r w:rsidRPr="00AB17C0">
        <w:rPr>
          <w:rFonts w:ascii="Titillium" w:hAnsi="Titillium" w:cs="Titillium"/>
          <w:spacing w:val="1"/>
          <w:lang w:val="en-US"/>
        </w:rPr>
        <w:t>Varios artículos del primer número de la revista ‹Granjas vivas› describen lo que significan esta concepción y los términos asociados a ella. En los últimos 100 años, la agricultura biodinámica se ha extendido por todo el mundo. Loa artículos documentan cómo gracias a la biodinámica han mejorado las condiciones de vida en seis países. Jean-Michel Florin, codirector de la Sección de Agricultura del Goetheanum, dice en una entrevista sobre los actuales cursos de formación en Ucrania: «La agricultura biodinámica puede garantizar que siempre se encuentren perspectivas de futuro a pesar de crisis y obstáculos.»</w:t>
      </w:r>
    </w:p>
    <w:p w14:paraId="30A52DAA" w14:textId="77777777" w:rsidR="00AB17C0" w:rsidRPr="00AB17C0" w:rsidRDefault="00AB17C0" w:rsidP="00AB17C0">
      <w:pPr>
        <w:pStyle w:val="body"/>
        <w:rPr>
          <w:rFonts w:ascii="Titillium" w:hAnsi="Titillium" w:cs="Titillium"/>
          <w:spacing w:val="1"/>
          <w:lang w:val="en-US"/>
        </w:rPr>
      </w:pPr>
    </w:p>
    <w:p w14:paraId="4BD5B01E" w14:textId="77777777" w:rsidR="00AB17C0" w:rsidRPr="00AB17C0" w:rsidRDefault="00AB17C0" w:rsidP="00AB17C0">
      <w:pPr>
        <w:pStyle w:val="body"/>
        <w:rPr>
          <w:rFonts w:ascii="Titillium" w:hAnsi="Titillium" w:cs="Titillium"/>
          <w:spacing w:val="1"/>
          <w:lang w:val="en-US"/>
        </w:rPr>
      </w:pPr>
      <w:r w:rsidRPr="00AB17C0">
        <w:rPr>
          <w:rFonts w:ascii="Titillium" w:hAnsi="Titillium" w:cs="Titillium"/>
          <w:spacing w:val="1"/>
          <w:lang w:val="en-US"/>
        </w:rPr>
        <w:t xml:space="preserve">En la actualidad se calcula que existen unas 30.000 explotaciones biodinámicas en todo el mundo. Se han creado institutos de investigación, programas de formación, empresas de transformación y comercialización y mucho más. Es la prueba de un impulso cultural en el campo de la agricultura, hecha visible gracias a las contribu-ciones de la nueva revista. </w:t>
      </w:r>
    </w:p>
    <w:p w14:paraId="5FD2552D" w14:textId="74CD58EF" w:rsidR="00AB17C0" w:rsidRPr="00AB17C0" w:rsidRDefault="00AB17C0" w:rsidP="00AB17C0">
      <w:pPr>
        <w:pStyle w:val="body"/>
        <w:jc w:val="right"/>
        <w:rPr>
          <w:rFonts w:ascii="Titillium" w:hAnsi="Titillium" w:cs="Titillium"/>
          <w:lang w:val="en-US"/>
        </w:rPr>
      </w:pPr>
      <w:r w:rsidRPr="00AB17C0">
        <w:rPr>
          <w:rFonts w:ascii="Titillium" w:hAnsi="Titillium" w:cs="Titillium"/>
          <w:lang w:val="en-US"/>
        </w:rPr>
        <w:t>(</w:t>
      </w:r>
      <w:r>
        <w:rPr>
          <w:rFonts w:ascii="Titillium" w:hAnsi="Titillium" w:cs="Titillium"/>
          <w:lang w:val="en-US"/>
        </w:rPr>
        <w:t>1947</w:t>
      </w:r>
      <w:r w:rsidRPr="00AB17C0">
        <w:rPr>
          <w:rFonts w:ascii="Titillium" w:hAnsi="Titillium" w:cs="Titillium"/>
          <w:lang w:val="en-US"/>
        </w:rPr>
        <w:t xml:space="preserve"> caracteres/</w:t>
      </w:r>
      <w:r w:rsidR="00BA2CD1">
        <w:rPr>
          <w:rFonts w:ascii="Titillium" w:hAnsi="Titillium" w:cs="Titillium"/>
          <w:lang w:val="en-US"/>
        </w:rPr>
        <w:t>Anna Storchenegger</w:t>
      </w:r>
      <w:r w:rsidRPr="00AB17C0">
        <w:rPr>
          <w:rFonts w:ascii="Titillium" w:hAnsi="Titillium" w:cs="Titillium"/>
          <w:lang w:val="en-US"/>
        </w:rPr>
        <w:t>; traducido por Michael Kranawetvogl)</w:t>
      </w:r>
    </w:p>
    <w:p w14:paraId="231A76DE" w14:textId="77777777" w:rsidR="00AB17C0" w:rsidRPr="00AB17C0" w:rsidRDefault="00AB17C0" w:rsidP="00AB17C0">
      <w:pPr>
        <w:pStyle w:val="body"/>
        <w:rPr>
          <w:rFonts w:ascii="Titillium" w:hAnsi="Titillium" w:cs="Titillium"/>
          <w:spacing w:val="1"/>
          <w:lang w:val="en-US"/>
        </w:rPr>
      </w:pPr>
    </w:p>
    <w:p w14:paraId="092EB7D3" w14:textId="77777777" w:rsidR="00AB17C0" w:rsidRPr="00AB17C0" w:rsidRDefault="00AB17C0" w:rsidP="00AB17C0">
      <w:pPr>
        <w:pStyle w:val="body"/>
        <w:rPr>
          <w:rFonts w:ascii="Titillium" w:hAnsi="Titillium" w:cs="Titillium"/>
          <w:spacing w:val="1"/>
          <w:lang w:val="en-US"/>
        </w:rPr>
      </w:pPr>
      <w:r w:rsidRPr="00AB17C0">
        <w:rPr>
          <w:rFonts w:ascii="Titillium Bd" w:hAnsi="Titillium Bd" w:cs="Titillium Bd"/>
          <w:b/>
          <w:bCs/>
          <w:spacing w:val="1"/>
          <w:lang w:val="en-US"/>
        </w:rPr>
        <w:t>Revista ‹Living Farms› (en alemán e inglés)</w:t>
      </w:r>
      <w:r w:rsidRPr="00AB17C0">
        <w:rPr>
          <w:rFonts w:ascii="Titillium" w:hAnsi="Titillium" w:cs="Titillium"/>
          <w:spacing w:val="1"/>
          <w:lang w:val="en-US"/>
        </w:rPr>
        <w:t xml:space="preserve"> aparece a principios de junio y diciembre, en formato impreso y digital/online </w:t>
      </w:r>
      <w:r w:rsidRPr="00AB17C0">
        <w:rPr>
          <w:rFonts w:ascii="Titillium Bd" w:hAnsi="Titillium Bd" w:cs="Titillium Bd"/>
          <w:b/>
          <w:bCs/>
          <w:spacing w:val="1"/>
          <w:lang w:val="en-US"/>
        </w:rPr>
        <w:t>Web</w:t>
      </w:r>
      <w:r w:rsidRPr="00AB17C0">
        <w:rPr>
          <w:rFonts w:ascii="Titillium" w:hAnsi="Titillium" w:cs="Titillium"/>
          <w:spacing w:val="1"/>
          <w:lang w:val="en-US"/>
        </w:rPr>
        <w:t xml:space="preserve"> www.sektion-landwirtschaft.org/ea/neues-magazin-der-sektion-fuer-landwirtschaft</w:t>
      </w:r>
    </w:p>
    <w:p w14:paraId="7DBB424B" w14:textId="5895E2E8" w:rsidR="006E7E7B" w:rsidRPr="00AB17C0" w:rsidRDefault="00AB17C0" w:rsidP="00AB17C0">
      <w:pPr>
        <w:pStyle w:val="body"/>
        <w:rPr>
          <w:rFonts w:ascii="Titillium" w:hAnsi="Titillium" w:cs="Titillium"/>
          <w:spacing w:val="1"/>
          <w:lang w:val="en-US"/>
        </w:rPr>
      </w:pPr>
      <w:r w:rsidRPr="00AB17C0">
        <w:rPr>
          <w:rFonts w:ascii="Titillium Bd" w:hAnsi="Titillium Bd" w:cs="Titillium Bd"/>
          <w:b/>
          <w:bCs/>
          <w:spacing w:val="1"/>
          <w:lang w:val="en-US"/>
        </w:rPr>
        <w:t>Contacto</w:t>
      </w:r>
      <w:r w:rsidRPr="00AB17C0">
        <w:rPr>
          <w:rFonts w:ascii="Titillium" w:hAnsi="Titillium" w:cs="Titillium"/>
          <w:spacing w:val="1"/>
          <w:lang w:val="en-US"/>
        </w:rPr>
        <w:t xml:space="preserve"> Anna Storchenegger, anna.storchenegger@goetheanum.ch</w:t>
      </w:r>
    </w:p>
    <w:sectPr w:rsidR="006E7E7B" w:rsidRPr="00AB17C0"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96DE3"/>
    <w:rsid w:val="006E7E7B"/>
    <w:rsid w:val="006F57DB"/>
    <w:rsid w:val="007A3A2F"/>
    <w:rsid w:val="0081275A"/>
    <w:rsid w:val="00AB17C0"/>
    <w:rsid w:val="00B90BB3"/>
    <w:rsid w:val="00BA2CD1"/>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2184</Characters>
  <Application>Microsoft Office Word</Application>
  <DocSecurity>0</DocSecurity>
  <Lines>18</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2024-06-25T14:35:00Z</dcterms:modified>
</cp:coreProperties>
</file>