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33632C77" w14:textId="77777777" w:rsidR="005C4A29" w:rsidRDefault="005C4A29" w:rsidP="005C4A29">
      <w:pPr>
        <w:pStyle w:val="titel"/>
        <w:jc w:val="right"/>
        <w:rPr>
          <w:sz w:val="22"/>
          <w:szCs w:val="22"/>
        </w:rPr>
      </w:pPr>
      <w:r>
        <w:rPr>
          <w:sz w:val="22"/>
          <w:szCs w:val="22"/>
        </w:rPr>
        <w:tab/>
        <w:t>Goetheanum, Dornach, Suiza, 4 de diciembre de 2025</w:t>
      </w:r>
    </w:p>
    <w:p w14:paraId="7EADA97E" w14:textId="77777777" w:rsidR="005C4A29" w:rsidRDefault="005C4A29" w:rsidP="005C4A29">
      <w:pPr>
        <w:pStyle w:val="body"/>
      </w:pPr>
    </w:p>
    <w:p w14:paraId="674C45ED" w14:textId="77777777" w:rsidR="005C4A29" w:rsidRPr="005C4A29" w:rsidRDefault="005C4A29" w:rsidP="005C4A29">
      <w:pPr>
        <w:pStyle w:val="titel"/>
        <w:spacing w:before="57"/>
        <w:rPr>
          <w:b/>
          <w:bCs/>
          <w:sz w:val="28"/>
          <w:szCs w:val="28"/>
        </w:rPr>
      </w:pPr>
      <w:r w:rsidRPr="005C4A29">
        <w:rPr>
          <w:b/>
          <w:bCs/>
          <w:sz w:val="28"/>
          <w:szCs w:val="28"/>
        </w:rPr>
        <w:t xml:space="preserve">Enfrentar los retos juntos </w:t>
      </w:r>
    </w:p>
    <w:p w14:paraId="74237860" w14:textId="77777777" w:rsidR="005C4A29" w:rsidRPr="005C4A29" w:rsidRDefault="005C4A29" w:rsidP="005C4A29">
      <w:pPr>
        <w:pStyle w:val="titel"/>
        <w:spacing w:before="57"/>
        <w:rPr>
          <w:b/>
          <w:bCs/>
          <w:sz w:val="24"/>
          <w:szCs w:val="24"/>
        </w:rPr>
      </w:pPr>
      <w:r w:rsidRPr="005C4A29">
        <w:rPr>
          <w:b/>
          <w:bCs/>
          <w:sz w:val="24"/>
          <w:szCs w:val="24"/>
        </w:rPr>
        <w:t xml:space="preserve">El cuidado de las relaciones humanas como aspecto integral de la agricultura biodinámica </w:t>
      </w:r>
    </w:p>
    <w:p w14:paraId="0FCDEE91" w14:textId="77777777" w:rsidR="005C4A29" w:rsidRPr="005C4A29" w:rsidRDefault="005C4A29" w:rsidP="005C4A29">
      <w:pPr>
        <w:pStyle w:val="body"/>
        <w:rPr>
          <w:b/>
          <w:bCs/>
        </w:rPr>
      </w:pPr>
    </w:p>
    <w:p w14:paraId="6A45F588" w14:textId="77777777" w:rsidR="005C4A29" w:rsidRPr="005C4A29" w:rsidRDefault="005C4A29" w:rsidP="005C4A29">
      <w:pPr>
        <w:pStyle w:val="body"/>
        <w:rPr>
          <w:rFonts w:ascii="Titillium" w:hAnsi="Titillium" w:cs="Titillium"/>
          <w:b/>
          <w:bCs/>
          <w:sz w:val="20"/>
          <w:szCs w:val="20"/>
        </w:rPr>
      </w:pPr>
      <w:r w:rsidRPr="005C4A29">
        <w:rPr>
          <w:rFonts w:ascii="Titillium" w:hAnsi="Titillium" w:cs="Titillium"/>
          <w:b/>
          <w:bCs/>
          <w:spacing w:val="-1"/>
          <w:sz w:val="20"/>
          <w:szCs w:val="20"/>
        </w:rPr>
        <w:t>La agricultura se enfrenta a una variedad de desafíos: económicos, ecológicos y sociales. Un enfoque central de la agricultura biodinámica es la promoción de comunidades, ya sea en el suelo o en la granja.</w:t>
      </w:r>
    </w:p>
    <w:p w14:paraId="18E95FD7" w14:textId="77777777" w:rsidR="005C4A29" w:rsidRDefault="005C4A29" w:rsidP="005C4A29">
      <w:pPr>
        <w:pStyle w:val="body"/>
        <w:rPr>
          <w:rFonts w:ascii="Titillium" w:hAnsi="Titillium" w:cs="Titillium"/>
          <w:spacing w:val="1"/>
          <w:sz w:val="20"/>
          <w:szCs w:val="20"/>
        </w:rPr>
      </w:pPr>
    </w:p>
    <w:p w14:paraId="4C0E7121" w14:textId="77777777" w:rsidR="005C4A29" w:rsidRDefault="005C4A29" w:rsidP="005C4A29">
      <w:pPr>
        <w:pStyle w:val="body"/>
        <w:rPr>
          <w:rFonts w:ascii="Titillium" w:hAnsi="Titillium" w:cs="Titillium"/>
          <w:spacing w:val="1"/>
          <w:sz w:val="20"/>
          <w:szCs w:val="20"/>
        </w:rPr>
      </w:pPr>
      <w:r>
        <w:rPr>
          <w:rFonts w:ascii="Titillium" w:hAnsi="Titillium" w:cs="Titillium"/>
          <w:spacing w:val="1"/>
          <w:sz w:val="20"/>
          <w:szCs w:val="20"/>
        </w:rPr>
        <w:t>«Vivimos en una época de fragmentación y desilusión generalizada. Es urgentemente necesario   crear nuevas comunidades capaces de afrontar los retos de nuestro tiempo», dice Eduardo Rincón, codirector de la Sección de Agricultura en el Goetheanum. De hecho, los agricultores nunca trabajan solos, ya sea en el cultivo agrícola, en el cuidado de los animales, el desarrollo de mercados locales, la adquisición de terrenos o la construcción de edificios. La agricultura biodinámica también promueve la microbiota del suelo y por tanto la fertilidad, captura el carbono en el suelo, protege la biodiversidad, y por último pero no menos importante, ofrece un espacio para el desarrollo regional y personal. Todos estos beneficios medioambientales y sociales pueden medirse con una calculadora de rendimiento en una determinada región. Estudios iniciales como el ‹Proyecto de 1000 Empresas› muestran que las granjas ecológicas alcanzan un nivel de bien común especialmente elevado y pueden ser espacios para encuentros sociales, además de tener la función de centros educativos y terapéuticos.</w:t>
      </w:r>
    </w:p>
    <w:p w14:paraId="6116D767" w14:textId="77777777" w:rsidR="005C4A29" w:rsidRDefault="005C4A29" w:rsidP="005C4A29">
      <w:pPr>
        <w:pStyle w:val="body"/>
        <w:rPr>
          <w:rFonts w:ascii="Titillium" w:hAnsi="Titillium" w:cs="Titillium"/>
          <w:spacing w:val="1"/>
          <w:sz w:val="20"/>
          <w:szCs w:val="20"/>
        </w:rPr>
      </w:pPr>
    </w:p>
    <w:p w14:paraId="44527125" w14:textId="77777777" w:rsidR="005C4A29" w:rsidRDefault="005C4A29" w:rsidP="005C4A29">
      <w:pPr>
        <w:pStyle w:val="body"/>
        <w:rPr>
          <w:rFonts w:ascii="Titillium" w:hAnsi="Titillium" w:cs="Titillium"/>
          <w:spacing w:val="1"/>
          <w:sz w:val="20"/>
          <w:szCs w:val="20"/>
        </w:rPr>
      </w:pPr>
      <w:r>
        <w:rPr>
          <w:rFonts w:ascii="Titillium" w:hAnsi="Titillium" w:cs="Titillium"/>
          <w:spacing w:val="1"/>
          <w:sz w:val="20"/>
          <w:szCs w:val="20"/>
        </w:rPr>
        <w:t xml:space="preserve">Un ejemplo es la granja Pente en Alemania, que funciona sobre la base de proyectos de agricultura solidaria. En ellos, los niños y jóvenes participantes aprenden a asumir responsabilidad por su trabajo, experimentan el efecto directo de sus acciones y desarrollan un sentido de comunidad. Tobias Hartkemeyer, cofundador de la granja Pente, explica: «¿Qué necesitamos para entrar en la vida? Lugares que nos dan la sensación de que somos importantes para que la comunidad siga adelante.» Enfoques educativos terapéuticos como el Ruskin Mill Trust en el Reino Unido también atribuyen un valor decisivo al trabajo práctico por su cualidad de promover capacidades individuales y fortalecer la integración social. Bernie Courts, investigador y consultor en agricultura biodinámica en Ruskin Mill Trust, afirma: «Solo cuando experimentamos fiabilidad y confianza en nuestro entorno podemos dar los siguientes pasos en el crecimiento personal.» Las comunidades agrí-colas abren la posibilidad de establecer nuevos impulsos educativos, sociales y económicos, y de encontrar formas creativas para el futuro.  </w:t>
      </w:r>
    </w:p>
    <w:p w14:paraId="29CB7368" w14:textId="77777777" w:rsidR="005C4A29" w:rsidRDefault="005C4A29" w:rsidP="005C4A29">
      <w:pPr>
        <w:pStyle w:val="body"/>
        <w:rPr>
          <w:rFonts w:ascii="Titillium" w:hAnsi="Titillium" w:cs="Titillium"/>
          <w:spacing w:val="1"/>
          <w:sz w:val="20"/>
          <w:szCs w:val="20"/>
        </w:rPr>
      </w:pPr>
    </w:p>
    <w:p w14:paraId="7D1723E3" w14:textId="77777777" w:rsidR="005C4A29" w:rsidRDefault="005C4A29" w:rsidP="005C4A29">
      <w:pPr>
        <w:pStyle w:val="body"/>
        <w:rPr>
          <w:rFonts w:ascii="Titillium" w:hAnsi="Titillium" w:cs="Titillium"/>
          <w:spacing w:val="1"/>
          <w:sz w:val="20"/>
          <w:szCs w:val="20"/>
        </w:rPr>
      </w:pPr>
      <w:r>
        <w:rPr>
          <w:rFonts w:ascii="Titillium" w:hAnsi="Titillium" w:cs="Titillium"/>
          <w:spacing w:val="1"/>
          <w:sz w:val="20"/>
          <w:szCs w:val="20"/>
        </w:rPr>
        <w:t>La Sección de Agricultura en el Goetheanum da importancia al tema de la dimensión social de la agricultura biodinámica; por ello este tema será el centro de su conferencia anual 2026 ‹You Never Farm Alone› en el Goetheanum.</w:t>
      </w:r>
    </w:p>
    <w:p w14:paraId="7BC8A3C3" w14:textId="77777777" w:rsidR="005C4A29" w:rsidRDefault="005C4A29" w:rsidP="005C4A29">
      <w:pPr>
        <w:pStyle w:val="body"/>
        <w:jc w:val="right"/>
        <w:rPr>
          <w:rFonts w:ascii="Titillium" w:hAnsi="Titillium" w:cs="Titillium"/>
          <w:sz w:val="20"/>
          <w:szCs w:val="20"/>
        </w:rPr>
      </w:pPr>
      <w:r>
        <w:rPr>
          <w:rFonts w:ascii="Titillium" w:hAnsi="Titillium" w:cs="Titillium"/>
          <w:sz w:val="20"/>
          <w:szCs w:val="20"/>
        </w:rPr>
        <w:t>(2616 caracteres/SJ; traducido por Michael Kranawetvogl)</w:t>
      </w:r>
    </w:p>
    <w:p w14:paraId="5B3F6A0C" w14:textId="77777777" w:rsidR="005C4A29" w:rsidRDefault="005C4A29" w:rsidP="005C4A29">
      <w:pPr>
        <w:pStyle w:val="body"/>
        <w:spacing w:before="57"/>
        <w:rPr>
          <w:rFonts w:ascii="Titillium" w:hAnsi="Titillium" w:cs="Titillium"/>
          <w:spacing w:val="1"/>
          <w:sz w:val="20"/>
          <w:szCs w:val="20"/>
        </w:rPr>
      </w:pPr>
      <w:r>
        <w:rPr>
          <w:rFonts w:ascii="Titillium Bd" w:hAnsi="Titillium Bd" w:cs="Titillium Bd"/>
          <w:b/>
          <w:bCs/>
          <w:spacing w:val="1"/>
          <w:sz w:val="20"/>
          <w:szCs w:val="20"/>
        </w:rPr>
        <w:t xml:space="preserve">Conferencia de la Sección de Agricultura (alemán, inglés, francés, italiano y español) </w:t>
      </w:r>
      <w:r>
        <w:rPr>
          <w:rFonts w:ascii="Titillium" w:hAnsi="Titillium" w:cs="Titillium"/>
          <w:spacing w:val="1"/>
          <w:sz w:val="20"/>
          <w:szCs w:val="20"/>
        </w:rPr>
        <w:t xml:space="preserve">You Never Farm Alone, del 4 al 7 de febrero de 2026, Goetheanum </w:t>
      </w:r>
      <w:r>
        <w:rPr>
          <w:rFonts w:ascii="Titillium Bd" w:hAnsi="Titillium Bd" w:cs="Titillium Bd"/>
          <w:b/>
          <w:bCs/>
          <w:spacing w:val="1"/>
          <w:sz w:val="20"/>
          <w:szCs w:val="20"/>
        </w:rPr>
        <w:t>Web (en inglés)</w:t>
      </w:r>
      <w:r>
        <w:rPr>
          <w:rFonts w:ascii="Titillium" w:hAnsi="Titillium" w:cs="Titillium"/>
          <w:spacing w:val="1"/>
          <w:sz w:val="20"/>
          <w:szCs w:val="20"/>
        </w:rPr>
        <w:t xml:space="preserve"> www.agriculture-conference.org/en-gb </w:t>
      </w:r>
    </w:p>
    <w:p w14:paraId="7DBB424B" w14:textId="2AD43217" w:rsidR="006E7E7B" w:rsidRDefault="005C4A29" w:rsidP="005C4A29">
      <w:r>
        <w:rPr>
          <w:rFonts w:ascii="Titillium Bd" w:hAnsi="Titillium Bd" w:cs="Titillium Bd"/>
          <w:b/>
          <w:bCs/>
          <w:spacing w:val="1"/>
          <w:sz w:val="20"/>
          <w:szCs w:val="20"/>
        </w:rPr>
        <w:t xml:space="preserve">Contacto </w:t>
      </w:r>
      <w:r>
        <w:rPr>
          <w:rFonts w:ascii="Titillium" w:hAnsi="Titillium" w:cs="Titillium"/>
          <w:spacing w:val="1"/>
          <w:sz w:val="20"/>
          <w:szCs w:val="20"/>
        </w:rPr>
        <w:t>Anna Storchenegger, anna.storchenegger@goetheanum.ch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5C4A29"/>
    <w:rsid w:val="006E7E7B"/>
    <w:rsid w:val="006F57DB"/>
    <w:rsid w:val="007A3A2F"/>
    <w:rsid w:val="0081275A"/>
    <w:rsid w:val="00B90BB3"/>
    <w:rsid w:val="00D44712"/>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2715</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2025-12-03T18:44:00Z</dcterms:modified>
</cp:coreProperties>
</file>