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FFB74" w14:textId="00CE76AC" w:rsidR="006417A1" w:rsidRDefault="006417A1" w:rsidP="006417A1">
      <w:pPr>
        <w:spacing w:line="360" w:lineRule="auto"/>
        <w:jc w:val="right"/>
        <w:rPr>
          <w:rFonts w:ascii="Arial" w:hAnsi="Arial" w:cs="Arial"/>
          <w:b/>
          <w:bCs/>
        </w:rPr>
      </w:pPr>
      <w:r w:rsidRPr="008D051F">
        <w:rPr>
          <w:rFonts w:ascii="Meta OT Book" w:hAnsi="Meta OT Book" w:cs="Arial"/>
          <w:noProof/>
          <w:sz w:val="24"/>
          <w:szCs w:val="24"/>
          <w:shd w:val="clear" w:color="auto" w:fill="FFFFFF"/>
          <w:lang w:eastAsia="de-DE"/>
        </w:rPr>
        <w:drawing>
          <wp:inline distT="0" distB="0" distL="0" distR="0" wp14:anchorId="0BAB5CAF" wp14:editId="4C784F4D">
            <wp:extent cx="1874520" cy="938913"/>
            <wp:effectExtent l="0" t="0" r="0" b="0"/>
            <wp:docPr id="281177116" name="Grafik 281177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klein_KS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5663" cy="949503"/>
                    </a:xfrm>
                    <a:prstGeom prst="rect">
                      <a:avLst/>
                    </a:prstGeom>
                  </pic:spPr>
                </pic:pic>
              </a:graphicData>
            </a:graphic>
          </wp:inline>
        </w:drawing>
      </w:r>
    </w:p>
    <w:p w14:paraId="734C8FE7" w14:textId="77777777" w:rsidR="006417A1" w:rsidRPr="00DF0A62" w:rsidRDefault="006417A1" w:rsidP="006417A1">
      <w:pPr>
        <w:pBdr>
          <w:top w:val="nil"/>
          <w:left w:val="nil"/>
          <w:bottom w:val="nil"/>
          <w:right w:val="nil"/>
          <w:between w:val="nil"/>
        </w:pBdr>
        <w:spacing w:after="280" w:line="360" w:lineRule="auto"/>
        <w:jc w:val="both"/>
        <w:rPr>
          <w:rFonts w:ascii="Arial" w:eastAsia="Meta OT Book" w:hAnsi="Arial" w:cs="Arial"/>
          <w:color w:val="2A594B"/>
          <w:sz w:val="24"/>
          <w:szCs w:val="24"/>
        </w:rPr>
      </w:pPr>
      <w:r w:rsidRPr="00DF0A62">
        <w:rPr>
          <w:rFonts w:ascii="Arial" w:eastAsia="Meta OT Book" w:hAnsi="Arial" w:cs="Arial"/>
          <w:color w:val="2A594B"/>
          <w:sz w:val="24"/>
          <w:szCs w:val="24"/>
        </w:rPr>
        <w:t>PRESSEINFORMATION</w:t>
      </w:r>
    </w:p>
    <w:p w14:paraId="5CF51577" w14:textId="77777777" w:rsidR="00352CAB" w:rsidRPr="00352CAB" w:rsidRDefault="00352CAB" w:rsidP="00352CAB">
      <w:pPr>
        <w:pBdr>
          <w:top w:val="nil"/>
          <w:left w:val="nil"/>
          <w:bottom w:val="nil"/>
          <w:right w:val="nil"/>
          <w:between w:val="nil"/>
        </w:pBdr>
        <w:spacing w:after="280" w:line="360" w:lineRule="auto"/>
        <w:jc w:val="both"/>
        <w:rPr>
          <w:rFonts w:ascii="Arial" w:eastAsia="Meta OT Book" w:hAnsi="Arial" w:cs="Arial"/>
          <w:b/>
          <w:bCs/>
          <w:color w:val="2A594B"/>
          <w:sz w:val="24"/>
          <w:szCs w:val="24"/>
        </w:rPr>
      </w:pPr>
      <w:r w:rsidRPr="00352CAB">
        <w:rPr>
          <w:rFonts w:ascii="Arial" w:eastAsia="Meta OT Book" w:hAnsi="Arial" w:cs="Arial"/>
          <w:b/>
          <w:bCs/>
          <w:color w:val="2A594B"/>
          <w:sz w:val="24"/>
          <w:szCs w:val="24"/>
        </w:rPr>
        <w:t>Das neue Gebäudemodernisierungsgesetz - Neue Regeln zur Förderung seit dem 21. Juli</w:t>
      </w:r>
    </w:p>
    <w:p w14:paraId="41454EB9" w14:textId="77777777" w:rsidR="00352CAB" w:rsidRPr="00352CAB" w:rsidRDefault="00352CAB" w:rsidP="00352CAB">
      <w:pPr>
        <w:pBdr>
          <w:top w:val="nil"/>
          <w:left w:val="nil"/>
          <w:bottom w:val="nil"/>
          <w:right w:val="nil"/>
          <w:between w:val="nil"/>
        </w:pBdr>
        <w:spacing w:after="280" w:line="360" w:lineRule="auto"/>
        <w:jc w:val="both"/>
        <w:rPr>
          <w:rFonts w:ascii="Arial" w:eastAsia="Meta OT Book" w:hAnsi="Arial" w:cs="Arial"/>
          <w:color w:val="2A594B"/>
        </w:rPr>
      </w:pPr>
      <w:r w:rsidRPr="00352CAB">
        <w:rPr>
          <w:rFonts w:ascii="Arial" w:eastAsia="Meta OT Book" w:hAnsi="Arial" w:cs="Arial"/>
          <w:color w:val="2A594B"/>
        </w:rPr>
        <w:t>Reutlingen, 23.07.2026: Lange Zeit wurde es kontrovers diskutiert, nun ist das neue Gebäudemodernisierungsgesetz (</w:t>
      </w:r>
      <w:proofErr w:type="spellStart"/>
      <w:r w:rsidRPr="00352CAB">
        <w:rPr>
          <w:rFonts w:ascii="Arial" w:eastAsia="Meta OT Book" w:hAnsi="Arial" w:cs="Arial"/>
          <w:color w:val="2A594B"/>
        </w:rPr>
        <w:t>GmodG</w:t>
      </w:r>
      <w:proofErr w:type="spellEnd"/>
      <w:r w:rsidRPr="00352CAB">
        <w:rPr>
          <w:rFonts w:ascii="Arial" w:eastAsia="Meta OT Book" w:hAnsi="Arial" w:cs="Arial"/>
          <w:color w:val="2A594B"/>
        </w:rPr>
        <w:t xml:space="preserve">) beschlossen und löst das bisherige Gebäudeenergiegesetz (GEG), auch bekannt als Heizungsgesetz ab.  Seit dem 21. Juli gelten nun neue Vorgaben beim Heizungstausch und bei den Fördermöglichkeiten. Die </w:t>
      </w:r>
      <w:proofErr w:type="spellStart"/>
      <w:r w:rsidRPr="00352CAB">
        <w:rPr>
          <w:rFonts w:ascii="Arial" w:eastAsia="Meta OT Book" w:hAnsi="Arial" w:cs="Arial"/>
          <w:color w:val="2A594B"/>
        </w:rPr>
        <w:t>KlimaschutzAgentur</w:t>
      </w:r>
      <w:proofErr w:type="spellEnd"/>
      <w:r w:rsidRPr="00352CAB">
        <w:rPr>
          <w:rFonts w:ascii="Arial" w:eastAsia="Meta OT Book" w:hAnsi="Arial" w:cs="Arial"/>
          <w:color w:val="2A594B"/>
        </w:rPr>
        <w:t xml:space="preserve"> Reutlingen gibt einen Überblick über die neuesten Regelungen.</w:t>
      </w:r>
    </w:p>
    <w:p w14:paraId="1AE9D68B" w14:textId="77777777" w:rsidR="00352CAB" w:rsidRPr="00352CAB" w:rsidRDefault="00352CAB" w:rsidP="00352CAB">
      <w:pPr>
        <w:pBdr>
          <w:top w:val="nil"/>
          <w:left w:val="nil"/>
          <w:bottom w:val="nil"/>
          <w:right w:val="nil"/>
          <w:between w:val="nil"/>
        </w:pBdr>
        <w:spacing w:after="280" w:line="360" w:lineRule="auto"/>
        <w:jc w:val="both"/>
        <w:rPr>
          <w:rFonts w:ascii="Arial" w:eastAsia="Meta OT Book" w:hAnsi="Arial" w:cs="Arial"/>
          <w:color w:val="2A594B"/>
        </w:rPr>
      </w:pPr>
      <w:r w:rsidRPr="00352CAB">
        <w:rPr>
          <w:rFonts w:ascii="Arial" w:eastAsia="Meta OT Book" w:hAnsi="Arial" w:cs="Arial"/>
          <w:color w:val="2A594B"/>
        </w:rPr>
        <w:t>Seit dem 21. Juli gilt, dass die Austauschpflicht für 30-Jahre alte Ölheizungen entfällt. Wer eine neue Heizung einbaut und installiert, hat neuerdings die komplette Wahlfreiheit beim Heizsystem. Gas- und Ölheizungen dürfen weiterhin eingebaut werden, sind aber an die Vorgaben der Biotreppe gekoppelt. „Das bedeutet: Wer sich heute oder in Zukunft für eine reguläre Gas- oder Ölheizung entscheidet, muss schrittweise einen immer höheren Anteil an CO</w:t>
      </w:r>
      <w:r w:rsidRPr="00352CAB">
        <w:rPr>
          <w:rFonts w:ascii="Cambria Math" w:eastAsia="Meta OT Book" w:hAnsi="Cambria Math" w:cs="Cambria Math"/>
          <w:color w:val="2A594B"/>
        </w:rPr>
        <w:t>₂</w:t>
      </w:r>
      <w:r w:rsidRPr="00352CAB">
        <w:rPr>
          <w:rFonts w:ascii="Arial" w:eastAsia="Meta OT Book" w:hAnsi="Arial" w:cs="Arial"/>
          <w:color w:val="2A594B"/>
        </w:rPr>
        <w:t xml:space="preserve">-neutralen Brennstoffen, wie Biomethan, </w:t>
      </w:r>
      <w:proofErr w:type="spellStart"/>
      <w:r w:rsidRPr="00352CAB">
        <w:rPr>
          <w:rFonts w:ascii="Arial" w:eastAsia="Meta OT Book" w:hAnsi="Arial" w:cs="Arial"/>
          <w:color w:val="2A594B"/>
        </w:rPr>
        <w:t>Bioöl</w:t>
      </w:r>
      <w:proofErr w:type="spellEnd"/>
      <w:r w:rsidRPr="00352CAB">
        <w:rPr>
          <w:rFonts w:ascii="Arial" w:eastAsia="Meta OT Book" w:hAnsi="Arial" w:cs="Arial"/>
          <w:color w:val="2A594B"/>
        </w:rPr>
        <w:t xml:space="preserve"> oder Wasserstoff beimischen“, erklärt Matthias Korb, Energieberater der </w:t>
      </w:r>
      <w:proofErr w:type="spellStart"/>
      <w:r w:rsidRPr="00352CAB">
        <w:rPr>
          <w:rFonts w:ascii="Arial" w:eastAsia="Meta OT Book" w:hAnsi="Arial" w:cs="Arial"/>
          <w:color w:val="2A594B"/>
        </w:rPr>
        <w:t>KlimaschutzAgentur</w:t>
      </w:r>
      <w:proofErr w:type="spellEnd"/>
      <w:r w:rsidRPr="00352CAB">
        <w:rPr>
          <w:rFonts w:ascii="Arial" w:eastAsia="Meta OT Book" w:hAnsi="Arial" w:cs="Arial"/>
          <w:color w:val="2A594B"/>
        </w:rPr>
        <w:t>.</w:t>
      </w:r>
    </w:p>
    <w:p w14:paraId="17D842FA" w14:textId="77777777" w:rsidR="00352CAB" w:rsidRPr="00352CAB" w:rsidRDefault="00352CAB" w:rsidP="00352CAB">
      <w:pPr>
        <w:pBdr>
          <w:top w:val="nil"/>
          <w:left w:val="nil"/>
          <w:bottom w:val="nil"/>
          <w:right w:val="nil"/>
          <w:between w:val="nil"/>
        </w:pBdr>
        <w:spacing w:after="280" w:line="360" w:lineRule="auto"/>
        <w:jc w:val="both"/>
        <w:rPr>
          <w:rFonts w:ascii="Arial" w:eastAsia="Meta OT Book" w:hAnsi="Arial" w:cs="Arial"/>
          <w:color w:val="2A594B"/>
        </w:rPr>
      </w:pPr>
      <w:r w:rsidRPr="00352CAB">
        <w:rPr>
          <w:rFonts w:ascii="Arial" w:eastAsia="Meta OT Book" w:hAnsi="Arial" w:cs="Arial"/>
          <w:color w:val="2A594B"/>
        </w:rPr>
        <w:t>Seit dem 21. Juli gelten außerdem neue Förderbedingungen: Für den Austausch einer alten Öl- oder Gasheizung gegen eine Wärmepumpe, Biomasseheizung oder einen Fernwärmeanschluss gibt es weiterhin eine Grundförderung von bis zu 30 Prozent der Kosten für jede und jeden. Diese Grundförderung gilt ab dem 1. Februar 2027 allerdings nur noch für europäische Wärmepumpen, Geräte aus anderen Herstellungsländern erhalten dann nur 15 % Förderung. </w:t>
      </w:r>
    </w:p>
    <w:p w14:paraId="5E8E384D" w14:textId="77777777" w:rsidR="00352CAB" w:rsidRPr="00352CAB" w:rsidRDefault="00352CAB" w:rsidP="00352CAB">
      <w:pPr>
        <w:pBdr>
          <w:top w:val="nil"/>
          <w:left w:val="nil"/>
          <w:bottom w:val="nil"/>
          <w:right w:val="nil"/>
          <w:between w:val="nil"/>
        </w:pBdr>
        <w:spacing w:after="280" w:line="360" w:lineRule="auto"/>
        <w:jc w:val="both"/>
        <w:rPr>
          <w:rFonts w:ascii="Arial" w:eastAsia="Meta OT Book" w:hAnsi="Arial" w:cs="Arial"/>
          <w:color w:val="2A594B"/>
        </w:rPr>
      </w:pPr>
      <w:r w:rsidRPr="00352CAB">
        <w:rPr>
          <w:rFonts w:ascii="Arial" w:eastAsia="Meta OT Book" w:hAnsi="Arial" w:cs="Arial"/>
          <w:color w:val="2A594B"/>
        </w:rPr>
        <w:t xml:space="preserve">Einkommensschwache Haushalte werden in der Förderung ebenfalls stärker berücksichtigt. Neben der Erhöhung der Einkommensgrenzen, ab denen man den prozentualen Einkommensbonus erhält, steigt für diese Gruppe auch die Obergrenze des Fördersatzes. Außerdem wurden verschiedene Stufen an Einkommen berücksichtigt, für Jahreseinkommen </w:t>
      </w:r>
      <w:r w:rsidRPr="00352CAB">
        <w:rPr>
          <w:rFonts w:ascii="Arial" w:eastAsia="Meta OT Book" w:hAnsi="Arial" w:cs="Arial"/>
          <w:color w:val="2A594B"/>
        </w:rPr>
        <w:lastRenderedPageBreak/>
        <w:t>von 30.000 € bis 50.000 € und für Haushalte mit minderjährigen Kindern gelten unterschiedliche Bedingungen. </w:t>
      </w:r>
    </w:p>
    <w:p w14:paraId="1112C6C1" w14:textId="77777777" w:rsidR="00352CAB" w:rsidRPr="00352CAB" w:rsidRDefault="00352CAB" w:rsidP="00352CAB">
      <w:pPr>
        <w:pBdr>
          <w:top w:val="nil"/>
          <w:left w:val="nil"/>
          <w:bottom w:val="nil"/>
          <w:right w:val="nil"/>
          <w:between w:val="nil"/>
        </w:pBdr>
        <w:spacing w:after="280" w:line="360" w:lineRule="auto"/>
        <w:jc w:val="both"/>
        <w:rPr>
          <w:rFonts w:ascii="Arial" w:eastAsia="Meta OT Book" w:hAnsi="Arial" w:cs="Arial"/>
          <w:color w:val="2A594B"/>
        </w:rPr>
      </w:pPr>
      <w:r w:rsidRPr="00352CAB">
        <w:rPr>
          <w:rFonts w:ascii="Arial" w:eastAsia="Meta OT Book" w:hAnsi="Arial" w:cs="Arial"/>
          <w:color w:val="2A594B"/>
        </w:rPr>
        <w:t>Der Klimageschwindigkeitsbonus kann weiterhin angerechnet werden, wenn eine klimaschädliche alte Heizung ausgetauscht wird. Der Bonus wurde jedoch von 20 auf 16 Prozent gekürzt und reduziert sich ab Februar halbjährlich um 4 %, wobei er bis Ende 2028 komplett entfällt.</w:t>
      </w:r>
    </w:p>
    <w:p w14:paraId="185F995B" w14:textId="77777777" w:rsidR="00352CAB" w:rsidRPr="00352CAB" w:rsidRDefault="00352CAB" w:rsidP="00352CAB">
      <w:pPr>
        <w:pBdr>
          <w:top w:val="nil"/>
          <w:left w:val="nil"/>
          <w:bottom w:val="nil"/>
          <w:right w:val="nil"/>
          <w:between w:val="nil"/>
        </w:pBdr>
        <w:spacing w:after="280" w:line="360" w:lineRule="auto"/>
        <w:jc w:val="both"/>
        <w:rPr>
          <w:rFonts w:ascii="Arial" w:eastAsia="Meta OT Book" w:hAnsi="Arial" w:cs="Arial"/>
          <w:color w:val="2A594B"/>
        </w:rPr>
      </w:pPr>
      <w:r w:rsidRPr="00352CAB">
        <w:rPr>
          <w:rFonts w:ascii="Arial" w:eastAsia="Meta OT Book" w:hAnsi="Arial" w:cs="Arial"/>
          <w:color w:val="2A594B"/>
        </w:rPr>
        <w:t xml:space="preserve">Auch reduziert wurden die maximalen Kosten einer neuen Heizung für die erste Wohneinheit von 30.000 € auf 28.000 €. Dieser Betrag reduziert sich ab Februar </w:t>
      </w:r>
      <w:proofErr w:type="gramStart"/>
      <w:r w:rsidRPr="00352CAB">
        <w:rPr>
          <w:rFonts w:ascii="Arial" w:eastAsia="Meta OT Book" w:hAnsi="Arial" w:cs="Arial"/>
          <w:color w:val="2A594B"/>
        </w:rPr>
        <w:t>ebenfalls</w:t>
      </w:r>
      <w:proofErr w:type="gramEnd"/>
      <w:r w:rsidRPr="00352CAB">
        <w:rPr>
          <w:rFonts w:ascii="Arial" w:eastAsia="Meta OT Book" w:hAnsi="Arial" w:cs="Arial"/>
          <w:color w:val="2A594B"/>
        </w:rPr>
        <w:t xml:space="preserve"> und zwar halbjährlich um 750 €. Der bisherige Effizienzbonus für Wärmepumpen sowie der Emissionsminderungszuschlag für Biomasseheizungen wurden gestrichen.</w:t>
      </w:r>
    </w:p>
    <w:p w14:paraId="268AF73A" w14:textId="77777777" w:rsidR="00352CAB" w:rsidRPr="00352CAB" w:rsidRDefault="00352CAB" w:rsidP="00352CAB">
      <w:pPr>
        <w:pBdr>
          <w:top w:val="nil"/>
          <w:left w:val="nil"/>
          <w:bottom w:val="nil"/>
          <w:right w:val="nil"/>
          <w:between w:val="nil"/>
        </w:pBdr>
        <w:spacing w:after="280" w:line="360" w:lineRule="auto"/>
        <w:jc w:val="both"/>
        <w:rPr>
          <w:rFonts w:ascii="Arial" w:eastAsia="Meta OT Book" w:hAnsi="Arial" w:cs="Arial"/>
          <w:color w:val="2A594B"/>
        </w:rPr>
      </w:pPr>
      <w:r w:rsidRPr="00352CAB">
        <w:rPr>
          <w:rFonts w:ascii="Arial" w:eastAsia="Meta OT Book" w:hAnsi="Arial" w:cs="Arial"/>
          <w:color w:val="2A594B"/>
        </w:rPr>
        <w:t xml:space="preserve">„Die halbjährliche Absenkung des Klima-Geschwindigkeitsbonus und des Förderhöchstbetrags führen zu einer zunehmenden Verringerung der Förderzuschüsse für den Heizungstausch. Haushalte mit alter Öl- oder Gasheizung sollten die derzeitigen Fördermöglichkeiten sorgfältig prüfen. Mit der Zeit wird die Förderung geringer, ein frühzeitiger Umstieg auf erneuerbare Energien sichert noch die höhere Förderung“, erklärt Matthias Korb, Energieberater der </w:t>
      </w:r>
      <w:proofErr w:type="spellStart"/>
      <w:r w:rsidRPr="00352CAB">
        <w:rPr>
          <w:rFonts w:ascii="Arial" w:eastAsia="Meta OT Book" w:hAnsi="Arial" w:cs="Arial"/>
          <w:color w:val="2A594B"/>
        </w:rPr>
        <w:t>KlimaschutzAgentur</w:t>
      </w:r>
      <w:proofErr w:type="spellEnd"/>
      <w:r w:rsidRPr="00352CAB">
        <w:rPr>
          <w:rFonts w:ascii="Arial" w:eastAsia="Meta OT Book" w:hAnsi="Arial" w:cs="Arial"/>
          <w:color w:val="2A594B"/>
        </w:rPr>
        <w:t xml:space="preserve"> und Verbraucherzentrale Baden-Württemberg.</w:t>
      </w:r>
    </w:p>
    <w:p w14:paraId="3C3B2444" w14:textId="77777777" w:rsidR="00352CAB" w:rsidRPr="00352CAB" w:rsidRDefault="00352CAB" w:rsidP="00352CAB">
      <w:pPr>
        <w:pBdr>
          <w:top w:val="nil"/>
          <w:left w:val="nil"/>
          <w:bottom w:val="nil"/>
          <w:right w:val="nil"/>
          <w:between w:val="nil"/>
        </w:pBdr>
        <w:spacing w:after="280" w:line="360" w:lineRule="auto"/>
        <w:jc w:val="both"/>
        <w:rPr>
          <w:rFonts w:ascii="Arial" w:eastAsia="Meta OT Book" w:hAnsi="Arial" w:cs="Arial"/>
          <w:color w:val="2A594B"/>
        </w:rPr>
      </w:pPr>
      <w:r w:rsidRPr="00352CAB">
        <w:rPr>
          <w:rFonts w:ascii="Arial" w:eastAsia="Meta OT Book" w:hAnsi="Arial" w:cs="Arial"/>
          <w:color w:val="2A594B"/>
        </w:rPr>
        <w:t>Bevor eine neue Heizung eingebaut wird, empfiehlt sich ein Blick in die kommunale Wärmeplanung. Dort können Eigentümerinnen und Eigentümer erfahren, welche Wärmeversorgung für ihr Wohngebiet vorgesehen ist und ob ein Fernwärmeanschluss möglich sein könnte. </w:t>
      </w:r>
    </w:p>
    <w:p w14:paraId="43EB2762" w14:textId="77777777" w:rsidR="00352CAB" w:rsidRPr="00352CAB" w:rsidRDefault="00352CAB" w:rsidP="00352CAB">
      <w:pPr>
        <w:pBdr>
          <w:top w:val="nil"/>
          <w:left w:val="nil"/>
          <w:bottom w:val="nil"/>
          <w:right w:val="nil"/>
          <w:between w:val="nil"/>
        </w:pBdr>
        <w:spacing w:after="280" w:line="360" w:lineRule="auto"/>
        <w:jc w:val="both"/>
        <w:rPr>
          <w:rFonts w:ascii="Arial" w:eastAsia="Meta OT Book" w:hAnsi="Arial" w:cs="Arial"/>
          <w:color w:val="2A594B"/>
        </w:rPr>
      </w:pPr>
      <w:r w:rsidRPr="00352CAB">
        <w:rPr>
          <w:rFonts w:ascii="Arial" w:eastAsia="Meta OT Book" w:hAnsi="Arial" w:cs="Arial"/>
          <w:color w:val="2A594B"/>
        </w:rPr>
        <w:t xml:space="preserve">Die Energieberatung der </w:t>
      </w:r>
      <w:proofErr w:type="spellStart"/>
      <w:r w:rsidRPr="00352CAB">
        <w:rPr>
          <w:rFonts w:ascii="Arial" w:eastAsia="Meta OT Book" w:hAnsi="Arial" w:cs="Arial"/>
          <w:color w:val="2A594B"/>
        </w:rPr>
        <w:t>KlimaschutzAgentur</w:t>
      </w:r>
      <w:proofErr w:type="spellEnd"/>
      <w:r w:rsidRPr="00352CAB">
        <w:rPr>
          <w:rFonts w:ascii="Arial" w:eastAsia="Meta OT Book" w:hAnsi="Arial" w:cs="Arial"/>
          <w:color w:val="2A594B"/>
        </w:rPr>
        <w:t xml:space="preserve"> und Verbraucherzentrale Baden-Württemberg empfiehlt derzeit, die Fördermöglichkeiten für einen Heizungstausch und eine Gebäudesanierung prüfen zu lassen und auch zukünftig auf neue Heiztechniken zu setzen.</w:t>
      </w:r>
    </w:p>
    <w:p w14:paraId="2F52BCE9" w14:textId="77777777" w:rsidR="00352CAB" w:rsidRPr="00352CAB" w:rsidRDefault="00352CAB" w:rsidP="00352CAB">
      <w:pPr>
        <w:pBdr>
          <w:top w:val="nil"/>
          <w:left w:val="nil"/>
          <w:bottom w:val="nil"/>
          <w:right w:val="nil"/>
          <w:between w:val="nil"/>
        </w:pBdr>
        <w:spacing w:after="280" w:line="360" w:lineRule="auto"/>
        <w:jc w:val="both"/>
        <w:rPr>
          <w:rFonts w:ascii="Arial" w:eastAsia="Meta OT Book" w:hAnsi="Arial" w:cs="Arial"/>
          <w:color w:val="2A594B"/>
        </w:rPr>
      </w:pPr>
      <w:r w:rsidRPr="00352CAB">
        <w:rPr>
          <w:rFonts w:ascii="Arial" w:eastAsia="Meta OT Book" w:hAnsi="Arial" w:cs="Arial"/>
          <w:b/>
          <w:bCs/>
          <w:color w:val="2A594B"/>
        </w:rPr>
        <w:t xml:space="preserve">Weitere Infos erhalten Interessierte bei der Energieberatung der </w:t>
      </w:r>
      <w:proofErr w:type="spellStart"/>
      <w:r w:rsidRPr="00352CAB">
        <w:rPr>
          <w:rFonts w:ascii="Arial" w:eastAsia="Meta OT Book" w:hAnsi="Arial" w:cs="Arial"/>
          <w:b/>
          <w:bCs/>
          <w:color w:val="2A594B"/>
        </w:rPr>
        <w:t>KlimaschutzAgentur</w:t>
      </w:r>
      <w:proofErr w:type="spellEnd"/>
      <w:r w:rsidRPr="00352CAB">
        <w:rPr>
          <w:rFonts w:ascii="Arial" w:eastAsia="Meta OT Book" w:hAnsi="Arial" w:cs="Arial"/>
          <w:b/>
          <w:bCs/>
          <w:color w:val="2A594B"/>
        </w:rPr>
        <w:t>, telefonisch unter 07121 / 1432571 oder per Mail an info@klimaschutzagentur-reutlingen.de.</w:t>
      </w:r>
    </w:p>
    <w:p w14:paraId="303D338D" w14:textId="5642D513" w:rsidR="00DF0A62" w:rsidRPr="00773004" w:rsidRDefault="00DF0A62" w:rsidP="00352CAB">
      <w:pPr>
        <w:pBdr>
          <w:top w:val="nil"/>
          <w:left w:val="nil"/>
          <w:bottom w:val="nil"/>
          <w:right w:val="nil"/>
          <w:between w:val="nil"/>
        </w:pBdr>
        <w:spacing w:after="280" w:line="360" w:lineRule="auto"/>
        <w:jc w:val="both"/>
        <w:rPr>
          <w:rFonts w:ascii="Arial" w:eastAsia="Meta OT Book" w:hAnsi="Arial" w:cs="Arial"/>
          <w:b/>
          <w:bCs/>
          <w:color w:val="2A594B"/>
        </w:rPr>
      </w:pPr>
    </w:p>
    <w:sectPr w:rsidR="00DF0A62" w:rsidRPr="00773004">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ACC80" w14:textId="77777777" w:rsidR="008925D4" w:rsidRDefault="008925D4" w:rsidP="006417A1">
      <w:pPr>
        <w:spacing w:after="0" w:line="240" w:lineRule="auto"/>
      </w:pPr>
      <w:r>
        <w:separator/>
      </w:r>
    </w:p>
  </w:endnote>
  <w:endnote w:type="continuationSeparator" w:id="0">
    <w:p w14:paraId="1F608BCA" w14:textId="77777777" w:rsidR="008925D4" w:rsidRDefault="008925D4" w:rsidP="00641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eta OT Book">
    <w:altName w:val="Calibri"/>
    <w:charset w:val="00"/>
    <w:family w:val="swiss"/>
    <w:pitch w:val="variable"/>
    <w:sig w:usb0="A00000EF" w:usb1="5000207B"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F1A8F" w14:textId="59D2C1DB" w:rsidR="006417A1" w:rsidRPr="006417A1" w:rsidRDefault="006417A1" w:rsidP="006417A1">
    <w:pPr>
      <w:pBdr>
        <w:top w:val="nil"/>
        <w:left w:val="nil"/>
        <w:bottom w:val="nil"/>
        <w:right w:val="nil"/>
        <w:between w:val="nil"/>
      </w:pBdr>
      <w:tabs>
        <w:tab w:val="center" w:pos="4536"/>
        <w:tab w:val="right" w:pos="9072"/>
      </w:tabs>
      <w:spacing w:after="0" w:line="240" w:lineRule="auto"/>
      <w:jc w:val="center"/>
      <w:rPr>
        <w:rFonts w:ascii="Arial" w:hAnsi="Arial" w:cs="Arial"/>
        <w:b/>
        <w:color w:val="2A594B"/>
        <w:sz w:val="20"/>
        <w:szCs w:val="20"/>
      </w:rPr>
    </w:pPr>
    <w:r w:rsidRPr="006417A1">
      <w:rPr>
        <w:rFonts w:ascii="Arial" w:hAnsi="Arial" w:cs="Arial"/>
        <w:b/>
        <w:color w:val="2A594B"/>
        <w:sz w:val="20"/>
        <w:szCs w:val="20"/>
      </w:rPr>
      <w:t>Pressekontakt:</w:t>
    </w:r>
  </w:p>
  <w:p w14:paraId="666ACAF2" w14:textId="77777777" w:rsidR="006417A1" w:rsidRPr="006417A1" w:rsidRDefault="006417A1" w:rsidP="006417A1">
    <w:pPr>
      <w:pBdr>
        <w:top w:val="nil"/>
        <w:left w:val="nil"/>
        <w:bottom w:val="nil"/>
        <w:right w:val="nil"/>
        <w:between w:val="nil"/>
      </w:pBdr>
      <w:tabs>
        <w:tab w:val="center" w:pos="4536"/>
        <w:tab w:val="right" w:pos="9072"/>
      </w:tabs>
      <w:spacing w:after="0" w:line="240" w:lineRule="auto"/>
      <w:jc w:val="center"/>
      <w:rPr>
        <w:rFonts w:ascii="Arial" w:hAnsi="Arial" w:cs="Arial"/>
        <w:color w:val="2A594B"/>
        <w:sz w:val="20"/>
        <w:szCs w:val="20"/>
      </w:rPr>
    </w:pPr>
    <w:r w:rsidRPr="006417A1">
      <w:rPr>
        <w:rFonts w:ascii="Arial" w:hAnsi="Arial" w:cs="Arial"/>
        <w:color w:val="2A594B"/>
        <w:sz w:val="20"/>
        <w:szCs w:val="20"/>
      </w:rPr>
      <w:t>Anna-Maria Schleinitz</w:t>
    </w:r>
  </w:p>
  <w:p w14:paraId="29F88E71" w14:textId="77777777" w:rsidR="006417A1" w:rsidRPr="006417A1" w:rsidRDefault="006417A1" w:rsidP="006417A1">
    <w:pPr>
      <w:pBdr>
        <w:top w:val="nil"/>
        <w:left w:val="nil"/>
        <w:bottom w:val="nil"/>
        <w:right w:val="nil"/>
        <w:between w:val="nil"/>
      </w:pBdr>
      <w:tabs>
        <w:tab w:val="center" w:pos="4536"/>
        <w:tab w:val="right" w:pos="9072"/>
      </w:tabs>
      <w:spacing w:after="0" w:line="240" w:lineRule="auto"/>
      <w:jc w:val="center"/>
      <w:rPr>
        <w:rFonts w:ascii="Arial" w:hAnsi="Arial" w:cs="Arial"/>
        <w:color w:val="2A594B"/>
        <w:sz w:val="20"/>
        <w:szCs w:val="20"/>
      </w:rPr>
    </w:pPr>
    <w:hyperlink r:id="rId1">
      <w:r w:rsidRPr="006417A1">
        <w:rPr>
          <w:rFonts w:ascii="Arial" w:hAnsi="Arial" w:cs="Arial"/>
          <w:color w:val="0563C1"/>
          <w:sz w:val="20"/>
          <w:szCs w:val="20"/>
          <w:u w:val="single"/>
        </w:rPr>
        <w:t>anna-maria.schleinitz@klimaschutzagentur-reutlingen.de</w:t>
      </w:r>
    </w:hyperlink>
  </w:p>
  <w:p w14:paraId="3F7D4770" w14:textId="77777777" w:rsidR="006417A1" w:rsidRPr="006417A1" w:rsidRDefault="006417A1" w:rsidP="006417A1">
    <w:pPr>
      <w:pBdr>
        <w:top w:val="nil"/>
        <w:left w:val="nil"/>
        <w:bottom w:val="nil"/>
        <w:right w:val="nil"/>
        <w:between w:val="nil"/>
      </w:pBdr>
      <w:tabs>
        <w:tab w:val="center" w:pos="4536"/>
        <w:tab w:val="right" w:pos="9072"/>
      </w:tabs>
      <w:spacing w:after="0" w:line="240" w:lineRule="auto"/>
      <w:jc w:val="center"/>
      <w:rPr>
        <w:rFonts w:ascii="Arial" w:hAnsi="Arial" w:cs="Arial"/>
        <w:color w:val="2A594B"/>
        <w:sz w:val="20"/>
        <w:szCs w:val="20"/>
      </w:rPr>
    </w:pPr>
    <w:r w:rsidRPr="006417A1">
      <w:rPr>
        <w:rFonts w:ascii="Arial" w:hAnsi="Arial" w:cs="Arial"/>
        <w:color w:val="2A594B"/>
        <w:sz w:val="20"/>
        <w:szCs w:val="20"/>
      </w:rPr>
      <w:t>0178 4087202</w:t>
    </w:r>
  </w:p>
  <w:p w14:paraId="2135724E" w14:textId="3FF5F55D" w:rsidR="006417A1" w:rsidRDefault="006417A1">
    <w:pPr>
      <w:pStyle w:val="Fuzeile"/>
    </w:pPr>
  </w:p>
  <w:p w14:paraId="49B8E881" w14:textId="77777777" w:rsidR="006417A1" w:rsidRDefault="006417A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45FEB" w14:textId="77777777" w:rsidR="008925D4" w:rsidRDefault="008925D4" w:rsidP="006417A1">
      <w:pPr>
        <w:spacing w:after="0" w:line="240" w:lineRule="auto"/>
      </w:pPr>
      <w:r>
        <w:separator/>
      </w:r>
    </w:p>
  </w:footnote>
  <w:footnote w:type="continuationSeparator" w:id="0">
    <w:p w14:paraId="796224AE" w14:textId="77777777" w:rsidR="008925D4" w:rsidRDefault="008925D4" w:rsidP="006417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338A6"/>
    <w:multiLevelType w:val="multilevel"/>
    <w:tmpl w:val="F2C88F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7723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D69"/>
    <w:rsid w:val="00076761"/>
    <w:rsid w:val="00163E98"/>
    <w:rsid w:val="00214950"/>
    <w:rsid w:val="0024103B"/>
    <w:rsid w:val="00352CAB"/>
    <w:rsid w:val="003601A1"/>
    <w:rsid w:val="003D6D8B"/>
    <w:rsid w:val="00465FF6"/>
    <w:rsid w:val="00493E30"/>
    <w:rsid w:val="004B3BEF"/>
    <w:rsid w:val="00501FCD"/>
    <w:rsid w:val="00554C7D"/>
    <w:rsid w:val="006417A1"/>
    <w:rsid w:val="007659CF"/>
    <w:rsid w:val="00773004"/>
    <w:rsid w:val="007E731A"/>
    <w:rsid w:val="00851523"/>
    <w:rsid w:val="00863933"/>
    <w:rsid w:val="008925D4"/>
    <w:rsid w:val="008F2847"/>
    <w:rsid w:val="00950BA7"/>
    <w:rsid w:val="00972F42"/>
    <w:rsid w:val="009D32E2"/>
    <w:rsid w:val="00A04898"/>
    <w:rsid w:val="00A15291"/>
    <w:rsid w:val="00A243B0"/>
    <w:rsid w:val="00A934C3"/>
    <w:rsid w:val="00AA1FB6"/>
    <w:rsid w:val="00AC2072"/>
    <w:rsid w:val="00AF0698"/>
    <w:rsid w:val="00B203F7"/>
    <w:rsid w:val="00B64510"/>
    <w:rsid w:val="00BB2070"/>
    <w:rsid w:val="00BF0D69"/>
    <w:rsid w:val="00BF4B4E"/>
    <w:rsid w:val="00D373C6"/>
    <w:rsid w:val="00DD66C3"/>
    <w:rsid w:val="00DE0618"/>
    <w:rsid w:val="00DF0A62"/>
    <w:rsid w:val="00E31913"/>
    <w:rsid w:val="00E97ED5"/>
    <w:rsid w:val="00EE19DF"/>
    <w:rsid w:val="00F618EA"/>
    <w:rsid w:val="00F6555B"/>
    <w:rsid w:val="00F74FD3"/>
    <w:rsid w:val="00FE0F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27E7D"/>
  <w15:chartTrackingRefBased/>
  <w15:docId w15:val="{330B955D-6B59-43AA-B070-660128C08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934C3"/>
    <w:rPr>
      <w:color w:val="0563C1" w:themeColor="hyperlink"/>
      <w:u w:val="single"/>
    </w:rPr>
  </w:style>
  <w:style w:type="character" w:customStyle="1" w:styleId="NichtaufgelsteErwhnung1">
    <w:name w:val="Nicht aufgelöste Erwähnung1"/>
    <w:basedOn w:val="Absatz-Standardschriftart"/>
    <w:uiPriority w:val="99"/>
    <w:semiHidden/>
    <w:unhideWhenUsed/>
    <w:rsid w:val="00A934C3"/>
    <w:rPr>
      <w:color w:val="605E5C"/>
      <w:shd w:val="clear" w:color="auto" w:fill="E1DFDD"/>
    </w:rPr>
  </w:style>
  <w:style w:type="character" w:styleId="Kommentarzeichen">
    <w:name w:val="annotation reference"/>
    <w:basedOn w:val="Absatz-Standardschriftart"/>
    <w:uiPriority w:val="99"/>
    <w:semiHidden/>
    <w:unhideWhenUsed/>
    <w:rsid w:val="00BB2070"/>
    <w:rPr>
      <w:sz w:val="16"/>
      <w:szCs w:val="16"/>
    </w:rPr>
  </w:style>
  <w:style w:type="paragraph" w:styleId="Kommentartext">
    <w:name w:val="annotation text"/>
    <w:basedOn w:val="Standard"/>
    <w:link w:val="KommentartextZchn"/>
    <w:uiPriority w:val="99"/>
    <w:unhideWhenUsed/>
    <w:rsid w:val="00BB2070"/>
    <w:pPr>
      <w:spacing w:line="240" w:lineRule="auto"/>
    </w:pPr>
    <w:rPr>
      <w:sz w:val="20"/>
      <w:szCs w:val="20"/>
    </w:rPr>
  </w:style>
  <w:style w:type="character" w:customStyle="1" w:styleId="KommentartextZchn">
    <w:name w:val="Kommentartext Zchn"/>
    <w:basedOn w:val="Absatz-Standardschriftart"/>
    <w:link w:val="Kommentartext"/>
    <w:uiPriority w:val="99"/>
    <w:rsid w:val="00BB2070"/>
    <w:rPr>
      <w:sz w:val="20"/>
      <w:szCs w:val="20"/>
    </w:rPr>
  </w:style>
  <w:style w:type="paragraph" w:styleId="Kommentarthema">
    <w:name w:val="annotation subject"/>
    <w:basedOn w:val="Kommentartext"/>
    <w:next w:val="Kommentartext"/>
    <w:link w:val="KommentarthemaZchn"/>
    <w:uiPriority w:val="99"/>
    <w:semiHidden/>
    <w:unhideWhenUsed/>
    <w:rsid w:val="00BB2070"/>
    <w:rPr>
      <w:b/>
      <w:bCs/>
    </w:rPr>
  </w:style>
  <w:style w:type="character" w:customStyle="1" w:styleId="KommentarthemaZchn">
    <w:name w:val="Kommentarthema Zchn"/>
    <w:basedOn w:val="KommentartextZchn"/>
    <w:link w:val="Kommentarthema"/>
    <w:uiPriority w:val="99"/>
    <w:semiHidden/>
    <w:rsid w:val="00BB2070"/>
    <w:rPr>
      <w:b/>
      <w:bCs/>
      <w:sz w:val="20"/>
      <w:szCs w:val="20"/>
    </w:rPr>
  </w:style>
  <w:style w:type="paragraph" w:styleId="Sprechblasentext">
    <w:name w:val="Balloon Text"/>
    <w:basedOn w:val="Standard"/>
    <w:link w:val="SprechblasentextZchn"/>
    <w:uiPriority w:val="99"/>
    <w:semiHidden/>
    <w:unhideWhenUsed/>
    <w:rsid w:val="00BB207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B2070"/>
    <w:rPr>
      <w:rFonts w:ascii="Segoe UI" w:hAnsi="Segoe UI" w:cs="Segoe UI"/>
      <w:sz w:val="18"/>
      <w:szCs w:val="18"/>
    </w:rPr>
  </w:style>
  <w:style w:type="paragraph" w:styleId="Kopfzeile">
    <w:name w:val="header"/>
    <w:basedOn w:val="Standard"/>
    <w:link w:val="KopfzeileZchn"/>
    <w:uiPriority w:val="99"/>
    <w:unhideWhenUsed/>
    <w:rsid w:val="006417A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417A1"/>
  </w:style>
  <w:style w:type="paragraph" w:styleId="Fuzeile">
    <w:name w:val="footer"/>
    <w:basedOn w:val="Standard"/>
    <w:link w:val="FuzeileZchn"/>
    <w:uiPriority w:val="99"/>
    <w:unhideWhenUsed/>
    <w:rsid w:val="006417A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41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anna-maria.schleinitz@klimaschutzagentur-reutlingen.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3244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dc:creator>
  <cp:keywords/>
  <dc:description/>
  <cp:lastModifiedBy>Anna Schleinitz</cp:lastModifiedBy>
  <cp:revision>9</cp:revision>
  <dcterms:created xsi:type="dcterms:W3CDTF">2026-07-23T04:18:00Z</dcterms:created>
  <dcterms:modified xsi:type="dcterms:W3CDTF">2026-07-23T11:06:00Z</dcterms:modified>
</cp:coreProperties>
</file>