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3DE4D80B" w14:textId="77777777" w:rsidR="00966D77" w:rsidRPr="00966D77" w:rsidRDefault="00966D77" w:rsidP="00966D77">
      <w:pPr>
        <w:pStyle w:val="body"/>
      </w:pPr>
    </w:p>
    <w:p w14:paraId="3743BD86" w14:textId="77777777" w:rsidR="00966D77" w:rsidRDefault="00966D77" w:rsidP="00966D77">
      <w:pPr>
        <w:pStyle w:val="titel"/>
        <w:jc w:val="right"/>
        <w:rPr>
          <w:sz w:val="22"/>
          <w:szCs w:val="22"/>
        </w:rPr>
      </w:pPr>
      <w:r>
        <w:rPr>
          <w:sz w:val="22"/>
          <w:szCs w:val="22"/>
        </w:rPr>
        <w:tab/>
        <w:t>Goetheanum, Dornach, Suiza, 9 de diciembre de 2025</w:t>
      </w:r>
    </w:p>
    <w:p w14:paraId="3CCAA143" w14:textId="77777777" w:rsidR="00966D77" w:rsidRDefault="00966D77" w:rsidP="00966D77">
      <w:pPr>
        <w:pStyle w:val="body"/>
      </w:pPr>
    </w:p>
    <w:p w14:paraId="44994A2D" w14:textId="77777777" w:rsidR="00966D77" w:rsidRPr="00966D77" w:rsidRDefault="00966D77" w:rsidP="00966D77">
      <w:pPr>
        <w:pStyle w:val="titel"/>
        <w:spacing w:before="57"/>
        <w:rPr>
          <w:b/>
          <w:bCs/>
          <w:sz w:val="28"/>
          <w:szCs w:val="28"/>
        </w:rPr>
      </w:pPr>
      <w:r w:rsidRPr="00966D77">
        <w:rPr>
          <w:b/>
          <w:bCs/>
          <w:sz w:val="24"/>
          <w:szCs w:val="24"/>
        </w:rPr>
        <w:t>Síndrome de post-Covid</w:t>
      </w:r>
    </w:p>
    <w:p w14:paraId="47BF7B16" w14:textId="77777777" w:rsidR="00966D77" w:rsidRPr="00966D77" w:rsidRDefault="00966D77" w:rsidP="00966D77">
      <w:pPr>
        <w:pStyle w:val="titel"/>
        <w:spacing w:before="57"/>
        <w:rPr>
          <w:b/>
          <w:bCs/>
          <w:sz w:val="24"/>
          <w:szCs w:val="24"/>
        </w:rPr>
      </w:pPr>
      <w:r w:rsidRPr="00966D77">
        <w:rPr>
          <w:b/>
          <w:bCs/>
          <w:sz w:val="28"/>
          <w:szCs w:val="28"/>
        </w:rPr>
        <w:t>Indicios de efectos positivos de la hipertermia corporal total</w:t>
      </w:r>
    </w:p>
    <w:p w14:paraId="17E1D38F" w14:textId="77777777" w:rsidR="00966D77" w:rsidRPr="00966D77" w:rsidRDefault="00966D77" w:rsidP="00966D77">
      <w:pPr>
        <w:pStyle w:val="body"/>
        <w:rPr>
          <w:b/>
          <w:bCs/>
        </w:rPr>
      </w:pPr>
    </w:p>
    <w:p w14:paraId="4D7DE340" w14:textId="77777777" w:rsidR="00966D77" w:rsidRPr="00966D77" w:rsidRDefault="00966D77" w:rsidP="00966D77">
      <w:pPr>
        <w:pStyle w:val="body"/>
        <w:rPr>
          <w:rFonts w:ascii="Titillium" w:hAnsi="Titillium" w:cs="Titillium"/>
          <w:b/>
          <w:bCs/>
          <w:spacing w:val="-1"/>
          <w:sz w:val="17"/>
          <w:szCs w:val="17"/>
        </w:rPr>
      </w:pPr>
      <w:r w:rsidRPr="00966D77">
        <w:rPr>
          <w:rFonts w:ascii="Titillium" w:hAnsi="Titillium" w:cs="Titillium"/>
          <w:b/>
          <w:bCs/>
          <w:spacing w:val="-1"/>
          <w:sz w:val="17"/>
          <w:szCs w:val="17"/>
        </w:rPr>
        <w:t>El tratamiento de hipertermia corporal es un enfoque terapéutico para estimular el sistema inmunitario humano y activar las fuerzas de autocuración del paciente. Una evaluación de los resultados da la esperanza de que este enfoque también pueda aplicarse de forma más sistemática en los casos post-Covid.</w:t>
      </w:r>
    </w:p>
    <w:p w14:paraId="7183E0F8" w14:textId="77777777" w:rsidR="00966D77" w:rsidRDefault="00966D77" w:rsidP="00966D77">
      <w:pPr>
        <w:pStyle w:val="body"/>
        <w:rPr>
          <w:rFonts w:ascii="Titillium" w:hAnsi="Titillium" w:cs="Titillium"/>
          <w:spacing w:val="1"/>
          <w:sz w:val="17"/>
          <w:szCs w:val="17"/>
        </w:rPr>
      </w:pPr>
    </w:p>
    <w:p w14:paraId="6B5A7850" w14:textId="77777777" w:rsidR="00966D77" w:rsidRDefault="00966D77" w:rsidP="00966D77">
      <w:pPr>
        <w:pStyle w:val="body"/>
        <w:rPr>
          <w:rFonts w:ascii="Titillium" w:hAnsi="Titillium" w:cs="Titillium"/>
          <w:spacing w:val="1"/>
          <w:sz w:val="17"/>
          <w:szCs w:val="17"/>
        </w:rPr>
      </w:pPr>
      <w:r>
        <w:rPr>
          <w:rFonts w:ascii="Titillium" w:hAnsi="Titillium" w:cs="Titillium"/>
          <w:spacing w:val="1"/>
          <w:sz w:val="17"/>
          <w:szCs w:val="17"/>
        </w:rPr>
        <w:t xml:space="preserve">El tratamiento de hipertermia activa las funciones fisiológicas de las células inmunocompetentes, así como los procesos de regeneración intra y extracelular. La Medicina Antroposófica cuenta con décadas de experiencia en este tipo de tratamiento, especialmente para pacientes oncológicos. La hipertermia corporal total es un enfoque específico con un aumento controlado de la temperatura corporal de hasta 38,5ºC mínimo y 40,5ºC máximo. El método está siendo ofrecido en clínicas que trabajan en medicina integrativa y se utiliza, por ejemplo, en fibromialgia, depresión y enfermedades neurodegenerativas. </w:t>
      </w:r>
    </w:p>
    <w:p w14:paraId="08C67666" w14:textId="77777777" w:rsidR="00966D77" w:rsidRDefault="00966D77" w:rsidP="00966D77">
      <w:pPr>
        <w:pStyle w:val="body"/>
        <w:spacing w:before="57"/>
        <w:rPr>
          <w:rFonts w:ascii="Titillium" w:hAnsi="Titillium" w:cs="Titillium"/>
          <w:spacing w:val="1"/>
          <w:sz w:val="17"/>
          <w:szCs w:val="17"/>
        </w:rPr>
      </w:pPr>
      <w:r>
        <w:rPr>
          <w:rFonts w:ascii="Titillium" w:hAnsi="Titillium" w:cs="Titillium"/>
          <w:spacing w:val="1"/>
          <w:sz w:val="17"/>
          <w:szCs w:val="17"/>
        </w:rPr>
        <w:t>Un análisis retrospectivo examinó la evolución de la enfermedad en pacientes hospitalizados y en pacientes con síndrome post-Covid que fueron tratados con hipertermia corporal total como parte de un concepto de terapia multimodal. Este tratamiento va dirigido por ejemplo contra la desregulación del sistema inmunitario, que a menudo persiste en el síndrome post-Covid, y contra otros síntomas como dolor similar a la fibromialgia, agotamiento y depresión. Hasta hace poco no había datos científicos disponibles sobre de este tipo de terapia.</w:t>
      </w:r>
    </w:p>
    <w:p w14:paraId="40B8D8BC" w14:textId="77777777" w:rsidR="00966D77" w:rsidRDefault="00966D77" w:rsidP="00966D77">
      <w:pPr>
        <w:pStyle w:val="body"/>
        <w:spacing w:before="57"/>
        <w:rPr>
          <w:rFonts w:ascii="Titillium" w:hAnsi="Titillium" w:cs="Titillium"/>
          <w:spacing w:val="1"/>
          <w:sz w:val="17"/>
          <w:szCs w:val="17"/>
        </w:rPr>
      </w:pPr>
      <w:r>
        <w:rPr>
          <w:rFonts w:ascii="Titillium" w:hAnsi="Titillium" w:cs="Titillium"/>
          <w:spacing w:val="1"/>
          <w:sz w:val="17"/>
          <w:szCs w:val="17"/>
        </w:rPr>
        <w:t xml:space="preserve">l tratamiento de los pacientes con hipertermia se llevó a cabo en el hospital antroposófico Paracelsus en Unterlengenhardt (DE) y fue complementado con otros elementos, ya sea de la medicina convencional o antroposófica. La eficacia de la hipertermia corporal total se midió mediante cuestionarios específicos para los pacientes y la recopilación de datos clínicos tanto en el momento del ingreso hospitalario como cuatro semanas después del alta. </w:t>
      </w:r>
    </w:p>
    <w:p w14:paraId="0E5F682F" w14:textId="77777777" w:rsidR="00966D77" w:rsidRDefault="00966D77" w:rsidP="00966D77">
      <w:pPr>
        <w:pStyle w:val="body"/>
        <w:spacing w:before="57"/>
        <w:rPr>
          <w:rFonts w:ascii="Titillium" w:hAnsi="Titillium" w:cs="Titillium"/>
          <w:spacing w:val="1"/>
          <w:sz w:val="17"/>
          <w:szCs w:val="17"/>
        </w:rPr>
      </w:pPr>
      <w:r>
        <w:rPr>
          <w:rFonts w:ascii="Titillium" w:hAnsi="Titillium" w:cs="Titillium"/>
          <w:spacing w:val="1"/>
          <w:sz w:val="17"/>
          <w:szCs w:val="17"/>
        </w:rPr>
        <w:t>Los resultados de esta serie de casos muestran una mejora en el estado de salud, en algunos casos de forma significativa. El 63 por ciento de los pacientes encuestados consideró la hipertermia corporal total un tratamiento eficaz. Por lo tanto, el estudio proporciona primeros indicios de posibles efectos positivos de la hipertermia corporal para el síndrome de post-Covid dentro de un enfoque terapéutico multimodal (Jan Vagedes et al, 2025).</w:t>
      </w:r>
    </w:p>
    <w:p w14:paraId="7D2C9C47" w14:textId="77777777" w:rsidR="00966D77" w:rsidRDefault="00966D77" w:rsidP="00966D77">
      <w:pPr>
        <w:pStyle w:val="body"/>
        <w:spacing w:before="57"/>
        <w:rPr>
          <w:rFonts w:ascii="Titillium" w:hAnsi="Titillium" w:cs="Titillium"/>
          <w:spacing w:val="1"/>
          <w:sz w:val="17"/>
          <w:szCs w:val="17"/>
        </w:rPr>
      </w:pPr>
      <w:r>
        <w:rPr>
          <w:rFonts w:ascii="Titillium" w:hAnsi="Titillium" w:cs="Titillium"/>
          <w:spacing w:val="1"/>
          <w:sz w:val="17"/>
          <w:szCs w:val="17"/>
        </w:rPr>
        <w:t xml:space="preserve">Por otro lado, el Grupo Care para ‚Enfermedades Infecciosas y Tratamiento de la Fiebre‘ de la Sección Médica del Goetheanum ha publicado opciones de tratamiento para el síndrome post-Covid y post-vacuna desde la perspectiva de la medicina antroposófica en el portal especializado Anthromedics (Harald Matthes et al). El portal ofrece recomendaciones en torno a medicamentos y consejos prácticos de enfermería antroposófica, terapia curativa y terapia corporal. </w:t>
      </w:r>
    </w:p>
    <w:p w14:paraId="33743B64" w14:textId="77777777" w:rsidR="00966D77" w:rsidRDefault="00966D77" w:rsidP="00966D77">
      <w:pPr>
        <w:pStyle w:val="body"/>
        <w:jc w:val="right"/>
        <w:rPr>
          <w:rFonts w:ascii="Titillium" w:hAnsi="Titillium" w:cs="Titillium"/>
          <w:sz w:val="18"/>
          <w:szCs w:val="18"/>
        </w:rPr>
      </w:pPr>
      <w:r>
        <w:rPr>
          <w:rFonts w:ascii="Titillium" w:hAnsi="Titillium" w:cs="Titillium"/>
          <w:sz w:val="17"/>
          <w:szCs w:val="17"/>
        </w:rPr>
        <w:t>(2804 caracteres/SJ; traducido por Michael Kranawetvogl)</w:t>
      </w:r>
    </w:p>
    <w:p w14:paraId="0D173EE0" w14:textId="77777777" w:rsidR="00966D77" w:rsidRDefault="00966D77" w:rsidP="00966D77">
      <w:pPr>
        <w:pStyle w:val="body"/>
        <w:spacing w:before="57"/>
        <w:rPr>
          <w:rFonts w:ascii="Titillium" w:hAnsi="Titillium" w:cs="Titillium"/>
          <w:spacing w:val="1"/>
          <w:sz w:val="16"/>
          <w:szCs w:val="16"/>
        </w:rPr>
      </w:pPr>
      <w:r>
        <w:rPr>
          <w:rFonts w:ascii="Titillium Bd" w:hAnsi="Titillium Bd" w:cs="Titillium Bd"/>
          <w:b/>
          <w:bCs/>
          <w:spacing w:val="1"/>
          <w:sz w:val="16"/>
          <w:szCs w:val="16"/>
        </w:rPr>
        <w:t>Estudio 1 (en inglés)</w:t>
      </w:r>
      <w:r>
        <w:rPr>
          <w:rFonts w:ascii="Titillium" w:hAnsi="Titillium" w:cs="Titillium"/>
          <w:spacing w:val="1"/>
          <w:sz w:val="16"/>
          <w:szCs w:val="16"/>
        </w:rPr>
        <w:t xml:space="preserve"> Jan Vagedes, Thomas Breitkreuz, Victoria Heinrich, Mohsen Sobh, Mohammed Oli Al Islam, Katrin Vagedes, Jan Mergelsberg: Whole-body hyperthermia as part of a multimodal treatment for patients with post-covid syndrome – a case series (La hipertermia corporal como parte de un tratamiento multimodal para pacientes con síndrome post-Covid – una serie de casos), International Journal of Hyperthermia, volumen 42, número 1/2025 </w:t>
      </w:r>
      <w:r>
        <w:rPr>
          <w:rFonts w:ascii="Titillium Bd" w:hAnsi="Titillium Bd" w:cs="Titillium Bd"/>
          <w:b/>
          <w:bCs/>
          <w:spacing w:val="1"/>
          <w:sz w:val="16"/>
          <w:szCs w:val="16"/>
        </w:rPr>
        <w:t>Web</w:t>
      </w:r>
      <w:r>
        <w:rPr>
          <w:rFonts w:ascii="Titillium" w:hAnsi="Titillium" w:cs="Titillium"/>
          <w:spacing w:val="1"/>
          <w:sz w:val="16"/>
          <w:szCs w:val="16"/>
        </w:rPr>
        <w:t xml:space="preserve"> doi.org/10.1080/02656736.2025.2488792 (7 de mayo de  2025)</w:t>
      </w:r>
    </w:p>
    <w:p w14:paraId="1DBEFE38" w14:textId="77777777" w:rsidR="00966D77" w:rsidRDefault="00966D77" w:rsidP="00966D77">
      <w:pPr>
        <w:pStyle w:val="body"/>
        <w:spacing w:before="57"/>
        <w:rPr>
          <w:rFonts w:ascii="Titillium" w:hAnsi="Titillium" w:cs="Titillium"/>
          <w:spacing w:val="1"/>
          <w:sz w:val="16"/>
          <w:szCs w:val="16"/>
        </w:rPr>
      </w:pPr>
      <w:r>
        <w:rPr>
          <w:rFonts w:ascii="Titillium Bd" w:hAnsi="Titillium Bd" w:cs="Titillium Bd"/>
          <w:b/>
          <w:bCs/>
          <w:spacing w:val="1"/>
          <w:sz w:val="16"/>
          <w:szCs w:val="16"/>
        </w:rPr>
        <w:t xml:space="preserve">Estudio 2 (en alemán) </w:t>
      </w:r>
      <w:r>
        <w:rPr>
          <w:rFonts w:ascii="Titillium" w:hAnsi="Titillium" w:cs="Titillium"/>
          <w:spacing w:val="1"/>
          <w:sz w:val="16"/>
          <w:szCs w:val="16"/>
        </w:rPr>
        <w:t xml:space="preserve">Harald Matthes, Georg Soldner, Madleen Winkler, Eva Streit, Karin Michael, Carla Wullschleger, Rolf Heine, Katharina Gerlach, Unda Niedermann-Veith, Henrik Szőke: Post-Covid- und Post-Vakzin-Syndrom aus Sicht der Anthroposophischen Medizin – Symptome und Behandlungsmöglichkeiten. Empfehlungen einer internationalen Expertenkommission für medizinische Fachkräfte (Síndrome post-Covid y post-vacuna desde la perspectiva de la medicina antroposófica – Síntomas y opciones de tratamiento. Recomendaciones de una comisión internacional de expertos para profesionales médicos), Anthromedics </w:t>
      </w:r>
      <w:r>
        <w:rPr>
          <w:rFonts w:ascii="Titillium Bd" w:hAnsi="Titillium Bd" w:cs="Titillium Bd"/>
          <w:b/>
          <w:bCs/>
          <w:spacing w:val="1"/>
          <w:sz w:val="16"/>
          <w:szCs w:val="16"/>
        </w:rPr>
        <w:t>Web</w:t>
      </w:r>
      <w:r>
        <w:rPr>
          <w:rFonts w:ascii="Titillium" w:hAnsi="Titillium" w:cs="Titillium"/>
          <w:spacing w:val="1"/>
          <w:sz w:val="16"/>
          <w:szCs w:val="16"/>
        </w:rPr>
        <w:t xml:space="preserve"> www.anthromedics.org/PRA-0993-DE (23 de abril de 2024)</w:t>
      </w:r>
    </w:p>
    <w:p w14:paraId="2CA980B4" w14:textId="63BB2673" w:rsidR="007A3A2F" w:rsidRPr="00966D77" w:rsidRDefault="00966D77" w:rsidP="00966D77">
      <w:pPr>
        <w:pStyle w:val="body"/>
        <w:spacing w:before="57"/>
        <w:rPr>
          <w:rFonts w:ascii="Titillium" w:hAnsi="Titillium" w:cs="Titillium"/>
          <w:spacing w:val="1"/>
          <w:sz w:val="16"/>
          <w:szCs w:val="16"/>
        </w:rPr>
      </w:pPr>
      <w:r>
        <w:rPr>
          <w:rFonts w:ascii="Titillium Bd" w:hAnsi="Titillium Bd" w:cs="Titillium Bd"/>
          <w:b/>
          <w:bCs/>
          <w:spacing w:val="1"/>
          <w:sz w:val="16"/>
          <w:szCs w:val="16"/>
        </w:rPr>
        <w:t>Contacto</w:t>
      </w:r>
      <w:r>
        <w:rPr>
          <w:rFonts w:ascii="Titillium" w:hAnsi="Titillium" w:cs="Titillium"/>
          <w:spacing w:val="1"/>
          <w:sz w:val="16"/>
          <w:szCs w:val="16"/>
        </w:rPr>
        <w:t xml:space="preserve"> Dagmar Brauer, dagmar.brauer@medsektion-goetheanum.ch</w:t>
      </w:r>
    </w:p>
    <w:sectPr w:rsidR="007A3A2F" w:rsidRPr="00966D77"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81275A"/>
    <w:rsid w:val="00966D77"/>
    <w:rsid w:val="00B90BB3"/>
    <w:rsid w:val="00D44712"/>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966D77"/>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585</Words>
  <Characters>3689</Characters>
  <Application>Microsoft Office Word</Application>
  <DocSecurity>0</DocSecurity>
  <Lines>30</Lines>
  <Paragraphs>8</Paragraphs>
  <ScaleCrop>false</ScaleCrop>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2025-12-09T10:37:00Z</dcterms:modified>
</cp:coreProperties>
</file>