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AB" w:rsidRDefault="006406AB" w:rsidP="006406AB">
      <w:pPr>
        <w:rPr>
          <w:rFonts w:ascii="Calibri" w:hAnsi="Calibri"/>
        </w:rPr>
      </w:pPr>
    </w:p>
    <w:p w:rsidR="006406AB" w:rsidRDefault="006406AB" w:rsidP="006406AB">
      <w:pPr>
        <w:rPr>
          <w:rFonts w:ascii="Calibri" w:hAnsi="Calibri"/>
        </w:rPr>
      </w:pPr>
    </w:p>
    <w:p w:rsidR="006406AB" w:rsidRDefault="006406AB" w:rsidP="006406AB">
      <w:pPr>
        <w:rPr>
          <w:rFonts w:ascii="Calibri" w:hAnsi="Calibri"/>
        </w:rPr>
      </w:pPr>
    </w:p>
    <w:p w:rsidR="006406AB" w:rsidRDefault="006406AB" w:rsidP="006406AB">
      <w:pPr>
        <w:rPr>
          <w:rFonts w:ascii="Calibri" w:hAnsi="Calibri"/>
        </w:rPr>
      </w:pPr>
    </w:p>
    <w:p w:rsidR="006406AB" w:rsidRDefault="006406AB" w:rsidP="006406AB">
      <w:pPr>
        <w:rPr>
          <w:rFonts w:ascii="Calibri" w:hAnsi="Calibri"/>
        </w:rPr>
      </w:pPr>
    </w:p>
    <w:p w:rsidR="006406AB" w:rsidRPr="00E8542B" w:rsidRDefault="006406AB" w:rsidP="006406AB">
      <w:pPr>
        <w:rPr>
          <w:rFonts w:ascii="Calibri" w:hAnsi="Calibri"/>
          <w:b/>
          <w:sz w:val="28"/>
          <w:szCs w:val="28"/>
          <w:lang w:val="sv-SE"/>
        </w:rPr>
      </w:pPr>
      <w:r>
        <w:rPr>
          <w:rFonts w:ascii="Calibri" w:hAnsi="Calibri"/>
          <w:noProof/>
          <w:lang w:val="sv-SE" w:eastAsia="sv-SE"/>
        </w:rPr>
        <mc:AlternateContent>
          <mc:Choice Requires="wps">
            <w:drawing>
              <wp:anchor distT="0" distB="0" distL="114300" distR="114300" simplePos="0" relativeHeight="251658240" behindDoc="0" locked="0" layoutInCell="1" allowOverlap="1" wp14:anchorId="485AD386" wp14:editId="5F719F2F">
                <wp:simplePos x="0" y="0"/>
                <wp:positionH relativeFrom="column">
                  <wp:posOffset>5249545</wp:posOffset>
                </wp:positionH>
                <wp:positionV relativeFrom="paragraph">
                  <wp:posOffset>22225</wp:posOffset>
                </wp:positionV>
                <wp:extent cx="1494155" cy="3067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6AB" w:rsidRPr="006406AB" w:rsidRDefault="00E8542B" w:rsidP="00C9546C">
                            <w:pPr>
                              <w:jc w:val="right"/>
                              <w:rPr>
                                <w:rFonts w:asciiTheme="minorHAnsi" w:hAnsiTheme="minorHAnsi" w:cstheme="minorHAnsi"/>
                                <w:b/>
                                <w:lang w:val="sv-SE"/>
                              </w:rPr>
                            </w:pPr>
                            <w:r>
                              <w:rPr>
                                <w:rFonts w:asciiTheme="minorHAnsi" w:hAnsiTheme="minorHAnsi" w:cstheme="minorHAnsi"/>
                                <w:b/>
                                <w:lang w:val="sv-SE"/>
                              </w:rPr>
                              <w:t>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413.35pt;margin-top:1.75pt;width:117.6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yygwIAAA8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" stroked="f">
                <v:textbox>
                  <w:txbxContent>
                    <w:p w:rsidR="006406AB" w:rsidRPr="006406AB" w:rsidRDefault="00E8542B" w:rsidP="00C9546C">
                      <w:pPr>
                        <w:jc w:val="right"/>
                        <w:rPr>
                          <w:rFonts w:asciiTheme="minorHAnsi" w:hAnsiTheme="minorHAnsi" w:cstheme="minorHAnsi"/>
                          <w:b/>
                          <w:lang w:val="sv-SE"/>
                        </w:rPr>
                      </w:pPr>
                      <w:r>
                        <w:rPr>
                          <w:rFonts w:asciiTheme="minorHAnsi" w:hAnsiTheme="minorHAnsi" w:cstheme="minorHAnsi"/>
                          <w:b/>
                          <w:lang w:val="sv-SE"/>
                        </w:rPr>
                        <w:t>September 2015</w:t>
                      </w:r>
                    </w:p>
                  </w:txbxContent>
                </v:textbox>
              </v:shape>
            </w:pict>
          </mc:Fallback>
        </mc:AlternateContent>
      </w:r>
      <w:r w:rsidRPr="00E8542B">
        <w:rPr>
          <w:rFonts w:ascii="Calibri" w:hAnsi="Calibri"/>
          <w:b/>
          <w:sz w:val="28"/>
          <w:szCs w:val="28"/>
          <w:lang w:val="sv-SE"/>
        </w:rPr>
        <w:t>PRESSMEDDELANDE</w:t>
      </w:r>
    </w:p>
    <w:p w:rsidR="006406AB" w:rsidRPr="00E8542B" w:rsidRDefault="006406AB" w:rsidP="006406AB">
      <w:pPr>
        <w:rPr>
          <w:rFonts w:ascii="Calibri" w:hAnsi="Calibri"/>
          <w:lang w:val="sv-SE"/>
        </w:rPr>
      </w:pPr>
    </w:p>
    <w:p w:rsidR="006406AB" w:rsidRPr="00E8542B" w:rsidRDefault="006406AB" w:rsidP="006406AB">
      <w:pPr>
        <w:rPr>
          <w:rFonts w:ascii="Calibri" w:hAnsi="Calibri"/>
          <w:lang w:val="sv-SE"/>
        </w:rPr>
      </w:pPr>
    </w:p>
    <w:p w:rsidR="006406AB" w:rsidRPr="00E8542B" w:rsidRDefault="006406AB" w:rsidP="006406AB">
      <w:pPr>
        <w:rPr>
          <w:rFonts w:ascii="Calibri" w:hAnsi="Calibri"/>
          <w:b/>
          <w:lang w:val="sv-SE"/>
        </w:rPr>
      </w:pPr>
    </w:p>
    <w:p w:rsidR="006406AB" w:rsidRPr="00E8542B" w:rsidRDefault="006406AB" w:rsidP="006406AB">
      <w:pPr>
        <w:rPr>
          <w:rFonts w:ascii="Calibri" w:hAnsi="Calibri"/>
          <w:b/>
          <w:lang w:val="sv-SE"/>
        </w:rPr>
      </w:pPr>
    </w:p>
    <w:p w:rsidR="006406AB" w:rsidRPr="00E8542B" w:rsidRDefault="00E8542B" w:rsidP="006406AB">
      <w:pPr>
        <w:rPr>
          <w:rFonts w:ascii="Calibri" w:hAnsi="Calibri"/>
          <w:b/>
          <w:lang w:val="sv-SE"/>
        </w:rPr>
      </w:pPr>
      <w:r w:rsidRPr="00E8542B">
        <w:rPr>
          <w:rFonts w:ascii="Calibri" w:hAnsi="Calibri"/>
          <w:b/>
          <w:lang w:val="sv-SE"/>
        </w:rPr>
        <w:t>2015 års Östersjöseminarium</w:t>
      </w:r>
    </w:p>
    <w:p w:rsidR="006406AB" w:rsidRPr="00E8542B" w:rsidRDefault="006406AB" w:rsidP="006406AB">
      <w:pPr>
        <w:rPr>
          <w:rFonts w:ascii="Calibri" w:hAnsi="Calibri"/>
          <w:lang w:val="sv-SE"/>
        </w:rPr>
      </w:pPr>
    </w:p>
    <w:p w:rsidR="00E8542B" w:rsidRDefault="00E8542B" w:rsidP="00E8542B">
      <w:pPr>
        <w:rPr>
          <w:rFonts w:ascii="Calibri" w:hAnsi="Calibri"/>
          <w:sz w:val="20"/>
          <w:szCs w:val="20"/>
          <w:lang w:val="sv-SE"/>
        </w:rPr>
      </w:pPr>
      <w:bookmarkStart w:id="0" w:name="_GoBack"/>
      <w:bookmarkEnd w:id="0"/>
      <w:r w:rsidRPr="00E8542B">
        <w:rPr>
          <w:rFonts w:ascii="Calibri" w:hAnsi="Calibri"/>
          <w:sz w:val="20"/>
          <w:szCs w:val="20"/>
          <w:lang w:val="sv-SE"/>
        </w:rPr>
        <w:t xml:space="preserve">För femte året i rad arrangerade Initiativet Hållbara Hav ett miljöseminarium om Östersjöns framtid. Seminariet hölls den 1 september i Kolskjulet på Kastellholmen i Stockholm som också är Briggen Tre Kronors hemmahamn. Vid seminariet deltog Kronprinsessan Victoria som är Briggen Tre Kronors gudmor. </w:t>
      </w:r>
    </w:p>
    <w:p w:rsidR="00E8542B" w:rsidRPr="00E8542B" w:rsidRDefault="00E8542B" w:rsidP="00E8542B">
      <w:pPr>
        <w:rPr>
          <w:rFonts w:ascii="Calibri" w:hAnsi="Calibri"/>
          <w:sz w:val="20"/>
          <w:szCs w:val="20"/>
          <w:lang w:val="sv-SE"/>
        </w:rPr>
      </w:pPr>
    </w:p>
    <w:p w:rsidR="00E8542B" w:rsidRDefault="00E8542B" w:rsidP="00E8542B">
      <w:pPr>
        <w:rPr>
          <w:rFonts w:ascii="Calibri" w:hAnsi="Calibri"/>
          <w:sz w:val="20"/>
          <w:szCs w:val="20"/>
          <w:lang w:val="sv-SE"/>
        </w:rPr>
      </w:pPr>
      <w:r w:rsidRPr="00E8542B">
        <w:rPr>
          <w:rFonts w:ascii="Calibri" w:hAnsi="Calibri"/>
          <w:sz w:val="20"/>
          <w:szCs w:val="20"/>
          <w:lang w:val="sv-SE"/>
        </w:rPr>
        <w:t xml:space="preserve">14 länder med ca 90 miljoner invånare gränsar till Östersjön som är världen mest förorenade innanhav. Vid seminariet presenterade forskare och experter de senaste rönen inom övergödning, </w:t>
      </w:r>
      <w:proofErr w:type="spellStart"/>
      <w:r w:rsidRPr="00E8542B">
        <w:rPr>
          <w:rFonts w:ascii="Calibri" w:hAnsi="Calibri"/>
          <w:sz w:val="20"/>
          <w:szCs w:val="20"/>
          <w:lang w:val="sv-SE"/>
        </w:rPr>
        <w:t>kustfiskar</w:t>
      </w:r>
      <w:proofErr w:type="spellEnd"/>
      <w:r w:rsidRPr="00E8542B">
        <w:rPr>
          <w:rFonts w:ascii="Calibri" w:hAnsi="Calibri"/>
          <w:sz w:val="20"/>
          <w:szCs w:val="20"/>
          <w:lang w:val="sv-SE"/>
        </w:rPr>
        <w:t xml:space="preserve"> och mikroplaster. Mikroplaster uppstår då plast bryts ner till mindre partiklar. Dessa mikroplaster uppfattas av många arter som plankton och annan föda och förs vidare upp i näringskedjan.  Varje år används 720 miljoner plastpåsar i Sverige vilket bidrar till ökningen av mikroplaster i Östersjön. Utbyggnaden vid Östersjöns stränder har påverkat livsmiljön för de fiskarter som lever nära våra stränder (gädda, abborre, sik, gös m.fl.) i stor utsträckning. Så till exempel har 40-50 % av de kustnära fiskarternas lekområden försvunnit sedan 1960-talet på grund av utbyggnad av marinor, bryggor och andra anläggningar. Göran Lindstedt, VD på Initiativet Hållbara Hav, menar dock att vi inte enbart ska fokusera på alla nedslående forskningsresultat utan även på det positiva faktum att kunskapen om Östersjön har ökat avsevärt vilket ger större möjlighet till en omställning så att miljön kan förbättras.</w:t>
      </w:r>
    </w:p>
    <w:p w:rsidR="00E8542B" w:rsidRPr="00E8542B" w:rsidRDefault="00E8542B" w:rsidP="00E8542B">
      <w:pPr>
        <w:rPr>
          <w:rFonts w:ascii="Calibri" w:hAnsi="Calibri"/>
          <w:sz w:val="20"/>
          <w:szCs w:val="20"/>
          <w:lang w:val="sv-SE"/>
        </w:rPr>
      </w:pPr>
    </w:p>
    <w:p w:rsidR="00E8542B" w:rsidRPr="00E8542B" w:rsidRDefault="00E8542B" w:rsidP="00E8542B">
      <w:pPr>
        <w:rPr>
          <w:rFonts w:ascii="Calibri" w:hAnsi="Calibri"/>
          <w:sz w:val="20"/>
          <w:szCs w:val="20"/>
          <w:lang w:val="sv-SE"/>
        </w:rPr>
      </w:pPr>
      <w:r w:rsidRPr="00E8542B">
        <w:rPr>
          <w:rFonts w:ascii="Calibri" w:hAnsi="Calibri"/>
          <w:sz w:val="20"/>
          <w:szCs w:val="20"/>
          <w:lang w:val="sv-SE"/>
        </w:rPr>
        <w:t>Initiativet Hållbara Hav är en organisation som tillsammans med forskare, miljöorganisationer, politiker och näringsliv arbetar för att få en hållbar utveckling av Östersjön. Initiativet Hållbara Hav kommer att vara Briggen Tre Kronors viktigaste verksamhetsområde under de närmaste åren. Saint-Gobain Abrasives AB är Stödjande Partner till Initiativet Hållbara Hav.</w:t>
      </w:r>
    </w:p>
    <w:p w:rsidR="00F9129D" w:rsidRPr="00E8542B" w:rsidRDefault="00E8542B" w:rsidP="00E8542B">
      <w:pPr>
        <w:rPr>
          <w:rFonts w:ascii="Calibri" w:hAnsi="Calibri"/>
          <w:sz w:val="20"/>
          <w:szCs w:val="20"/>
          <w:lang w:val="sv-SE"/>
        </w:rPr>
      </w:pPr>
      <w:r w:rsidRPr="00E8542B">
        <w:rPr>
          <w:rFonts w:ascii="Calibri" w:hAnsi="Calibri"/>
          <w:sz w:val="20"/>
          <w:szCs w:val="20"/>
          <w:lang w:val="sv-SE"/>
        </w:rPr>
        <w:t xml:space="preserve">"Ett viktigt och lovvärt engagemang tycker vi på Saint-Gobain Abrasives AB och har därför sponsrat Briggen Tre Kronor i många år med olika typer av slipprodukter. Bland annat har däcket slipats med våra golvslipband och </w:t>
      </w:r>
      <w:proofErr w:type="gramStart"/>
      <w:r w:rsidRPr="00E8542B">
        <w:rPr>
          <w:rFonts w:ascii="Calibri" w:hAnsi="Calibri"/>
          <w:sz w:val="20"/>
          <w:szCs w:val="20"/>
          <w:lang w:val="sv-SE"/>
        </w:rPr>
        <w:t>–rondeller</w:t>
      </w:r>
      <w:proofErr w:type="gramEnd"/>
      <w:r w:rsidRPr="00E8542B">
        <w:rPr>
          <w:rFonts w:ascii="Calibri" w:hAnsi="Calibri"/>
          <w:sz w:val="20"/>
          <w:szCs w:val="20"/>
          <w:lang w:val="sv-SE"/>
        </w:rPr>
        <w:t>. Dessutom har en mängd andra slipprodukter använts under byggnationen och numera under det årliga underhållet som t.ex. kapskivor och navrondeller för metallbearbetning, slipskivor till verkstadsarbeten och olika typer av slippapper och slipduk för trä- och metallslipning." berättar Anders Sverke på Saint-Gobain Abrasives AB</w:t>
      </w:r>
      <w:r>
        <w:rPr>
          <w:rFonts w:ascii="Calibri" w:hAnsi="Calibri"/>
          <w:sz w:val="20"/>
          <w:szCs w:val="20"/>
          <w:lang w:val="sv-SE"/>
        </w:rPr>
        <w:t>.</w:t>
      </w:r>
    </w:p>
    <w:sectPr w:rsidR="00F9129D" w:rsidRPr="00E8542B" w:rsidSect="0059783F">
      <w:headerReference w:type="even" r:id="rId7"/>
      <w:headerReference w:type="default" r:id="rId8"/>
      <w:footerReference w:type="even" r:id="rId9"/>
      <w:footerReference w:type="default" r:id="rId10"/>
      <w:headerReference w:type="first" r:id="rId11"/>
      <w:footerReference w:type="first" r:id="rId12"/>
      <w:pgSz w:w="11906" w:h="16838"/>
      <w:pgMar w:top="1236" w:right="692" w:bottom="312" w:left="720" w:header="539"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A0" w:rsidRDefault="00B332A0">
      <w:r>
        <w:separator/>
      </w:r>
    </w:p>
  </w:endnote>
  <w:endnote w:type="continuationSeparator" w:id="0">
    <w:p w:rsidR="00B332A0" w:rsidRDefault="00B3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AB" w:rsidRDefault="006406A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9D" w:rsidRDefault="00584A44" w:rsidP="0059783F">
    <w:pPr>
      <w:jc w:val="center"/>
      <w:rPr>
        <w:rFonts w:ascii="Calibri" w:hAnsi="Calibri"/>
        <w:b/>
        <w:color w:val="999B9E"/>
        <w:sz w:val="16"/>
        <w:szCs w:val="16"/>
      </w:rPr>
    </w:pPr>
    <w:r>
      <w:rPr>
        <w:rFonts w:ascii="Calibri" w:hAnsi="Calibri"/>
        <w:b/>
        <w:noProof/>
        <w:color w:val="999B9E"/>
        <w:sz w:val="16"/>
        <w:szCs w:val="16"/>
        <w:lang w:val="sv-SE" w:eastAsia="sv-SE"/>
      </w:rPr>
      <w:drawing>
        <wp:inline distT="0" distB="0" distL="0" distR="0">
          <wp:extent cx="899160" cy="899160"/>
          <wp:effectExtent l="0" t="0" r="0" b="0"/>
          <wp:docPr id="2" name="Bild 2" descr="LABEL_CO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L_COU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59783F" w:rsidRDefault="0059783F" w:rsidP="00F9129D">
    <w:pPr>
      <w:jc w:val="center"/>
      <w:rPr>
        <w:rFonts w:ascii="Calibri" w:hAnsi="Calibri"/>
        <w:b/>
        <w:color w:val="999B9E"/>
        <w:sz w:val="16"/>
        <w:szCs w:val="16"/>
      </w:rPr>
    </w:pPr>
  </w:p>
  <w:p w:rsidR="006406AB" w:rsidRPr="00E8542B" w:rsidRDefault="006406AB" w:rsidP="006406AB">
    <w:pPr>
      <w:jc w:val="center"/>
      <w:rPr>
        <w:rFonts w:ascii="Calibri" w:hAnsi="Calibri"/>
        <w:b/>
        <w:color w:val="999B9E"/>
        <w:sz w:val="16"/>
        <w:szCs w:val="16"/>
        <w:lang w:val="de-DE"/>
      </w:rPr>
    </w:pPr>
    <w:r w:rsidRPr="00E8542B">
      <w:rPr>
        <w:rFonts w:ascii="Calibri" w:hAnsi="Calibri"/>
        <w:b/>
        <w:color w:val="999B9E"/>
        <w:sz w:val="16"/>
        <w:szCs w:val="16"/>
        <w:lang w:val="de-DE"/>
      </w:rPr>
      <w:t>Saint-Gobain Abrasives AB</w:t>
    </w:r>
  </w:p>
  <w:p w:rsidR="006406AB" w:rsidRPr="00E8542B" w:rsidRDefault="006406AB" w:rsidP="006406AB">
    <w:pPr>
      <w:jc w:val="center"/>
      <w:rPr>
        <w:rFonts w:ascii="Calibri" w:hAnsi="Calibri"/>
        <w:color w:val="999B9E"/>
        <w:sz w:val="16"/>
        <w:szCs w:val="16"/>
        <w:lang w:val="de-DE"/>
      </w:rPr>
    </w:pPr>
    <w:r w:rsidRPr="00E8542B">
      <w:rPr>
        <w:rFonts w:ascii="Calibri" w:hAnsi="Calibri"/>
        <w:color w:val="999B9E"/>
        <w:sz w:val="16"/>
        <w:szCs w:val="16"/>
        <w:lang w:val="de-DE"/>
      </w:rPr>
      <w:t>Box 495, 191 24  Sollentuna • Telefon 08-580 881 00 • Telefax 08-580 881 01</w:t>
    </w:r>
  </w:p>
  <w:p w:rsidR="00F9129D" w:rsidRPr="00195A7E" w:rsidRDefault="006406AB" w:rsidP="006406AB">
    <w:pPr>
      <w:jc w:val="center"/>
      <w:rPr>
        <w:rFonts w:ascii="Calibri" w:hAnsi="Calibri"/>
        <w:color w:val="999B9E"/>
        <w:sz w:val="16"/>
        <w:szCs w:val="16"/>
      </w:rPr>
    </w:pPr>
    <w:r w:rsidRPr="00E90628">
      <w:rPr>
        <w:rFonts w:ascii="Calibri" w:hAnsi="Calibri"/>
        <w:color w:val="999B9E"/>
        <w:sz w:val="16"/>
        <w:szCs w:val="16"/>
      </w:rPr>
      <w:t xml:space="preserve">E-post: sga.se@saint-gobain.com • </w:t>
    </w:r>
    <w:proofErr w:type="spellStart"/>
    <w:r w:rsidRPr="00E90628">
      <w:rPr>
        <w:rFonts w:ascii="Calibri" w:hAnsi="Calibri"/>
        <w:color w:val="999B9E"/>
        <w:sz w:val="16"/>
        <w:szCs w:val="16"/>
      </w:rPr>
      <w:t>Hemsida</w:t>
    </w:r>
    <w:proofErr w:type="spellEnd"/>
    <w:r w:rsidRPr="00E90628">
      <w:rPr>
        <w:rFonts w:ascii="Calibri" w:hAnsi="Calibri"/>
        <w:color w:val="999B9E"/>
        <w:sz w:val="16"/>
        <w:szCs w:val="16"/>
      </w:rPr>
      <w:t>: www.saint-gobain-abrasives.com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AB" w:rsidRDefault="006406A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A0" w:rsidRDefault="00B332A0">
      <w:r>
        <w:separator/>
      </w:r>
    </w:p>
  </w:footnote>
  <w:footnote w:type="continuationSeparator" w:id="0">
    <w:p w:rsidR="00B332A0" w:rsidRDefault="00B3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AB" w:rsidRDefault="006406A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9D" w:rsidRDefault="00584A44" w:rsidP="00F9129D">
    <w:pPr>
      <w:pStyle w:val="Sidhuvud"/>
      <w:tabs>
        <w:tab w:val="clear" w:pos="4153"/>
        <w:tab w:val="center" w:pos="5040"/>
      </w:tabs>
      <w:ind w:left="-42"/>
      <w:jc w:val="center"/>
    </w:pPr>
    <w:r>
      <w:rPr>
        <w:noProof/>
        <w:lang w:val="sv-SE" w:eastAsia="sv-SE"/>
      </w:rPr>
      <w:drawing>
        <wp:inline distT="0" distB="0" distL="0" distR="0">
          <wp:extent cx="1432560" cy="457200"/>
          <wp:effectExtent l="0" t="0" r="0" b="0"/>
          <wp:docPr id="1" name="Bild 1" descr="S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AB" w:rsidRDefault="006406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51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AC"/>
    <w:rsid w:val="003446AC"/>
    <w:rsid w:val="00584A44"/>
    <w:rsid w:val="0059783F"/>
    <w:rsid w:val="006406AB"/>
    <w:rsid w:val="00B332A0"/>
    <w:rsid w:val="00E8542B"/>
    <w:rsid w:val="00F9129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446AC"/>
    <w:pPr>
      <w:tabs>
        <w:tab w:val="center" w:pos="4153"/>
        <w:tab w:val="right" w:pos="8306"/>
      </w:tabs>
    </w:pPr>
  </w:style>
  <w:style w:type="paragraph" w:styleId="Sidfot">
    <w:name w:val="footer"/>
    <w:basedOn w:val="Normal"/>
    <w:rsid w:val="003446AC"/>
    <w:pPr>
      <w:tabs>
        <w:tab w:val="center" w:pos="4153"/>
        <w:tab w:val="right" w:pos="8306"/>
      </w:tabs>
    </w:pPr>
  </w:style>
  <w:style w:type="character" w:styleId="Hyperlnk">
    <w:name w:val="Hyperlink"/>
    <w:rsid w:val="004D2A76"/>
    <w:rPr>
      <w:color w:val="0000FF"/>
      <w:u w:val="single"/>
    </w:rPr>
  </w:style>
  <w:style w:type="paragraph" w:styleId="Ballongtext">
    <w:name w:val="Balloon Text"/>
    <w:basedOn w:val="Normal"/>
    <w:link w:val="BallongtextChar"/>
    <w:rsid w:val="006406AB"/>
    <w:rPr>
      <w:rFonts w:ascii="Tahoma" w:hAnsi="Tahoma" w:cs="Tahoma"/>
      <w:sz w:val="16"/>
      <w:szCs w:val="16"/>
    </w:rPr>
  </w:style>
  <w:style w:type="character" w:customStyle="1" w:styleId="BallongtextChar">
    <w:name w:val="Ballongtext Char"/>
    <w:basedOn w:val="Standardstycketeckensnitt"/>
    <w:link w:val="Ballongtext"/>
    <w:rsid w:val="006406AB"/>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446AC"/>
    <w:pPr>
      <w:tabs>
        <w:tab w:val="center" w:pos="4153"/>
        <w:tab w:val="right" w:pos="8306"/>
      </w:tabs>
    </w:pPr>
  </w:style>
  <w:style w:type="paragraph" w:styleId="Sidfot">
    <w:name w:val="footer"/>
    <w:basedOn w:val="Normal"/>
    <w:rsid w:val="003446AC"/>
    <w:pPr>
      <w:tabs>
        <w:tab w:val="center" w:pos="4153"/>
        <w:tab w:val="right" w:pos="8306"/>
      </w:tabs>
    </w:pPr>
  </w:style>
  <w:style w:type="character" w:styleId="Hyperlnk">
    <w:name w:val="Hyperlink"/>
    <w:rsid w:val="004D2A76"/>
    <w:rPr>
      <w:color w:val="0000FF"/>
      <w:u w:val="single"/>
    </w:rPr>
  </w:style>
  <w:style w:type="paragraph" w:styleId="Ballongtext">
    <w:name w:val="Balloon Text"/>
    <w:basedOn w:val="Normal"/>
    <w:link w:val="BallongtextChar"/>
    <w:rsid w:val="006406AB"/>
    <w:rPr>
      <w:rFonts w:ascii="Tahoma" w:hAnsi="Tahoma" w:cs="Tahoma"/>
      <w:sz w:val="16"/>
      <w:szCs w:val="16"/>
    </w:rPr>
  </w:style>
  <w:style w:type="character" w:customStyle="1" w:styleId="BallongtextChar">
    <w:name w:val="Ballongtext Char"/>
    <w:basedOn w:val="Standardstycketeckensnitt"/>
    <w:link w:val="Ballongtext"/>
    <w:rsid w:val="006406AB"/>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2052</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Company>
  <LinksUpToDate>false</LinksUpToDate>
  <CharactersWithSpaces>2385</CharactersWithSpaces>
  <SharedDoc>false</SharedDoc>
  <HLinks>
    <vt:vector size="6" baseType="variant">
      <vt:variant>
        <vt:i4>3932275</vt:i4>
      </vt:variant>
      <vt:variant>
        <vt:i4>0</vt:i4>
      </vt:variant>
      <vt:variant>
        <vt:i4>0</vt:i4>
      </vt:variant>
      <vt:variant>
        <vt:i4>5</vt:i4>
      </vt:variant>
      <vt:variant>
        <vt:lpwstr>http://www.website.com/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M6738255</dc:creator>
  <cp:lastModifiedBy>Sverke, Anders - Saint-Gobain Abrasives AB</cp:lastModifiedBy>
  <cp:revision>4</cp:revision>
  <cp:lastPrinted>2012-08-06T11:54:00Z</cp:lastPrinted>
  <dcterms:created xsi:type="dcterms:W3CDTF">2014-11-17T10:15:00Z</dcterms:created>
  <dcterms:modified xsi:type="dcterms:W3CDTF">2015-09-03T06:15:00Z</dcterms:modified>
</cp:coreProperties>
</file>