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3C68CA">
        <w:rPr>
          <w:rFonts w:ascii="Arial" w:hAnsi="Arial" w:cs="Arial"/>
          <w:sz w:val="52"/>
          <w:szCs w:val="52"/>
        </w:rPr>
        <w:t>0</w:t>
      </w:r>
      <w:r w:rsidR="00C7429E">
        <w:rPr>
          <w:rFonts w:ascii="Arial" w:hAnsi="Arial" w:cs="Arial"/>
          <w:sz w:val="52"/>
          <w:szCs w:val="52"/>
        </w:rPr>
        <w:t>3</w:t>
      </w:r>
      <w:r w:rsidR="007E3138">
        <w:rPr>
          <w:rFonts w:ascii="Arial" w:hAnsi="Arial" w:cs="Arial"/>
          <w:sz w:val="52"/>
          <w:szCs w:val="52"/>
        </w:rPr>
        <w:t>/201</w:t>
      </w:r>
      <w:r w:rsidR="003C68CA">
        <w:rPr>
          <w:rFonts w:ascii="Arial" w:hAnsi="Arial" w:cs="Arial"/>
          <w:sz w:val="52"/>
          <w:szCs w:val="52"/>
        </w:rPr>
        <w:t>8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62B" w:rsidRDefault="00C7429E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Anlegertag Düsseldorf</w:t>
      </w:r>
      <w:r w:rsidR="003C68CA">
        <w:rPr>
          <w:rFonts w:ascii="Arial" w:hAnsi="Arial" w:cs="Arial"/>
          <w:sz w:val="28"/>
          <w:szCs w:val="28"/>
        </w:rPr>
        <w:t xml:space="preserve"> </w:t>
      </w:r>
    </w:p>
    <w:p w:rsidR="009E362B" w:rsidRPr="009E362B" w:rsidRDefault="00170AAA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fundiertes</w:t>
      </w:r>
      <w:r w:rsidR="009E362B" w:rsidRPr="009E362B">
        <w:rPr>
          <w:rFonts w:ascii="Arial" w:hAnsi="Arial" w:cs="Arial"/>
          <w:sz w:val="24"/>
          <w:szCs w:val="24"/>
        </w:rPr>
        <w:t xml:space="preserve"> Finanzwissen für Privatanleger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4BF" w:rsidRPr="00ED7DA8" w:rsidRDefault="009137CE" w:rsidP="003C68CA">
      <w:pPr>
        <w:spacing w:after="0" w:line="240" w:lineRule="auto"/>
        <w:ind w:right="-42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Informationsbedarf </w:t>
      </w:r>
      <w:r w:rsidR="002D43C4">
        <w:rPr>
          <w:rFonts w:ascii="Arial" w:hAnsi="Arial" w:cs="Arial"/>
          <w:color w:val="000000" w:themeColor="text1"/>
          <w:sz w:val="28"/>
          <w:szCs w:val="28"/>
        </w:rPr>
        <w:t xml:space="preserve">steigt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mit </w:t>
      </w:r>
      <w:r w:rsidR="002D43C4">
        <w:rPr>
          <w:rFonts w:ascii="Arial" w:hAnsi="Arial" w:cs="Arial"/>
          <w:color w:val="000000" w:themeColor="text1"/>
          <w:sz w:val="28"/>
          <w:szCs w:val="28"/>
        </w:rPr>
        <w:t xml:space="preserve">Anzahl der </w:t>
      </w:r>
      <w:r>
        <w:rPr>
          <w:rFonts w:ascii="Arial" w:hAnsi="Arial" w:cs="Arial"/>
          <w:color w:val="000000" w:themeColor="text1"/>
          <w:sz w:val="28"/>
          <w:szCs w:val="28"/>
        </w:rPr>
        <w:t>Aktionär</w:t>
      </w:r>
      <w:r w:rsidR="002D43C4">
        <w:rPr>
          <w:rFonts w:ascii="Arial" w:hAnsi="Arial" w:cs="Arial"/>
          <w:color w:val="000000" w:themeColor="text1"/>
          <w:sz w:val="28"/>
          <w:szCs w:val="28"/>
        </w:rPr>
        <w:t>e</w:t>
      </w:r>
    </w:p>
    <w:p w:rsidR="002D43C4" w:rsidRDefault="002D43C4" w:rsidP="00A40392">
      <w:pPr>
        <w:pStyle w:val="StandardWeb"/>
        <w:spacing w:line="360" w:lineRule="auto"/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</w:pP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Am Samstag, dem 10.03.2018, findet in der Classic Remise die größte Messe für Privatanleger in NRW statt. Den Besucher erwartet in der Zeit von 9:30 </w:t>
      </w:r>
      <w:r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>bis</w:t>
      </w:r>
      <w:r w:rsidRPr="002D43C4">
        <w:rPr>
          <w:rFonts w:ascii="Arial" w:eastAsiaTheme="minorHAnsi" w:hAnsi="Arial" w:cs="Arial"/>
          <w:b/>
          <w:bCs/>
          <w:kern w:val="36"/>
          <w:sz w:val="22"/>
          <w:szCs w:val="22"/>
          <w:lang w:eastAsia="en-US"/>
        </w:rPr>
        <w:t xml:space="preserve"> 16:30 Uhr aktuelle Informationen rund um das Thema Geldanlage, Finanzen und Börse. Das umfangreiche Programm bietet spannende, unterhaltsame und wissensvermittelnde Vorträge; Fragen können in direkten und persönlichen Gesprächen mit Referenten und Unternehmensvertretern an den Messeständen geklärt werden. Der Eintritt ist kostenfrei.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>Das Deutsche Aktieninstitut kommt in einer seiner neuesten Studie zu dem Ergebnis, dass die Anzahl der deutschen Aktionäre jüngst gestiegen ist: um 12% auf 10 Mio. im Vergleich zum Vorjahr; im Vergleich zu anderen europäischen Staaten ist dies immer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>noch gering.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>Demgegenüber steht eine rasante Entwicklung in der Finanztechnologie, immer neue Höchststände an den Märkten sowie wirtscha</w:t>
      </w:r>
      <w:r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tliche Herausforderungen und politische Unsicherheiten. Eine fundierte Information ist für erfolgreiche Anlageentscheidungen daher unerlässlich. Hier möchte der Anlegertag ansetzen und allen Interessierten ein breites Spektrum an Themen bieten. 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Den Besucher erwartet ein breitgefächertes Vortragsprogramm. “Aktien, Anleihen, Fonds, Derivate, Charttechnik, Immobilien oder Rohstoffe - aufbereitet für Einsteiger und erfahrene Anleger. In mehreren </w:t>
      </w:r>
      <w:proofErr w:type="gramStart"/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Vorträgen wird 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>zudem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ein Ausblick auf den weiteren Verlauf des Börsenjahres 2018 gewagt</w:t>
      </w:r>
      <w:proofErr w:type="gramEnd"/>
      <w:r w:rsidR="002321C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Grundlagenvorträge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 xml:space="preserve"> bieten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>Wissen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 für Börsenneulinge.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Inmitten der Oldtimer-Ausstellung der Düsseldorfer Classic Remise, stehen über 50 Aussteller mit ihren Angeboten speziell für Privatanleger direkt und persönlich </w:t>
      </w:r>
      <w:r w:rsidR="002321C8">
        <w:rPr>
          <w:rFonts w:ascii="Arial" w:eastAsiaTheme="minorHAnsi" w:hAnsi="Arial" w:cs="Arial"/>
          <w:sz w:val="22"/>
          <w:szCs w:val="22"/>
          <w:lang w:eastAsia="en-US"/>
        </w:rPr>
        <w:t>für Fragen zur Verfügung</w:t>
      </w:r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. Das Ausstellerspektrum reicht dabei von den deutschen Börsen, Banken und Institutionen, wie der Deutschen Bundesbank und der Verbraucherzentrale, bis hin zu Brokern, Handelsplattformen oder Investmentgesellschaften. </w:t>
      </w:r>
    </w:p>
    <w:p w:rsidR="00A84872" w:rsidRPr="00A84872" w:rsidRDefault="00A8487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8487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Mit fünf parallelen Vortragsbereichen ist das Programm umfangreich und wartet mit bekannten Referenten wie z.B. Volker Schulz, Mick </w:t>
      </w:r>
      <w:proofErr w:type="spellStart"/>
      <w:r w:rsidRPr="00A84872">
        <w:rPr>
          <w:rFonts w:ascii="Arial" w:eastAsiaTheme="minorHAnsi" w:hAnsi="Arial" w:cs="Arial"/>
          <w:sz w:val="22"/>
          <w:szCs w:val="22"/>
          <w:lang w:eastAsia="en-US"/>
        </w:rPr>
        <w:t>Knauff</w:t>
      </w:r>
      <w:proofErr w:type="spellEnd"/>
      <w:r w:rsidRPr="00A84872">
        <w:rPr>
          <w:rFonts w:ascii="Arial" w:eastAsiaTheme="minorHAnsi" w:hAnsi="Arial" w:cs="Arial"/>
          <w:sz w:val="22"/>
          <w:szCs w:val="22"/>
          <w:lang w:eastAsia="en-US"/>
        </w:rPr>
        <w:t xml:space="preserve">, Hermann Kutzer auf - mit Tipps für Einsteiger bis hin zu Themen wie Trading, technische Analyse oder alternative Investments. </w:t>
      </w:r>
    </w:p>
    <w:p w:rsidR="00A40392" w:rsidRPr="00A40392" w:rsidRDefault="00A40392" w:rsidP="00A84872">
      <w:pPr>
        <w:pStyle w:val="Standard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40392">
        <w:rPr>
          <w:rFonts w:ascii="Arial" w:eastAsiaTheme="minorHAnsi" w:hAnsi="Arial" w:cs="Arial"/>
          <w:sz w:val="22"/>
          <w:szCs w:val="22"/>
          <w:lang w:eastAsia="en-US"/>
        </w:rPr>
        <w:t>“Wir möchten, dass sich alle zum Thema Geldanlage und Vorsorge in all seinen Facetten unabhängig und kostenfrei informieren können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40392">
        <w:rPr>
          <w:rFonts w:ascii="Arial" w:eastAsiaTheme="minorHAnsi" w:hAnsi="Arial" w:cs="Arial"/>
          <w:sz w:val="22"/>
          <w:szCs w:val="22"/>
          <w:lang w:eastAsia="en-US"/>
        </w:rPr>
        <w:t xml:space="preserve">” sagt Dirk </w:t>
      </w:r>
      <w:proofErr w:type="spellStart"/>
      <w:r w:rsidRPr="00A40392">
        <w:rPr>
          <w:rFonts w:ascii="Arial" w:eastAsiaTheme="minorHAnsi" w:hAnsi="Arial" w:cs="Arial"/>
          <w:sz w:val="22"/>
          <w:szCs w:val="22"/>
          <w:lang w:eastAsia="en-US"/>
        </w:rPr>
        <w:t>Mahnert</w:t>
      </w:r>
      <w:proofErr w:type="spellEnd"/>
      <w:r w:rsidRPr="00A40392">
        <w:rPr>
          <w:rFonts w:ascii="Arial" w:eastAsiaTheme="minorHAnsi" w:hAnsi="Arial" w:cs="Arial"/>
          <w:sz w:val="22"/>
          <w:szCs w:val="22"/>
          <w:lang w:eastAsia="en-US"/>
        </w:rPr>
        <w:t xml:space="preserve"> vom Organisationsteam des Börsentages</w:t>
      </w:r>
      <w:r w:rsidRPr="00A40392">
        <w:rPr>
          <w:rFonts w:ascii="Arial" w:hAnsi="Arial" w:cs="Arial"/>
        </w:rPr>
        <w:t xml:space="preserve">. </w:t>
      </w:r>
    </w:p>
    <w:p w:rsidR="0093593F" w:rsidRPr="003C68CA" w:rsidRDefault="00A84872" w:rsidP="0093593F">
      <w:pPr>
        <w:pStyle w:val="StandardWeb"/>
        <w:spacing w:after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ine vorherige Anmeldung zum </w:t>
      </w:r>
      <w:r w:rsidR="00C10895">
        <w:rPr>
          <w:rFonts w:ascii="Arial" w:eastAsiaTheme="minorHAnsi" w:hAnsi="Arial" w:cs="Arial"/>
          <w:sz w:val="22"/>
          <w:szCs w:val="22"/>
          <w:lang w:eastAsia="en-US"/>
        </w:rPr>
        <w:t>Anlegertag Düsseldorf</w:t>
      </w:r>
      <w:bookmarkStart w:id="0" w:name="_GoBack"/>
      <w:bookmarkEnd w:id="0"/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ist </w:t>
      </w:r>
      <w:r w:rsidR="003C68CA" w:rsidRPr="003C68CA">
        <w:rPr>
          <w:rFonts w:ascii="Arial" w:eastAsiaTheme="minorHAnsi" w:hAnsi="Arial" w:cs="Arial"/>
          <w:sz w:val="22"/>
          <w:szCs w:val="22"/>
          <w:lang w:eastAsia="en-US"/>
        </w:rPr>
        <w:t>erforderlich. Die Anmeldung bleibt kostenfrei, erfolgt online und dauert nur wenige Minuten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Alle Informationen zum </w:t>
      </w:r>
      <w:r>
        <w:rPr>
          <w:rFonts w:ascii="Arial" w:eastAsiaTheme="minorHAnsi" w:hAnsi="Arial" w:cs="Arial"/>
          <w:sz w:val="22"/>
          <w:szCs w:val="22"/>
          <w:lang w:eastAsia="en-US"/>
        </w:rPr>
        <w:t>Anlegertag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>das Vortragsprogramm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 sowie der Link zur Anmeldung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>unter www.</w:t>
      </w:r>
      <w:r>
        <w:rPr>
          <w:rFonts w:ascii="Arial" w:eastAsiaTheme="minorHAnsi" w:hAnsi="Arial" w:cs="Arial"/>
          <w:sz w:val="22"/>
          <w:szCs w:val="22"/>
          <w:lang w:eastAsia="en-US"/>
        </w:rPr>
        <w:t>anlegertag</w:t>
      </w:r>
      <w:r w:rsidR="0093593F" w:rsidRPr="003C68CA">
        <w:rPr>
          <w:rFonts w:ascii="Arial" w:eastAsiaTheme="minorHAnsi" w:hAnsi="Arial" w:cs="Arial"/>
          <w:sz w:val="22"/>
          <w:szCs w:val="22"/>
          <w:lang w:eastAsia="en-US"/>
        </w:rPr>
        <w:t>.de</w:t>
      </w:r>
      <w:r w:rsidR="0093593F">
        <w:rPr>
          <w:rFonts w:ascii="Arial" w:eastAsiaTheme="minorHAnsi" w:hAnsi="Arial" w:cs="Arial"/>
          <w:sz w:val="22"/>
          <w:szCs w:val="22"/>
          <w:lang w:eastAsia="en-US"/>
        </w:rPr>
        <w:t xml:space="preserve"> abrufbar.</w:t>
      </w:r>
    </w:p>
    <w:p w:rsidR="00BC6B29" w:rsidRPr="00F17279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8" w:history="1">
        <w:r w:rsidR="005B3829" w:rsidRPr="000F17ED">
          <w:rPr>
            <w:rStyle w:val="Hyperlink"/>
            <w:rFonts w:ascii="Arial" w:hAnsi="Arial" w:cs="Arial"/>
            <w:sz w:val="20"/>
            <w:szCs w:val="20"/>
          </w:rPr>
          <w:t>www.die-boersentage.de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</w:t>
      </w:r>
      <w:r w:rsidR="00D42FD7">
        <w:rPr>
          <w:rFonts w:ascii="Arial" w:hAnsi="Arial" w:cs="Arial"/>
          <w:i/>
          <w:sz w:val="20"/>
          <w:szCs w:val="20"/>
        </w:rPr>
        <w:t xml:space="preserve">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</w:t>
      </w:r>
      <w:proofErr w:type="gramStart"/>
      <w:r w:rsidRPr="006B777A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6B777A">
        <w:rPr>
          <w:rFonts w:ascii="Arial" w:hAnsi="Arial" w:cs="Arial"/>
          <w:i/>
          <w:sz w:val="20"/>
          <w:szCs w:val="20"/>
        </w:rPr>
        <w:t xml:space="preserve">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D66AED">
      <w:headerReference w:type="default" r:id="rId9"/>
      <w:footerReference w:type="default" r:id="rId10"/>
      <w:headerReference w:type="first" r:id="rId11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95" w:rsidRDefault="002E7895" w:rsidP="00E225B4">
      <w:pPr>
        <w:spacing w:after="0" w:line="240" w:lineRule="auto"/>
      </w:pPr>
      <w:r>
        <w:separator/>
      </w:r>
    </w:p>
  </w:endnote>
  <w:end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95" w:rsidRDefault="002E7895" w:rsidP="00E225B4">
      <w:pPr>
        <w:spacing w:after="0" w:line="240" w:lineRule="auto"/>
      </w:pPr>
      <w:r>
        <w:separator/>
      </w:r>
    </w:p>
  </w:footnote>
  <w:footnote w:type="continuationSeparator" w:id="0">
    <w:p w:rsidR="002E7895" w:rsidRDefault="002E7895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46"/>
    <w:rsid w:val="00003432"/>
    <w:rsid w:val="0005032D"/>
    <w:rsid w:val="000615B4"/>
    <w:rsid w:val="000672EF"/>
    <w:rsid w:val="000B4829"/>
    <w:rsid w:val="000C0275"/>
    <w:rsid w:val="000C0430"/>
    <w:rsid w:val="000D4B3B"/>
    <w:rsid w:val="000D638F"/>
    <w:rsid w:val="000D7355"/>
    <w:rsid w:val="00116C42"/>
    <w:rsid w:val="00170AAA"/>
    <w:rsid w:val="00190440"/>
    <w:rsid w:val="001A7E8A"/>
    <w:rsid w:val="001E5923"/>
    <w:rsid w:val="00200EA6"/>
    <w:rsid w:val="00223E35"/>
    <w:rsid w:val="002321C8"/>
    <w:rsid w:val="00281B5A"/>
    <w:rsid w:val="002A7B6B"/>
    <w:rsid w:val="002D43C4"/>
    <w:rsid w:val="002E7895"/>
    <w:rsid w:val="00342263"/>
    <w:rsid w:val="00377AF6"/>
    <w:rsid w:val="00387A13"/>
    <w:rsid w:val="0039226A"/>
    <w:rsid w:val="003B5B9A"/>
    <w:rsid w:val="003C68CA"/>
    <w:rsid w:val="003D0ABD"/>
    <w:rsid w:val="003D250B"/>
    <w:rsid w:val="003F30D0"/>
    <w:rsid w:val="00402797"/>
    <w:rsid w:val="0045435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60025C"/>
    <w:rsid w:val="00624EBB"/>
    <w:rsid w:val="00627DD9"/>
    <w:rsid w:val="006650B3"/>
    <w:rsid w:val="00691D6C"/>
    <w:rsid w:val="006B5382"/>
    <w:rsid w:val="006B777A"/>
    <w:rsid w:val="00766686"/>
    <w:rsid w:val="007B4583"/>
    <w:rsid w:val="007C52DF"/>
    <w:rsid w:val="007D2AFD"/>
    <w:rsid w:val="007E3138"/>
    <w:rsid w:val="007F7A11"/>
    <w:rsid w:val="00822689"/>
    <w:rsid w:val="00831683"/>
    <w:rsid w:val="00886B31"/>
    <w:rsid w:val="00890F22"/>
    <w:rsid w:val="008A32B7"/>
    <w:rsid w:val="008A5AEB"/>
    <w:rsid w:val="008B222B"/>
    <w:rsid w:val="008E50E4"/>
    <w:rsid w:val="008E660A"/>
    <w:rsid w:val="009066E3"/>
    <w:rsid w:val="009137CE"/>
    <w:rsid w:val="0093593F"/>
    <w:rsid w:val="009A1C81"/>
    <w:rsid w:val="009A4662"/>
    <w:rsid w:val="009C69C9"/>
    <w:rsid w:val="009D0909"/>
    <w:rsid w:val="009E362B"/>
    <w:rsid w:val="009F1C46"/>
    <w:rsid w:val="00A40392"/>
    <w:rsid w:val="00A47F36"/>
    <w:rsid w:val="00A64BD0"/>
    <w:rsid w:val="00A84872"/>
    <w:rsid w:val="00A851E4"/>
    <w:rsid w:val="00AC3545"/>
    <w:rsid w:val="00AD6536"/>
    <w:rsid w:val="00B039BB"/>
    <w:rsid w:val="00B07A65"/>
    <w:rsid w:val="00B253AE"/>
    <w:rsid w:val="00B41712"/>
    <w:rsid w:val="00B84080"/>
    <w:rsid w:val="00B97EED"/>
    <w:rsid w:val="00BA04BF"/>
    <w:rsid w:val="00BC6B29"/>
    <w:rsid w:val="00BF61AF"/>
    <w:rsid w:val="00C10895"/>
    <w:rsid w:val="00C1427C"/>
    <w:rsid w:val="00C34250"/>
    <w:rsid w:val="00C54954"/>
    <w:rsid w:val="00C720B8"/>
    <w:rsid w:val="00C7429E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52C34"/>
    <w:rsid w:val="00E609D7"/>
    <w:rsid w:val="00E71CAA"/>
    <w:rsid w:val="00E93192"/>
    <w:rsid w:val="00ED55D6"/>
    <w:rsid w:val="00ED7DA8"/>
    <w:rsid w:val="00EE4B3D"/>
    <w:rsid w:val="00F12C1E"/>
    <w:rsid w:val="00F17279"/>
    <w:rsid w:val="00F222FF"/>
    <w:rsid w:val="00F42DD7"/>
    <w:rsid w:val="00F54D9E"/>
    <w:rsid w:val="00F64AF3"/>
    <w:rsid w:val="00F700FC"/>
    <w:rsid w:val="00F816DE"/>
    <w:rsid w:val="00F83639"/>
    <w:rsid w:val="00F8580F"/>
    <w:rsid w:val="00F86468"/>
    <w:rsid w:val="00F95053"/>
    <w:rsid w:val="00FB715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BBEA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boersentag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FD8E-1DAB-4948-8FB6-A4E6BD5F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4</cp:revision>
  <dcterms:created xsi:type="dcterms:W3CDTF">2018-03-06T10:13:00Z</dcterms:created>
  <dcterms:modified xsi:type="dcterms:W3CDTF">2018-03-06T11:23:00Z</dcterms:modified>
</cp:coreProperties>
</file>