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723E17"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723E17"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5A7C0A" w:rsidRPr="005A7C0A" w:rsidRDefault="005A7C0A" w:rsidP="005A7C0A">
      <w:pPr>
        <w:pStyle w:val="BodyText2"/>
        <w:spacing w:line="276" w:lineRule="auto"/>
        <w:jc w:val="both"/>
        <w:rPr>
          <w:rFonts w:ascii="Arial" w:hAnsi="Arial" w:cs="Arial"/>
          <w:b/>
          <w:bCs/>
          <w:sz w:val="44"/>
          <w:szCs w:val="32"/>
          <w:lang w:val="cs-CZ"/>
        </w:rPr>
      </w:pPr>
      <w:r w:rsidRPr="005A7C0A">
        <w:rPr>
          <w:rFonts w:ascii="Arial" w:hAnsi="Arial" w:cs="Arial"/>
          <w:b/>
          <w:bCs/>
          <w:sz w:val="44"/>
          <w:szCs w:val="32"/>
          <w:lang w:val="cs-CZ"/>
        </w:rPr>
        <w:t>V reakci na velký zájem zákazníků prodlužuje Ford výrobu supersportovního modelu Ford GT</w:t>
      </w:r>
    </w:p>
    <w:p w:rsidR="004A5828" w:rsidRPr="00B37CF9" w:rsidRDefault="004A5828" w:rsidP="00311D56">
      <w:pPr>
        <w:pStyle w:val="BodyText2"/>
        <w:spacing w:line="276" w:lineRule="auto"/>
        <w:jc w:val="both"/>
        <w:rPr>
          <w:rFonts w:ascii="Arial" w:hAnsi="Arial" w:cs="Arial"/>
          <w:b/>
          <w:bCs/>
          <w:sz w:val="22"/>
          <w:szCs w:val="22"/>
          <w:lang w:val="cs-CZ"/>
        </w:rPr>
      </w:pPr>
    </w:p>
    <w:p w:rsidR="005A7C0A" w:rsidRPr="005A7C0A" w:rsidRDefault="005A7C0A" w:rsidP="005A7C0A">
      <w:pPr>
        <w:pStyle w:val="ListParagraph"/>
        <w:numPr>
          <w:ilvl w:val="0"/>
          <w:numId w:val="44"/>
        </w:numPr>
        <w:spacing w:line="276" w:lineRule="auto"/>
        <w:ind w:left="720" w:right="-24"/>
        <w:jc w:val="both"/>
        <w:rPr>
          <w:rFonts w:ascii="Arial" w:hAnsi="Arial" w:cs="Arial"/>
          <w:b/>
          <w:szCs w:val="22"/>
        </w:rPr>
      </w:pPr>
      <w:r w:rsidRPr="005A7C0A">
        <w:rPr>
          <w:rFonts w:ascii="Arial" w:hAnsi="Arial" w:cs="Arial"/>
          <w:b/>
          <w:szCs w:val="22"/>
        </w:rPr>
        <w:t>Ford vyrobí přibližně 1</w:t>
      </w:r>
      <w:r>
        <w:rPr>
          <w:rFonts w:ascii="Arial" w:hAnsi="Arial" w:cs="Arial"/>
          <w:b/>
          <w:szCs w:val="22"/>
        </w:rPr>
        <w:t xml:space="preserve"> </w:t>
      </w:r>
      <w:r w:rsidRPr="005A7C0A">
        <w:rPr>
          <w:rFonts w:ascii="Arial" w:hAnsi="Arial" w:cs="Arial"/>
          <w:b/>
          <w:szCs w:val="22"/>
        </w:rPr>
        <w:t>350 kusů Fordu GT. Poptávka zatím převyšuje nabídku poměrem šest ku jedné</w:t>
      </w:r>
    </w:p>
    <w:p w:rsidR="005A7C0A" w:rsidRPr="005A7C0A" w:rsidRDefault="005A7C0A" w:rsidP="005A7C0A">
      <w:pPr>
        <w:pStyle w:val="ListParagraph"/>
        <w:spacing w:line="276" w:lineRule="auto"/>
        <w:ind w:right="-24"/>
        <w:jc w:val="both"/>
        <w:rPr>
          <w:rFonts w:ascii="Arial" w:hAnsi="Arial" w:cs="Arial"/>
          <w:b/>
          <w:szCs w:val="22"/>
        </w:rPr>
      </w:pPr>
    </w:p>
    <w:p w:rsidR="005A7C0A" w:rsidRPr="005A7C0A" w:rsidRDefault="005A7C0A" w:rsidP="005A7C0A">
      <w:pPr>
        <w:pStyle w:val="ListParagraph"/>
        <w:numPr>
          <w:ilvl w:val="0"/>
          <w:numId w:val="44"/>
        </w:numPr>
        <w:spacing w:line="276" w:lineRule="auto"/>
        <w:ind w:left="720" w:right="-24"/>
        <w:jc w:val="both"/>
        <w:rPr>
          <w:rFonts w:ascii="Arial" w:hAnsi="Arial" w:cs="Arial"/>
          <w:b/>
          <w:szCs w:val="22"/>
        </w:rPr>
      </w:pPr>
      <w:r w:rsidRPr="005A7C0A">
        <w:rPr>
          <w:rFonts w:ascii="Arial" w:hAnsi="Arial" w:cs="Arial"/>
          <w:b/>
          <w:szCs w:val="22"/>
        </w:rPr>
        <w:t>Na vybraných trzích se 8. listopadu na jeden měsíc znovu otevře příjem žádostí</w:t>
      </w:r>
    </w:p>
    <w:p w:rsidR="005A7C0A" w:rsidRPr="005A7C0A" w:rsidRDefault="005A7C0A" w:rsidP="005A7C0A">
      <w:pPr>
        <w:pStyle w:val="ListParagraph"/>
        <w:spacing w:line="276" w:lineRule="auto"/>
        <w:ind w:right="-24"/>
        <w:jc w:val="both"/>
        <w:rPr>
          <w:rFonts w:ascii="Arial" w:hAnsi="Arial" w:cs="Arial"/>
          <w:b/>
          <w:szCs w:val="22"/>
        </w:rPr>
      </w:pPr>
    </w:p>
    <w:p w:rsidR="005A7C0A" w:rsidRPr="005A7C0A" w:rsidRDefault="005A7C0A" w:rsidP="005A7C0A">
      <w:pPr>
        <w:pStyle w:val="ListParagraph"/>
        <w:numPr>
          <w:ilvl w:val="0"/>
          <w:numId w:val="44"/>
        </w:numPr>
        <w:spacing w:line="276" w:lineRule="auto"/>
        <w:ind w:left="720" w:right="-24"/>
        <w:jc w:val="both"/>
        <w:rPr>
          <w:rFonts w:ascii="Arial" w:hAnsi="Arial" w:cs="Arial"/>
          <w:b/>
          <w:szCs w:val="22"/>
        </w:rPr>
      </w:pPr>
      <w:r w:rsidRPr="005A7C0A">
        <w:rPr>
          <w:rFonts w:ascii="Arial" w:hAnsi="Arial" w:cs="Arial"/>
          <w:b/>
          <w:szCs w:val="22"/>
        </w:rPr>
        <w:t>Nový Ford GT Heritage Edition v barvách Gulf oslavuje 50. výročí vítězství Fordu GT40 v Le Mans z let 1968 a 1969</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5A7C0A">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5A7C0A">
        <w:rPr>
          <w:rFonts w:ascii="Arial" w:hAnsi="Arial" w:cs="Arial"/>
          <w:b/>
          <w:i/>
          <w:sz w:val="24"/>
        </w:rPr>
        <w:t>2</w:t>
      </w:r>
      <w:r w:rsidR="00723E17">
        <w:rPr>
          <w:rFonts w:ascii="Arial" w:hAnsi="Arial" w:cs="Arial"/>
          <w:b/>
          <w:i/>
          <w:sz w:val="24"/>
        </w:rPr>
        <w:t>4</w:t>
      </w:r>
      <w:bookmarkStart w:id="9" w:name="_GoBack"/>
      <w:bookmarkEnd w:id="9"/>
      <w:r w:rsidRPr="009A1395">
        <w:rPr>
          <w:rFonts w:ascii="Arial" w:hAnsi="Arial" w:cs="Arial"/>
          <w:b/>
          <w:i/>
          <w:sz w:val="24"/>
        </w:rPr>
        <w:t xml:space="preserve">. </w:t>
      </w:r>
      <w:r w:rsidR="005A7C0A">
        <w:rPr>
          <w:rFonts w:ascii="Arial" w:hAnsi="Arial" w:cs="Arial"/>
          <w:b/>
          <w:i/>
          <w:sz w:val="24"/>
        </w:rPr>
        <w:t>října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5A7C0A" w:rsidRPr="005A7C0A">
        <w:rPr>
          <w:rFonts w:ascii="Arial" w:hAnsi="Arial" w:cs="Arial"/>
          <w:b/>
          <w:sz w:val="24"/>
        </w:rPr>
        <w:t>Společnost Ford Motor Company oznamuje prodloužení výroby supersportovního modelu Ford GT přibližně o dva roky. Jde o reakci na neslábnoucí poptávku.</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5A7C0A" w:rsidRPr="005A7C0A" w:rsidRDefault="005A7C0A" w:rsidP="005A7C0A">
      <w:pPr>
        <w:widowControl w:val="0"/>
        <w:autoSpaceDE w:val="0"/>
        <w:autoSpaceDN w:val="0"/>
        <w:adjustRightInd w:val="0"/>
        <w:spacing w:line="276" w:lineRule="auto"/>
        <w:jc w:val="both"/>
        <w:rPr>
          <w:rFonts w:ascii="Arial" w:hAnsi="Arial" w:cs="Arial"/>
          <w:sz w:val="24"/>
        </w:rPr>
      </w:pPr>
      <w:r w:rsidRPr="005A7C0A">
        <w:rPr>
          <w:rFonts w:ascii="Arial" w:hAnsi="Arial" w:cs="Arial"/>
          <w:sz w:val="24"/>
        </w:rPr>
        <w:t>Ford dodá zákazníkům po celém světě přibližně 1</w:t>
      </w:r>
      <w:r>
        <w:rPr>
          <w:rFonts w:ascii="Arial" w:hAnsi="Arial" w:cs="Arial"/>
          <w:sz w:val="24"/>
        </w:rPr>
        <w:t xml:space="preserve"> </w:t>
      </w:r>
      <w:r w:rsidRPr="005A7C0A">
        <w:rPr>
          <w:rFonts w:ascii="Arial" w:hAnsi="Arial" w:cs="Arial"/>
          <w:sz w:val="24"/>
        </w:rPr>
        <w:t xml:space="preserve">350 Fordů GT. Na vybraných trzích se 8. listopadu na jeden měsíc znovu otevře </w:t>
      </w:r>
      <w:r w:rsidR="00854480">
        <w:rPr>
          <w:rFonts w:ascii="Arial" w:hAnsi="Arial" w:cs="Arial"/>
          <w:sz w:val="24"/>
        </w:rPr>
        <w:t xml:space="preserve">příjem žádostí </w:t>
      </w:r>
      <w:r w:rsidRPr="005A7C0A">
        <w:rPr>
          <w:rFonts w:ascii="Arial" w:hAnsi="Arial" w:cs="Arial"/>
          <w:sz w:val="24"/>
        </w:rPr>
        <w:t>zájemcům, kteří se chtějí zařadit do exkluzivní skupiny majitelů Fordu GT</w:t>
      </w:r>
      <w:r w:rsidR="00854480">
        <w:rPr>
          <w:rFonts w:ascii="Arial" w:hAnsi="Arial" w:cs="Arial"/>
          <w:sz w:val="24"/>
        </w:rPr>
        <w:t>.</w:t>
      </w:r>
    </w:p>
    <w:p w:rsidR="005A7C0A" w:rsidRPr="005A7C0A" w:rsidRDefault="005A7C0A" w:rsidP="005A7C0A">
      <w:pPr>
        <w:widowControl w:val="0"/>
        <w:autoSpaceDE w:val="0"/>
        <w:autoSpaceDN w:val="0"/>
        <w:adjustRightInd w:val="0"/>
        <w:spacing w:line="276" w:lineRule="auto"/>
        <w:jc w:val="both"/>
        <w:rPr>
          <w:rFonts w:ascii="Arial" w:hAnsi="Arial" w:cs="Arial"/>
          <w:sz w:val="24"/>
        </w:rPr>
      </w:pPr>
    </w:p>
    <w:p w:rsidR="005A7C0A" w:rsidRPr="005A7C0A" w:rsidRDefault="005A7C0A" w:rsidP="005A7C0A">
      <w:pPr>
        <w:widowControl w:val="0"/>
        <w:autoSpaceDE w:val="0"/>
        <w:autoSpaceDN w:val="0"/>
        <w:adjustRightInd w:val="0"/>
        <w:spacing w:line="276" w:lineRule="auto"/>
        <w:jc w:val="both"/>
        <w:rPr>
          <w:rFonts w:ascii="Arial" w:hAnsi="Arial" w:cs="Arial"/>
          <w:sz w:val="24"/>
        </w:rPr>
      </w:pPr>
      <w:r w:rsidRPr="005A7C0A">
        <w:rPr>
          <w:rFonts w:ascii="Arial" w:hAnsi="Arial" w:cs="Arial"/>
          <w:sz w:val="24"/>
        </w:rPr>
        <w:t xml:space="preserve">Zájemci budou opět podávat žádosti přes formulář na </w:t>
      </w:r>
      <w:hyperlink r:id="rId11" w:history="1">
        <w:r w:rsidRPr="005A7C0A">
          <w:rPr>
            <w:rStyle w:val="Hyperlink"/>
            <w:rFonts w:ascii="Arial" w:hAnsi="Arial" w:cs="Arial"/>
            <w:sz w:val="24"/>
          </w:rPr>
          <w:t>FordGT.com</w:t>
        </w:r>
      </w:hyperlink>
      <w:r w:rsidRPr="005A7C0A">
        <w:rPr>
          <w:rFonts w:ascii="Arial" w:hAnsi="Arial" w:cs="Arial"/>
          <w:sz w:val="24"/>
        </w:rPr>
        <w:t xml:space="preserve">. Úspěšné žadatele </w:t>
      </w:r>
      <w:r w:rsidR="005109AF">
        <w:rPr>
          <w:rFonts w:ascii="Arial" w:hAnsi="Arial" w:cs="Arial"/>
          <w:sz w:val="24"/>
        </w:rPr>
        <w:t>poté</w:t>
      </w:r>
      <w:r w:rsidRPr="005A7C0A">
        <w:rPr>
          <w:rFonts w:ascii="Arial" w:hAnsi="Arial" w:cs="Arial"/>
          <w:sz w:val="24"/>
        </w:rPr>
        <w:t xml:space="preserve"> kontaktuje služba Ford GT Concierge Service, která je provede procesem nákupu a individualizace vozu.</w:t>
      </w:r>
    </w:p>
    <w:p w:rsidR="005A7C0A" w:rsidRPr="005A7C0A" w:rsidRDefault="005A7C0A" w:rsidP="005A7C0A">
      <w:pPr>
        <w:widowControl w:val="0"/>
        <w:autoSpaceDE w:val="0"/>
        <w:autoSpaceDN w:val="0"/>
        <w:adjustRightInd w:val="0"/>
        <w:spacing w:line="276" w:lineRule="auto"/>
        <w:jc w:val="both"/>
        <w:rPr>
          <w:rFonts w:ascii="Arial" w:hAnsi="Arial" w:cs="Arial"/>
          <w:sz w:val="24"/>
        </w:rPr>
      </w:pPr>
    </w:p>
    <w:p w:rsidR="005A7C0A" w:rsidRPr="005A7C0A" w:rsidRDefault="005A7C0A" w:rsidP="005A7C0A">
      <w:pPr>
        <w:widowControl w:val="0"/>
        <w:autoSpaceDE w:val="0"/>
        <w:autoSpaceDN w:val="0"/>
        <w:adjustRightInd w:val="0"/>
        <w:spacing w:line="276" w:lineRule="auto"/>
        <w:jc w:val="both"/>
        <w:rPr>
          <w:rFonts w:ascii="Arial" w:hAnsi="Arial" w:cs="Arial"/>
          <w:sz w:val="24"/>
        </w:rPr>
      </w:pPr>
      <w:r w:rsidRPr="005A7C0A">
        <w:rPr>
          <w:rFonts w:ascii="Arial" w:hAnsi="Arial" w:cs="Arial"/>
          <w:sz w:val="24"/>
        </w:rPr>
        <w:lastRenderedPageBreak/>
        <w:t>„</w:t>
      </w:r>
      <w:r w:rsidRPr="005A7C0A">
        <w:rPr>
          <w:rFonts w:ascii="Arial" w:hAnsi="Arial" w:cs="Arial"/>
          <w:i/>
          <w:sz w:val="24"/>
        </w:rPr>
        <w:t>Odezva na Ford GT je bezprecedentní, poptávka převyšuje nabídku v poměru šest ku jedné,</w:t>
      </w:r>
      <w:r w:rsidRPr="005A7C0A">
        <w:rPr>
          <w:rFonts w:ascii="Arial" w:hAnsi="Arial" w:cs="Arial"/>
          <w:sz w:val="24"/>
        </w:rPr>
        <w:t>“ řekl Hermann Salenbauch, ředitel Ford Performance. „</w:t>
      </w:r>
      <w:r w:rsidRPr="00854480">
        <w:rPr>
          <w:rFonts w:ascii="Arial" w:hAnsi="Arial" w:cs="Arial"/>
          <w:i/>
          <w:sz w:val="24"/>
        </w:rPr>
        <w:t>Prodloužením výroby Fordu GT po omezenou dobu budeme moci zachovat exkluzivitu tohoto extrémně atraktivního supersportu a zároveň nabídnout jeho vlastnictví většímu počtu zákazníků. V Evropě si svůj na míru sestavený vůz již převzalo 80 zákazníků.</w:t>
      </w:r>
      <w:r w:rsidRPr="005A7C0A">
        <w:rPr>
          <w:rFonts w:ascii="Arial" w:hAnsi="Arial" w:cs="Arial"/>
          <w:sz w:val="24"/>
        </w:rPr>
        <w:t>“</w:t>
      </w:r>
      <w:r w:rsidRPr="005A7C0A">
        <w:rPr>
          <w:rFonts w:ascii="Arial" w:hAnsi="Arial" w:cs="Arial"/>
          <w:sz w:val="24"/>
        </w:rPr>
        <w:br/>
      </w:r>
      <w:r w:rsidRPr="005A7C0A">
        <w:rPr>
          <w:rFonts w:ascii="Arial" w:hAnsi="Arial" w:cs="Arial"/>
          <w:sz w:val="24"/>
        </w:rPr>
        <w:br/>
        <w:t>Původně Ford oznámil, že za čtyři roky vyrobí 1</w:t>
      </w:r>
      <w:r w:rsidR="00854480">
        <w:rPr>
          <w:rFonts w:ascii="Arial" w:hAnsi="Arial" w:cs="Arial"/>
          <w:sz w:val="24"/>
        </w:rPr>
        <w:t xml:space="preserve"> </w:t>
      </w:r>
      <w:r w:rsidRPr="005A7C0A">
        <w:rPr>
          <w:rFonts w:ascii="Arial" w:hAnsi="Arial" w:cs="Arial"/>
          <w:sz w:val="24"/>
        </w:rPr>
        <w:t xml:space="preserve">000 kusů. Výroba Fordu GT začala v prosinci 2016. Vůz je poháněn přeplňovaným motorem 3.5 EcoBoost V6. Pyšní se konstrukcí z uhlíkových vláken, aktivní aerodynamikou a nejvyšší rychlostí 347 km/h. </w:t>
      </w:r>
    </w:p>
    <w:p w:rsidR="005A7C0A" w:rsidRPr="005A7C0A" w:rsidRDefault="005A7C0A" w:rsidP="005A7C0A">
      <w:pPr>
        <w:widowControl w:val="0"/>
        <w:autoSpaceDE w:val="0"/>
        <w:autoSpaceDN w:val="0"/>
        <w:adjustRightInd w:val="0"/>
        <w:spacing w:line="276" w:lineRule="auto"/>
        <w:jc w:val="both"/>
        <w:rPr>
          <w:rFonts w:ascii="Arial" w:hAnsi="Arial" w:cs="Arial"/>
          <w:sz w:val="24"/>
        </w:rPr>
      </w:pPr>
    </w:p>
    <w:p w:rsidR="005A7C0A" w:rsidRPr="005A7C0A" w:rsidRDefault="005A7C0A" w:rsidP="005A7C0A">
      <w:pPr>
        <w:widowControl w:val="0"/>
        <w:autoSpaceDE w:val="0"/>
        <w:autoSpaceDN w:val="0"/>
        <w:adjustRightInd w:val="0"/>
        <w:spacing w:line="276" w:lineRule="auto"/>
        <w:jc w:val="both"/>
        <w:rPr>
          <w:rFonts w:ascii="Arial" w:hAnsi="Arial" w:cs="Arial"/>
          <w:sz w:val="24"/>
        </w:rPr>
      </w:pPr>
      <w:r w:rsidRPr="005A7C0A">
        <w:rPr>
          <w:rFonts w:ascii="Arial" w:hAnsi="Arial" w:cs="Arial"/>
          <w:sz w:val="24"/>
        </w:rPr>
        <w:t xml:space="preserve">Společnost nedávno </w:t>
      </w:r>
      <w:r w:rsidR="005109AF" w:rsidRPr="005A7C0A">
        <w:rPr>
          <w:rFonts w:ascii="Arial" w:hAnsi="Arial" w:cs="Arial"/>
          <w:sz w:val="24"/>
        </w:rPr>
        <w:t xml:space="preserve">rovněž </w:t>
      </w:r>
      <w:r w:rsidRPr="005A7C0A">
        <w:rPr>
          <w:rFonts w:ascii="Arial" w:hAnsi="Arial" w:cs="Arial"/>
          <w:sz w:val="24"/>
        </w:rPr>
        <w:t>oznámila novou limitovanou edici Ford GT Heritage Edition, která připomíná 50. výročí vítězství Fordu GT40 v</w:t>
      </w:r>
      <w:r w:rsidR="005109AF">
        <w:rPr>
          <w:rFonts w:ascii="Arial" w:hAnsi="Arial" w:cs="Arial"/>
          <w:sz w:val="24"/>
        </w:rPr>
        <w:t> závodě 24 hodin</w:t>
      </w:r>
      <w:r w:rsidRPr="005A7C0A">
        <w:rPr>
          <w:rFonts w:ascii="Arial" w:hAnsi="Arial" w:cs="Arial"/>
          <w:sz w:val="24"/>
        </w:rPr>
        <w:t xml:space="preserve"> Le Mans z let 1968 a 1969 speciálním zbarvením Gulf Oil.</w:t>
      </w:r>
    </w:p>
    <w:p w:rsidR="005A7C0A" w:rsidRPr="005A7C0A" w:rsidRDefault="005A7C0A" w:rsidP="005A7C0A">
      <w:pPr>
        <w:widowControl w:val="0"/>
        <w:autoSpaceDE w:val="0"/>
        <w:autoSpaceDN w:val="0"/>
        <w:adjustRightInd w:val="0"/>
        <w:spacing w:line="276" w:lineRule="auto"/>
        <w:jc w:val="both"/>
        <w:rPr>
          <w:rFonts w:ascii="Arial" w:hAnsi="Arial" w:cs="Arial"/>
          <w:sz w:val="24"/>
        </w:rPr>
      </w:pPr>
    </w:p>
    <w:p w:rsidR="005A7C0A" w:rsidRPr="005A7C0A" w:rsidRDefault="005A7C0A" w:rsidP="005A7C0A">
      <w:pPr>
        <w:widowControl w:val="0"/>
        <w:autoSpaceDE w:val="0"/>
        <w:autoSpaceDN w:val="0"/>
        <w:adjustRightInd w:val="0"/>
        <w:spacing w:line="276" w:lineRule="auto"/>
        <w:jc w:val="both"/>
        <w:rPr>
          <w:rFonts w:ascii="Arial" w:hAnsi="Arial" w:cs="Arial"/>
          <w:sz w:val="24"/>
        </w:rPr>
      </w:pPr>
      <w:r w:rsidRPr="005A7C0A">
        <w:rPr>
          <w:rFonts w:ascii="Arial" w:hAnsi="Arial" w:cs="Arial"/>
          <w:sz w:val="24"/>
        </w:rPr>
        <w:t xml:space="preserve">Vozy pro nové úspěšné žadatele z Evropy se budou vyrábět v kalendářních letech 2020 až 2022. </w:t>
      </w:r>
    </w:p>
    <w:p w:rsidR="005A7C0A" w:rsidRPr="005A7C0A" w:rsidRDefault="005A7C0A" w:rsidP="005A7C0A">
      <w:pPr>
        <w:widowControl w:val="0"/>
        <w:autoSpaceDE w:val="0"/>
        <w:autoSpaceDN w:val="0"/>
        <w:adjustRightInd w:val="0"/>
        <w:spacing w:line="276" w:lineRule="auto"/>
        <w:jc w:val="both"/>
        <w:rPr>
          <w:rFonts w:ascii="Arial" w:hAnsi="Arial" w:cs="Arial"/>
          <w:sz w:val="24"/>
        </w:rPr>
      </w:pPr>
    </w:p>
    <w:p w:rsidR="005A7C0A" w:rsidRPr="005A7C0A" w:rsidRDefault="005A7C0A" w:rsidP="005A7C0A">
      <w:pPr>
        <w:widowControl w:val="0"/>
        <w:autoSpaceDE w:val="0"/>
        <w:autoSpaceDN w:val="0"/>
        <w:adjustRightInd w:val="0"/>
        <w:spacing w:line="276" w:lineRule="auto"/>
        <w:jc w:val="both"/>
        <w:rPr>
          <w:rFonts w:ascii="Arial" w:hAnsi="Arial" w:cs="Arial"/>
          <w:sz w:val="24"/>
        </w:rPr>
      </w:pPr>
    </w:p>
    <w:p w:rsidR="005A7C0A" w:rsidRPr="005A7C0A" w:rsidRDefault="005A7C0A" w:rsidP="005A7C0A">
      <w:pPr>
        <w:widowControl w:val="0"/>
        <w:autoSpaceDE w:val="0"/>
        <w:autoSpaceDN w:val="0"/>
        <w:adjustRightInd w:val="0"/>
        <w:spacing w:line="276" w:lineRule="auto"/>
        <w:jc w:val="both"/>
        <w:rPr>
          <w:rFonts w:ascii="Arial" w:hAnsi="Arial" w:cs="Arial"/>
          <w:sz w:val="22"/>
          <w:szCs w:val="22"/>
        </w:rPr>
      </w:pPr>
      <w:r w:rsidRPr="005A7C0A">
        <w:rPr>
          <w:rFonts w:ascii="Arial" w:hAnsi="Arial" w:cs="Arial"/>
          <w:sz w:val="22"/>
          <w:szCs w:val="22"/>
        </w:rPr>
        <w:t>*Ford GT má spotřebu paliva od 14,9 l/100 km a emise CO</w:t>
      </w:r>
      <w:r w:rsidRPr="005A7C0A">
        <w:rPr>
          <w:rFonts w:ascii="Arial" w:hAnsi="Arial" w:cs="Arial"/>
          <w:sz w:val="22"/>
          <w:szCs w:val="22"/>
          <w:vertAlign w:val="subscript"/>
        </w:rPr>
        <w:t>2</w:t>
      </w:r>
      <w:r w:rsidRPr="005A7C0A">
        <w:rPr>
          <w:rFonts w:ascii="Arial" w:hAnsi="Arial" w:cs="Arial"/>
          <w:sz w:val="22"/>
          <w:szCs w:val="22"/>
        </w:rPr>
        <w:t xml:space="preserve"> od 349,6 g/km CO</w:t>
      </w:r>
      <w:r w:rsidRPr="005A7C0A">
        <w:rPr>
          <w:rFonts w:ascii="Arial" w:hAnsi="Arial" w:cs="Arial"/>
          <w:sz w:val="22"/>
          <w:szCs w:val="22"/>
          <w:vertAlign w:val="subscript"/>
        </w:rPr>
        <w:t>2</w:t>
      </w:r>
      <w:r w:rsidRPr="005A7C0A">
        <w:rPr>
          <w:rFonts w:ascii="Arial" w:hAnsi="Arial" w:cs="Arial"/>
          <w:sz w:val="22"/>
          <w:szCs w:val="22"/>
        </w:rPr>
        <w:t xml:space="preserve"> </w:t>
      </w:r>
    </w:p>
    <w:p w:rsidR="005A7C0A" w:rsidRPr="005A7C0A" w:rsidRDefault="005A7C0A" w:rsidP="005A7C0A">
      <w:pPr>
        <w:widowControl w:val="0"/>
        <w:autoSpaceDE w:val="0"/>
        <w:autoSpaceDN w:val="0"/>
        <w:adjustRightInd w:val="0"/>
        <w:spacing w:line="276" w:lineRule="auto"/>
        <w:jc w:val="both"/>
        <w:rPr>
          <w:rFonts w:ascii="Arial" w:hAnsi="Arial" w:cs="Arial"/>
          <w:sz w:val="22"/>
          <w:szCs w:val="22"/>
        </w:rPr>
      </w:pPr>
    </w:p>
    <w:p w:rsidR="005A7C0A" w:rsidRPr="005A7C0A" w:rsidRDefault="005A7C0A" w:rsidP="005A7C0A">
      <w:pPr>
        <w:widowControl w:val="0"/>
        <w:autoSpaceDE w:val="0"/>
        <w:autoSpaceDN w:val="0"/>
        <w:adjustRightInd w:val="0"/>
        <w:spacing w:line="276" w:lineRule="auto"/>
        <w:jc w:val="both"/>
        <w:rPr>
          <w:rFonts w:ascii="Arial" w:hAnsi="Arial" w:cs="Arial"/>
          <w:sz w:val="22"/>
          <w:szCs w:val="22"/>
        </w:rPr>
      </w:pPr>
      <w:r w:rsidRPr="005A7C0A">
        <w:rPr>
          <w:rFonts w:ascii="Arial" w:hAnsi="Arial" w:cs="Arial"/>
          <w:sz w:val="22"/>
          <w:szCs w:val="22"/>
        </w:rPr>
        <w:t xml:space="preserve"> </w:t>
      </w:r>
    </w:p>
    <w:p w:rsidR="005A7C0A" w:rsidRPr="005A7C0A" w:rsidRDefault="005A7C0A" w:rsidP="005A7C0A">
      <w:pPr>
        <w:widowControl w:val="0"/>
        <w:autoSpaceDE w:val="0"/>
        <w:autoSpaceDN w:val="0"/>
        <w:adjustRightInd w:val="0"/>
        <w:spacing w:line="276" w:lineRule="auto"/>
        <w:jc w:val="both"/>
        <w:rPr>
          <w:rFonts w:ascii="Arial" w:hAnsi="Arial" w:cs="Arial"/>
          <w:sz w:val="22"/>
          <w:szCs w:val="22"/>
        </w:rPr>
      </w:pPr>
    </w:p>
    <w:p w:rsidR="005A7C0A" w:rsidRPr="005A7C0A" w:rsidRDefault="005A7C0A" w:rsidP="005A7C0A">
      <w:pPr>
        <w:widowControl w:val="0"/>
        <w:autoSpaceDE w:val="0"/>
        <w:autoSpaceDN w:val="0"/>
        <w:adjustRightInd w:val="0"/>
        <w:spacing w:line="276" w:lineRule="auto"/>
        <w:jc w:val="both"/>
        <w:rPr>
          <w:rFonts w:ascii="Arial" w:hAnsi="Arial" w:cs="Arial"/>
          <w:sz w:val="22"/>
          <w:szCs w:val="22"/>
        </w:rPr>
      </w:pPr>
      <w:r w:rsidRPr="005A7C0A">
        <w:rPr>
          <w:rFonts w:ascii="Arial" w:hAnsi="Arial" w:cs="Arial"/>
          <w:sz w:val="22"/>
          <w:szCs w:val="22"/>
        </w:rPr>
        <w:t>Uváděné hodnoty spotřeby paliva a emisí CO</w:t>
      </w:r>
      <w:r w:rsidRPr="005A7C0A">
        <w:rPr>
          <w:rFonts w:ascii="Arial" w:hAnsi="Arial" w:cs="Arial"/>
          <w:sz w:val="22"/>
          <w:szCs w:val="22"/>
          <w:vertAlign w:val="subscript"/>
        </w:rPr>
        <w:t>2</w:t>
      </w:r>
      <w:r w:rsidRPr="005A7C0A">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5A7C0A">
        <w:rPr>
          <w:rFonts w:ascii="Arial" w:hAnsi="Arial" w:cs="Arial"/>
          <w:sz w:val="22"/>
          <w:szCs w:val="22"/>
          <w:vertAlign w:val="subscript"/>
        </w:rPr>
        <w:t>2</w:t>
      </w:r>
      <w:r w:rsidRPr="005A7C0A">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5A7C0A">
        <w:rPr>
          <w:rFonts w:ascii="Arial" w:hAnsi="Arial" w:cs="Arial"/>
          <w:sz w:val="22"/>
          <w:szCs w:val="22"/>
          <w:vertAlign w:val="subscript"/>
        </w:rPr>
        <w:t>2</w:t>
      </w:r>
      <w:r w:rsidRPr="005A7C0A">
        <w:rPr>
          <w:rFonts w:ascii="Arial" w:hAnsi="Arial" w:cs="Arial"/>
          <w:sz w:val="22"/>
          <w:szCs w:val="22"/>
        </w:rPr>
        <w:t xml:space="preserve"> patří k nejvýznamnějším skleníkovým plynům, způsobujícím globální oteplování.</w:t>
      </w:r>
    </w:p>
    <w:p w:rsidR="005A7C0A" w:rsidRPr="005A7C0A" w:rsidRDefault="005A7C0A" w:rsidP="005A7C0A">
      <w:pPr>
        <w:widowControl w:val="0"/>
        <w:autoSpaceDE w:val="0"/>
        <w:autoSpaceDN w:val="0"/>
        <w:adjustRightInd w:val="0"/>
        <w:spacing w:line="276" w:lineRule="auto"/>
        <w:jc w:val="both"/>
        <w:rPr>
          <w:rFonts w:ascii="Arial" w:hAnsi="Arial" w:cs="Arial"/>
          <w:sz w:val="22"/>
          <w:szCs w:val="22"/>
        </w:rPr>
      </w:pPr>
    </w:p>
    <w:p w:rsidR="005A7C0A" w:rsidRPr="005A7C0A" w:rsidRDefault="005A7C0A" w:rsidP="005A7C0A">
      <w:pPr>
        <w:widowControl w:val="0"/>
        <w:autoSpaceDE w:val="0"/>
        <w:autoSpaceDN w:val="0"/>
        <w:adjustRightInd w:val="0"/>
        <w:spacing w:line="276" w:lineRule="auto"/>
        <w:jc w:val="both"/>
        <w:rPr>
          <w:rFonts w:ascii="Arial" w:hAnsi="Arial" w:cs="Arial"/>
          <w:sz w:val="22"/>
          <w:szCs w:val="22"/>
        </w:rPr>
      </w:pPr>
      <w:r w:rsidRPr="005A7C0A">
        <w:rPr>
          <w:rFonts w:ascii="Arial" w:hAnsi="Arial" w:cs="Arial"/>
          <w:sz w:val="22"/>
          <w:szCs w:val="22"/>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5A7C0A">
        <w:rPr>
          <w:rFonts w:ascii="Arial" w:hAnsi="Arial" w:cs="Arial"/>
          <w:sz w:val="22"/>
          <w:szCs w:val="22"/>
          <w:vertAlign w:val="subscript"/>
        </w:rPr>
        <w:t>2</w:t>
      </w:r>
      <w:r w:rsidRPr="005A7C0A">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5A7C0A">
        <w:rPr>
          <w:rFonts w:ascii="Arial" w:hAnsi="Arial" w:cs="Arial"/>
          <w:sz w:val="22"/>
          <w:szCs w:val="22"/>
          <w:vertAlign w:val="subscript"/>
        </w:rPr>
        <w:t>2</w:t>
      </w:r>
      <w:r w:rsidRPr="005A7C0A">
        <w:rPr>
          <w:rFonts w:ascii="Arial" w:hAnsi="Arial" w:cs="Arial"/>
          <w:sz w:val="22"/>
          <w:szCs w:val="22"/>
        </w:rPr>
        <w:t>. To znamená, že stejný vůz může dle nové metodiky vykazovat jiné hodnoty než dříve.</w:t>
      </w:r>
    </w:p>
    <w:p w:rsidR="005A7C0A" w:rsidRPr="005A7C0A" w:rsidRDefault="005A7C0A" w:rsidP="005A7C0A">
      <w:pPr>
        <w:widowControl w:val="0"/>
        <w:autoSpaceDE w:val="0"/>
        <w:autoSpaceDN w:val="0"/>
        <w:adjustRightInd w:val="0"/>
        <w:spacing w:line="276" w:lineRule="auto"/>
        <w:jc w:val="both"/>
        <w:rPr>
          <w:rFonts w:ascii="Arial" w:hAnsi="Arial" w:cs="Arial"/>
          <w:sz w:val="22"/>
          <w:szCs w:val="22"/>
        </w:rPr>
      </w:pPr>
    </w:p>
    <w:p w:rsidR="00FF5A06" w:rsidRPr="005A7C0A" w:rsidRDefault="00FF5A06" w:rsidP="005A7C0A">
      <w:pPr>
        <w:widowControl w:val="0"/>
        <w:autoSpaceDE w:val="0"/>
        <w:autoSpaceDN w:val="0"/>
        <w:adjustRightInd w:val="0"/>
        <w:spacing w:line="276" w:lineRule="auto"/>
        <w:jc w:val="both"/>
        <w:rPr>
          <w:rFonts w:ascii="Arial" w:hAnsi="Arial" w:cs="Arial"/>
          <w:sz w:val="24"/>
        </w:rPr>
      </w:pPr>
    </w:p>
    <w:sectPr w:rsidR="00FF5A06" w:rsidRPr="005A7C0A" w:rsidSect="009E6024">
      <w:footerReference w:type="even" r:id="rId12"/>
      <w:footerReference w:type="default" r:id="rId13"/>
      <w:footerReference w:type="first" r:id="rId14"/>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205" w:rsidRDefault="00EE3205">
      <w:r>
        <w:separator/>
      </w:r>
    </w:p>
  </w:endnote>
  <w:endnote w:type="continuationSeparator" w:id="0">
    <w:p w:rsidR="00EE3205" w:rsidRDefault="00EE3205">
      <w:r>
        <w:continuationSeparator/>
      </w:r>
    </w:p>
  </w:endnote>
  <w:endnote w:type="continuationNotice" w:id="1">
    <w:p w:rsidR="00EE3205" w:rsidRDefault="00EE3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205" w:rsidRDefault="00EE3205">
      <w:r>
        <w:separator/>
      </w:r>
    </w:p>
  </w:footnote>
  <w:footnote w:type="continuationSeparator" w:id="0">
    <w:p w:rsidR="00EE3205" w:rsidRDefault="00EE3205">
      <w:r>
        <w:continuationSeparator/>
      </w:r>
    </w:p>
  </w:footnote>
  <w:footnote w:type="continuationNotice" w:id="1">
    <w:p w:rsidR="00EE3205" w:rsidRDefault="00EE320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 w:numId="4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29"/>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9AF"/>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A7C0A"/>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3E17"/>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480"/>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1BDF"/>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29B3"/>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3205"/>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5EF4BC"/>
  <w15:docId w15:val="{974B15AD-FE62-4159-BDD0-4F267D85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g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5C33-7B1C-4260-9542-CBE3AFB0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3139</Characters>
  <Application>Microsoft Office Word</Application>
  <DocSecurity>0</DocSecurity>
  <Lines>26</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3</cp:revision>
  <cp:lastPrinted>2017-03-15T14:07:00Z</cp:lastPrinted>
  <dcterms:created xsi:type="dcterms:W3CDTF">2018-10-23T12:46:00Z</dcterms:created>
  <dcterms:modified xsi:type="dcterms:W3CDTF">2018-10-24T07:40:00Z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