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D4" w:rsidRDefault="00212ED4" w:rsidP="007E2E60">
      <w:pPr>
        <w:autoSpaceDE w:val="0"/>
        <w:autoSpaceDN w:val="0"/>
        <w:adjustRightInd w:val="0"/>
        <w:rPr>
          <w:rFonts w:ascii="Franklin Gothic Book" w:hAnsi="Franklin Gothic Book" w:cstheme="minorHAnsi"/>
          <w:color w:val="E4B857"/>
          <w:sz w:val="60"/>
          <w:szCs w:val="60"/>
        </w:rPr>
      </w:pPr>
      <w:bookmarkStart w:id="0" w:name="_GoBack"/>
      <w:bookmarkEnd w:id="0"/>
      <w:r>
        <w:rPr>
          <w:rFonts w:ascii="Franklin Gothic Book" w:hAnsi="Franklin Gothic Book" w:cstheme="minorHAnsi"/>
          <w:color w:val="E4B857"/>
          <w:sz w:val="60"/>
          <w:szCs w:val="60"/>
        </w:rPr>
        <w:t>EU-b</w:t>
      </w:r>
      <w:r w:rsidRPr="008C7B52">
        <w:rPr>
          <w:rFonts w:ascii="Franklin Gothic Book" w:hAnsi="Franklin Gothic Book" w:cstheme="minorHAnsi"/>
          <w:color w:val="E4B857"/>
          <w:sz w:val="60"/>
          <w:szCs w:val="60"/>
        </w:rPr>
        <w:t xml:space="preserve">arometern </w:t>
      </w:r>
      <w:r>
        <w:rPr>
          <w:rFonts w:ascii="Franklin Gothic Book" w:hAnsi="Franklin Gothic Book" w:cstheme="minorHAnsi"/>
          <w:color w:val="E4B857"/>
          <w:sz w:val="60"/>
          <w:szCs w:val="60"/>
        </w:rPr>
        <w:t>2014</w:t>
      </w:r>
    </w:p>
    <w:p w:rsidR="007E2E60" w:rsidRPr="00922EBD" w:rsidRDefault="00922EBD" w:rsidP="007E2E60">
      <w:pPr>
        <w:autoSpaceDE w:val="0"/>
        <w:autoSpaceDN w:val="0"/>
        <w:adjustRightInd w:val="0"/>
        <w:rPr>
          <w:rFonts w:ascii="Franklin Gothic Book" w:hAnsi="Franklin Gothic Book" w:cstheme="minorHAnsi"/>
          <w:b/>
          <w:bCs/>
          <w:color w:val="000000" w:themeColor="text1"/>
          <w:sz w:val="36"/>
          <w:szCs w:val="36"/>
        </w:rPr>
      </w:pPr>
      <w:r w:rsidRPr="00922EBD">
        <w:rPr>
          <w:rFonts w:ascii="Franklin Gothic Book" w:hAnsi="Franklin Gothic Book"/>
          <w:b/>
          <w:sz w:val="36"/>
          <w:szCs w:val="36"/>
        </w:rPr>
        <w:t>Lantbrukarnas</w:t>
      </w:r>
      <w:r w:rsidR="00212ED4" w:rsidRPr="00922EBD">
        <w:rPr>
          <w:rFonts w:ascii="Franklin Gothic Book" w:hAnsi="Franklin Gothic Book"/>
          <w:b/>
          <w:sz w:val="36"/>
          <w:szCs w:val="36"/>
        </w:rPr>
        <w:t xml:space="preserve"> försiktigt positiv</w:t>
      </w:r>
      <w:r w:rsidRPr="00922EBD">
        <w:rPr>
          <w:rFonts w:ascii="Franklin Gothic Book" w:hAnsi="Franklin Gothic Book"/>
          <w:b/>
          <w:sz w:val="36"/>
          <w:szCs w:val="36"/>
        </w:rPr>
        <w:t>a</w:t>
      </w:r>
      <w:r w:rsidR="00212ED4" w:rsidRPr="00922EBD">
        <w:rPr>
          <w:rFonts w:ascii="Franklin Gothic Book" w:hAnsi="Franklin Gothic Book"/>
          <w:b/>
          <w:sz w:val="36"/>
          <w:szCs w:val="36"/>
        </w:rPr>
        <w:t xml:space="preserve"> syn på </w:t>
      </w:r>
      <w:r w:rsidRPr="00922EBD">
        <w:rPr>
          <w:rFonts w:ascii="Franklin Gothic Book" w:hAnsi="Franklin Gothic Book"/>
          <w:b/>
          <w:sz w:val="36"/>
          <w:szCs w:val="36"/>
        </w:rPr>
        <w:t xml:space="preserve">sin </w:t>
      </w:r>
      <w:r w:rsidR="00212ED4" w:rsidRPr="00922EBD">
        <w:rPr>
          <w:rFonts w:ascii="Franklin Gothic Book" w:hAnsi="Franklin Gothic Book"/>
          <w:b/>
          <w:sz w:val="36"/>
          <w:szCs w:val="36"/>
        </w:rPr>
        <w:t>lönsamhet är hotad</w:t>
      </w:r>
    </w:p>
    <w:p w:rsidR="00C50502" w:rsidRPr="007E2E60" w:rsidRDefault="00C50502" w:rsidP="00BB3DA8">
      <w:pPr>
        <w:autoSpaceDE w:val="0"/>
        <w:autoSpaceDN w:val="0"/>
        <w:adjustRightInd w:val="0"/>
        <w:rPr>
          <w:rFonts w:ascii="Franklin Gothic Book" w:hAnsi="Franklin Gothic Book" w:cstheme="minorHAnsi"/>
          <w:bCs/>
          <w:i/>
          <w:color w:val="000000"/>
          <w:sz w:val="20"/>
          <w:szCs w:val="20"/>
        </w:rPr>
      </w:pPr>
    </w:p>
    <w:p w:rsidR="00C50502" w:rsidRPr="007E2E60" w:rsidRDefault="00C50502" w:rsidP="00BB3DA8">
      <w:pPr>
        <w:autoSpaceDE w:val="0"/>
        <w:autoSpaceDN w:val="0"/>
        <w:adjustRightInd w:val="0"/>
        <w:rPr>
          <w:rFonts w:ascii="Franklin Gothic Book" w:hAnsi="Franklin Gothic Book" w:cstheme="minorHAnsi"/>
          <w:bCs/>
          <w:i/>
          <w:color w:val="000000"/>
          <w:sz w:val="20"/>
          <w:szCs w:val="20"/>
        </w:rPr>
      </w:pPr>
    </w:p>
    <w:p w:rsidR="003A10E7" w:rsidRPr="00AC22F2" w:rsidRDefault="003A10E7" w:rsidP="003A10E7">
      <w:pPr>
        <w:autoSpaceDE w:val="0"/>
        <w:autoSpaceDN w:val="0"/>
        <w:adjustRightInd w:val="0"/>
        <w:rPr>
          <w:rFonts w:ascii="Franklin Gothic Book" w:hAnsi="Franklin Gothic Book" w:cstheme="minorHAnsi"/>
          <w:bCs/>
          <w:i/>
          <w:color w:val="000000"/>
          <w:sz w:val="20"/>
          <w:szCs w:val="20"/>
        </w:rPr>
      </w:pPr>
      <w:r>
        <w:rPr>
          <w:rFonts w:ascii="Franklin Gothic Book" w:hAnsi="Franklin Gothic Book" w:cstheme="minorHAnsi"/>
          <w:b/>
          <w:bCs/>
          <w:i/>
          <w:color w:val="000000"/>
          <w:sz w:val="20"/>
          <w:szCs w:val="20"/>
        </w:rPr>
        <w:t xml:space="preserve">EU:s lantbrukslönsamhetsindex – </w:t>
      </w:r>
      <w:r w:rsidR="00F668CB">
        <w:rPr>
          <w:rFonts w:ascii="Franklin Gothic Book" w:hAnsi="Franklin Gothic Book" w:cstheme="minorHAnsi"/>
          <w:b/>
          <w:bCs/>
          <w:i/>
          <w:color w:val="000000"/>
          <w:sz w:val="20"/>
          <w:szCs w:val="20"/>
        </w:rPr>
        <w:t>våren 2014</w:t>
      </w:r>
      <w:r>
        <w:rPr>
          <w:rFonts w:ascii="Franklin Gothic Book" w:hAnsi="Franklin Gothic Book" w:cstheme="minorHAnsi"/>
          <w:bCs/>
          <w:i/>
          <w:color w:val="000000"/>
          <w:sz w:val="20"/>
          <w:szCs w:val="20"/>
        </w:rPr>
        <w:t xml:space="preserve"> </w:t>
      </w:r>
      <w:r w:rsidRPr="006D5AA0">
        <w:rPr>
          <w:rFonts w:ascii="Franklin Gothic Book" w:hAnsi="Franklin Gothic Book" w:cstheme="minorHAnsi"/>
          <w:bCs/>
          <w:i/>
          <w:color w:val="000000"/>
          <w:sz w:val="20"/>
          <w:szCs w:val="20"/>
        </w:rPr>
        <w:t>(The multi-national farmers’ confidence index)</w:t>
      </w:r>
      <w:r>
        <w:rPr>
          <w:rFonts w:ascii="Franklin Gothic Book" w:hAnsi="Franklin Gothic Book" w:cstheme="minorHAnsi"/>
          <w:b/>
          <w:bCs/>
          <w:i/>
          <w:color w:val="000000"/>
          <w:sz w:val="20"/>
          <w:szCs w:val="20"/>
        </w:rPr>
        <w:t xml:space="preserve"> </w:t>
      </w:r>
      <w:r>
        <w:rPr>
          <w:rFonts w:ascii="Franklin Gothic Book" w:hAnsi="Franklin Gothic Book" w:cstheme="minorHAnsi"/>
          <w:bCs/>
          <w:i/>
          <w:color w:val="000000"/>
          <w:sz w:val="20"/>
          <w:szCs w:val="20"/>
        </w:rPr>
        <w:t xml:space="preserve">är ett gemensamt Europeiskt lönsamhetsindex över lantbrukarnas uppfattningar om </w:t>
      </w:r>
      <w:r w:rsidRPr="00AC22F2">
        <w:rPr>
          <w:rFonts w:ascii="Franklin Gothic Book" w:hAnsi="Franklin Gothic Book" w:cstheme="minorHAnsi"/>
          <w:bCs/>
          <w:i/>
          <w:color w:val="000000"/>
          <w:sz w:val="20"/>
          <w:szCs w:val="20"/>
        </w:rPr>
        <w:t>den nuvarande och den förväntade ekonomiska situationen på gården. Av EUs</w:t>
      </w:r>
      <w:r>
        <w:rPr>
          <w:rFonts w:ascii="Franklin Gothic Book" w:hAnsi="Franklin Gothic Book" w:cstheme="minorHAnsi"/>
          <w:bCs/>
          <w:i/>
          <w:color w:val="000000"/>
          <w:sz w:val="20"/>
          <w:szCs w:val="20"/>
        </w:rPr>
        <w:t xml:space="preserve"> medlemsstater är det 9</w:t>
      </w:r>
      <w:r w:rsidRPr="00AC22F2">
        <w:rPr>
          <w:rFonts w:ascii="Franklin Gothic Book" w:hAnsi="Franklin Gothic Book" w:cstheme="minorHAnsi"/>
          <w:bCs/>
          <w:i/>
          <w:color w:val="000000"/>
          <w:sz w:val="20"/>
          <w:szCs w:val="20"/>
        </w:rPr>
        <w:t xml:space="preserve"> länder</w:t>
      </w:r>
      <w:r w:rsidRPr="00184CB7">
        <w:rPr>
          <w:rStyle w:val="Fotnotsreferens"/>
          <w:rFonts w:ascii="Franklin Gothic Book" w:hAnsi="Franklin Gothic Book"/>
          <w:sz w:val="20"/>
          <w:szCs w:val="20"/>
        </w:rPr>
        <w:footnoteReference w:id="1"/>
      </w:r>
      <w:r w:rsidRPr="00184CB7">
        <w:rPr>
          <w:rFonts w:ascii="Franklin Gothic Book" w:hAnsi="Franklin Gothic Book"/>
          <w:sz w:val="20"/>
          <w:szCs w:val="20"/>
        </w:rPr>
        <w:t xml:space="preserve"> </w:t>
      </w:r>
      <w:r w:rsidRPr="00AC22F2">
        <w:rPr>
          <w:rFonts w:ascii="Franklin Gothic Book" w:hAnsi="Franklin Gothic Book" w:cstheme="minorHAnsi"/>
          <w:bCs/>
          <w:i/>
          <w:color w:val="000000"/>
          <w:sz w:val="20"/>
          <w:szCs w:val="20"/>
        </w:rPr>
        <w:t xml:space="preserve">som ställt samma frågor som i den svenska lantbruksbarometern. Detta har gjorts </w:t>
      </w:r>
      <w:r w:rsidR="000C01F6">
        <w:rPr>
          <w:rFonts w:ascii="Franklin Gothic Book" w:hAnsi="Franklin Gothic Book" w:cstheme="minorHAnsi"/>
          <w:bCs/>
          <w:i/>
          <w:color w:val="000000"/>
          <w:sz w:val="20"/>
          <w:szCs w:val="20"/>
        </w:rPr>
        <w:t>januari och mars</w:t>
      </w:r>
      <w:r w:rsidRPr="00AC22F2">
        <w:rPr>
          <w:rFonts w:ascii="Franklin Gothic Book" w:hAnsi="Franklin Gothic Book" w:cstheme="minorHAnsi"/>
          <w:bCs/>
          <w:i/>
          <w:color w:val="000000"/>
          <w:sz w:val="20"/>
          <w:szCs w:val="20"/>
        </w:rPr>
        <w:t xml:space="preserve"> månad</w:t>
      </w:r>
      <w:r>
        <w:rPr>
          <w:rFonts w:ascii="Franklin Gothic Book" w:hAnsi="Franklin Gothic Book" w:cstheme="minorHAnsi"/>
          <w:bCs/>
          <w:i/>
          <w:color w:val="000000"/>
          <w:sz w:val="20"/>
          <w:szCs w:val="20"/>
        </w:rPr>
        <w:t>,</w:t>
      </w:r>
      <w:r w:rsidRPr="00AC22F2">
        <w:rPr>
          <w:rFonts w:ascii="Franklin Gothic Book" w:hAnsi="Franklin Gothic Book" w:cstheme="minorHAnsi"/>
          <w:bCs/>
          <w:i/>
          <w:color w:val="000000"/>
          <w:sz w:val="20"/>
          <w:szCs w:val="20"/>
        </w:rPr>
        <w:t xml:space="preserve"> Copa-Cogeca samm</w:t>
      </w:r>
      <w:r>
        <w:rPr>
          <w:rFonts w:ascii="Franklin Gothic Book" w:hAnsi="Franklin Gothic Book" w:cstheme="minorHAnsi"/>
          <w:bCs/>
          <w:i/>
          <w:color w:val="000000"/>
          <w:sz w:val="20"/>
          <w:szCs w:val="20"/>
        </w:rPr>
        <w:t>anställer informationen från EU-</w:t>
      </w:r>
      <w:r w:rsidRPr="00AC22F2">
        <w:rPr>
          <w:rFonts w:ascii="Franklin Gothic Book" w:hAnsi="Franklin Gothic Book" w:cstheme="minorHAnsi"/>
          <w:bCs/>
          <w:i/>
          <w:color w:val="000000"/>
          <w:sz w:val="20"/>
          <w:szCs w:val="20"/>
        </w:rPr>
        <w:t>länderna två gånger per år</w:t>
      </w:r>
      <w:r w:rsidR="00B37410" w:rsidRPr="00184CB7">
        <w:rPr>
          <w:rStyle w:val="Fotnotsreferens"/>
          <w:rFonts w:ascii="Franklin Gothic Book" w:hAnsi="Franklin Gothic Book"/>
          <w:sz w:val="20"/>
          <w:szCs w:val="20"/>
        </w:rPr>
        <w:footnoteReference w:id="2"/>
      </w:r>
      <w:r w:rsidRPr="00AC22F2">
        <w:rPr>
          <w:rFonts w:ascii="Franklin Gothic Book" w:hAnsi="Franklin Gothic Book" w:cstheme="minorHAnsi"/>
          <w:bCs/>
          <w:i/>
          <w:color w:val="000000"/>
          <w:sz w:val="20"/>
          <w:szCs w:val="20"/>
        </w:rPr>
        <w:t xml:space="preserve">. </w:t>
      </w:r>
      <w:r w:rsidRPr="005329A4">
        <w:rPr>
          <w:rFonts w:ascii="Franklin Gothic Book" w:hAnsi="Franklin Gothic Book" w:cstheme="minorHAnsi"/>
          <w:bCs/>
          <w:i/>
          <w:color w:val="000000"/>
          <w:sz w:val="20"/>
          <w:szCs w:val="20"/>
        </w:rPr>
        <w:t xml:space="preserve">Läs mer om </w:t>
      </w:r>
      <w:r>
        <w:rPr>
          <w:rFonts w:ascii="Franklin Gothic Book" w:hAnsi="Franklin Gothic Book" w:cstheme="minorHAnsi"/>
          <w:bCs/>
          <w:i/>
          <w:color w:val="000000"/>
          <w:sz w:val="20"/>
          <w:szCs w:val="20"/>
        </w:rPr>
        <w:t xml:space="preserve">de svenska </w:t>
      </w:r>
      <w:r w:rsidRPr="005329A4">
        <w:rPr>
          <w:rFonts w:ascii="Franklin Gothic Book" w:hAnsi="Franklin Gothic Book" w:cstheme="minorHAnsi"/>
          <w:bCs/>
          <w:i/>
          <w:color w:val="000000"/>
          <w:sz w:val="20"/>
          <w:szCs w:val="20"/>
        </w:rPr>
        <w:t xml:space="preserve">lantbrukarnas uppfattningar om lönsamheten i </w:t>
      </w:r>
      <w:r>
        <w:rPr>
          <w:rFonts w:ascii="Franklin Gothic Book" w:hAnsi="Franklin Gothic Book" w:cstheme="minorHAnsi"/>
          <w:bCs/>
          <w:i/>
          <w:color w:val="000000"/>
          <w:sz w:val="20"/>
          <w:szCs w:val="20"/>
        </w:rPr>
        <w:t>Lantbruksbarometern 2014</w:t>
      </w:r>
      <w:r w:rsidRPr="005329A4">
        <w:rPr>
          <w:rFonts w:ascii="Franklin Gothic Book" w:hAnsi="Franklin Gothic Book" w:cstheme="minorHAnsi"/>
          <w:bCs/>
          <w:i/>
          <w:color w:val="000000"/>
          <w:sz w:val="20"/>
          <w:szCs w:val="20"/>
        </w:rPr>
        <w:t>.</w:t>
      </w:r>
    </w:p>
    <w:p w:rsidR="00BB3DA8" w:rsidRDefault="00BB3DA8" w:rsidP="00BB3DA8">
      <w:pPr>
        <w:autoSpaceDE w:val="0"/>
        <w:autoSpaceDN w:val="0"/>
        <w:adjustRightInd w:val="0"/>
        <w:rPr>
          <w:rFonts w:ascii="Franklin Gothic Book" w:hAnsi="Franklin Gothic Book" w:cstheme="minorHAnsi"/>
          <w:bCs/>
          <w:color w:val="000000"/>
          <w:sz w:val="20"/>
          <w:szCs w:val="20"/>
        </w:rPr>
      </w:pPr>
    </w:p>
    <w:p w:rsidR="00DB5550" w:rsidRPr="003612A8" w:rsidRDefault="00DB5550" w:rsidP="00DB5550">
      <w:pPr>
        <w:autoSpaceDE w:val="0"/>
        <w:autoSpaceDN w:val="0"/>
        <w:adjustRightInd w:val="0"/>
        <w:rPr>
          <w:rFonts w:ascii="Franklin Gothic Book" w:hAnsi="Franklin Gothic Book" w:cstheme="minorHAnsi"/>
          <w:b/>
          <w:bCs/>
          <w:color w:val="000000"/>
          <w:sz w:val="24"/>
          <w:szCs w:val="24"/>
        </w:rPr>
      </w:pPr>
      <w:r>
        <w:rPr>
          <w:rFonts w:ascii="Franklin Gothic Book" w:hAnsi="Franklin Gothic Book" w:cstheme="minorHAnsi"/>
          <w:b/>
          <w:bCs/>
          <w:color w:val="000000"/>
          <w:sz w:val="24"/>
          <w:szCs w:val="24"/>
        </w:rPr>
        <w:t>De europeiska l</w:t>
      </w:r>
      <w:r w:rsidRPr="003612A8">
        <w:rPr>
          <w:rFonts w:ascii="Franklin Gothic Book" w:hAnsi="Franklin Gothic Book" w:cstheme="minorHAnsi"/>
          <w:b/>
          <w:bCs/>
          <w:color w:val="000000"/>
          <w:sz w:val="24"/>
          <w:szCs w:val="24"/>
        </w:rPr>
        <w:t>antbrukarnas</w:t>
      </w:r>
      <w:r>
        <w:rPr>
          <w:rFonts w:ascii="Franklin Gothic Book" w:hAnsi="Franklin Gothic Book" w:cstheme="minorHAnsi"/>
          <w:b/>
          <w:bCs/>
          <w:color w:val="000000"/>
          <w:sz w:val="24"/>
          <w:szCs w:val="24"/>
        </w:rPr>
        <w:t xml:space="preserve"> syn på sin lönsamhet</w:t>
      </w:r>
    </w:p>
    <w:p w:rsidR="00DB5550" w:rsidRDefault="00DB5550" w:rsidP="00DB5550">
      <w:pPr>
        <w:rPr>
          <w:rFonts w:ascii="Franklin Gothic Book" w:hAnsi="Franklin Gothic Book"/>
          <w:sz w:val="20"/>
          <w:szCs w:val="20"/>
        </w:rPr>
      </w:pPr>
      <w:r w:rsidRPr="00184CB7">
        <w:rPr>
          <w:rFonts w:ascii="Franklin Gothic Book" w:hAnsi="Franklin Gothic Book"/>
          <w:sz w:val="20"/>
          <w:szCs w:val="20"/>
        </w:rPr>
        <w:t>Enligt undersökning</w:t>
      </w:r>
      <w:r>
        <w:rPr>
          <w:rFonts w:ascii="Franklin Gothic Book" w:hAnsi="Franklin Gothic Book"/>
          <w:sz w:val="20"/>
          <w:szCs w:val="20"/>
        </w:rPr>
        <w:t>en som är genomförd i n</w:t>
      </w:r>
      <w:r w:rsidRPr="00184CB7">
        <w:rPr>
          <w:rFonts w:ascii="Franklin Gothic Book" w:hAnsi="Franklin Gothic Book"/>
          <w:sz w:val="20"/>
          <w:szCs w:val="20"/>
        </w:rPr>
        <w:t>io medlemsstater</w:t>
      </w:r>
      <w:r>
        <w:rPr>
          <w:rFonts w:ascii="Franklin Gothic Book" w:hAnsi="Franklin Gothic Book"/>
          <w:sz w:val="20"/>
          <w:szCs w:val="20"/>
          <w:vertAlign w:val="superscript"/>
        </w:rPr>
        <w:t>1</w:t>
      </w:r>
      <w:r w:rsidRPr="00184CB7">
        <w:rPr>
          <w:rFonts w:ascii="Franklin Gothic Book" w:hAnsi="Franklin Gothic Book"/>
          <w:sz w:val="20"/>
          <w:szCs w:val="20"/>
        </w:rPr>
        <w:t xml:space="preserve"> </w:t>
      </w:r>
      <w:r w:rsidRPr="00C32149">
        <w:rPr>
          <w:rFonts w:ascii="Franklin Gothic Book" w:hAnsi="Franklin Gothic Book"/>
          <w:sz w:val="20"/>
          <w:szCs w:val="20"/>
        </w:rPr>
        <w:t xml:space="preserve">mellan </w:t>
      </w:r>
      <w:r>
        <w:rPr>
          <w:rFonts w:ascii="Franklin Gothic Book" w:hAnsi="Franklin Gothic Book"/>
          <w:sz w:val="20"/>
          <w:szCs w:val="20"/>
        </w:rPr>
        <w:t>januari och mars 2014 har de europeiska lantbrukarnas syn på sin lönsamhet haft en uppåtgående trend i ett och ett halvt år och når sin högsta notering de senaste fyra åren</w:t>
      </w:r>
      <w:r w:rsidRPr="00C32149">
        <w:rPr>
          <w:rFonts w:ascii="Franklin Gothic Book" w:hAnsi="Franklin Gothic Book"/>
          <w:sz w:val="20"/>
          <w:szCs w:val="20"/>
        </w:rPr>
        <w:t xml:space="preserve"> (se diagram 1).</w:t>
      </w:r>
      <w:r w:rsidR="00056058">
        <w:rPr>
          <w:rFonts w:ascii="Franklin Gothic Book" w:hAnsi="Franklin Gothic Book"/>
          <w:sz w:val="20"/>
          <w:szCs w:val="20"/>
        </w:rPr>
        <w:t xml:space="preserve"> Dock råder stora skillnader mellan länder och produktionsinriktningar. </w:t>
      </w:r>
    </w:p>
    <w:p w:rsidR="00056058" w:rsidRDefault="00056058" w:rsidP="00DB5550">
      <w:pPr>
        <w:rPr>
          <w:rFonts w:ascii="Franklin Gothic Book" w:hAnsi="Franklin Gothic Book"/>
          <w:sz w:val="20"/>
          <w:szCs w:val="20"/>
        </w:rPr>
      </w:pPr>
    </w:p>
    <w:p w:rsidR="002C6122" w:rsidRDefault="00056058" w:rsidP="00DB5550">
      <w:pPr>
        <w:rPr>
          <w:rFonts w:ascii="Franklin Gothic Book" w:hAnsi="Franklin Gothic Book"/>
          <w:sz w:val="20"/>
          <w:szCs w:val="20"/>
        </w:rPr>
      </w:pPr>
      <w:r>
        <w:rPr>
          <w:rFonts w:ascii="Franklin Gothic Book" w:hAnsi="Franklin Gothic Book"/>
          <w:sz w:val="20"/>
          <w:szCs w:val="20"/>
        </w:rPr>
        <w:t xml:space="preserve">Lantbrukssektorn tar rygg på den </w:t>
      </w:r>
      <w:r w:rsidR="00A97E9F">
        <w:rPr>
          <w:rFonts w:ascii="Franklin Gothic Book" w:hAnsi="Franklin Gothic Book"/>
          <w:sz w:val="20"/>
          <w:szCs w:val="20"/>
        </w:rPr>
        <w:t>gradvisa återhämtningen i hela ekonomin och uppsvinget i internationell efterfrågan</w:t>
      </w:r>
      <w:r w:rsidR="000C01F6" w:rsidRPr="000C01F6">
        <w:rPr>
          <w:rFonts w:ascii="Franklin Gothic Book" w:hAnsi="Franklin Gothic Book"/>
          <w:sz w:val="20"/>
          <w:szCs w:val="20"/>
        </w:rPr>
        <w:t xml:space="preserve"> </w:t>
      </w:r>
      <w:r w:rsidR="000C01F6">
        <w:rPr>
          <w:rFonts w:ascii="Franklin Gothic Book" w:hAnsi="Franklin Gothic Book"/>
          <w:sz w:val="20"/>
          <w:szCs w:val="20"/>
        </w:rPr>
        <w:t>efter recessionen</w:t>
      </w:r>
      <w:r w:rsidR="00A97E9F">
        <w:rPr>
          <w:rFonts w:ascii="Franklin Gothic Book" w:hAnsi="Franklin Gothic Book"/>
          <w:sz w:val="20"/>
          <w:szCs w:val="20"/>
        </w:rPr>
        <w:t>, och uppvisar några tecken på förbättrin</w:t>
      </w:r>
      <w:r w:rsidR="000C01F6">
        <w:rPr>
          <w:rFonts w:ascii="Franklin Gothic Book" w:hAnsi="Franklin Gothic Book"/>
          <w:sz w:val="20"/>
          <w:szCs w:val="20"/>
        </w:rPr>
        <w:t xml:space="preserve">g i början av året. Exempelvis </w:t>
      </w:r>
      <w:r w:rsidR="00A97E9F">
        <w:rPr>
          <w:rFonts w:ascii="Franklin Gothic Book" w:hAnsi="Franklin Gothic Book"/>
          <w:sz w:val="20"/>
          <w:szCs w:val="20"/>
        </w:rPr>
        <w:t xml:space="preserve">steg bruttoförädlingsvärdet i primärsektorn i EU-28 med 1,5 % </w:t>
      </w:r>
      <w:r w:rsidR="000C01F6">
        <w:rPr>
          <w:rFonts w:ascii="Franklin Gothic Book" w:hAnsi="Franklin Gothic Book"/>
          <w:sz w:val="20"/>
          <w:szCs w:val="20"/>
        </w:rPr>
        <w:t xml:space="preserve">första kvartalet </w:t>
      </w:r>
      <w:r w:rsidR="002C6122">
        <w:rPr>
          <w:rFonts w:ascii="Franklin Gothic Book" w:hAnsi="Franklin Gothic Book"/>
          <w:sz w:val="20"/>
          <w:szCs w:val="20"/>
        </w:rPr>
        <w:t xml:space="preserve">och bytesöverskottet för lantbruks- och livsmedelsprodukter steg jämfört med sista kvartalet 2013. </w:t>
      </w:r>
    </w:p>
    <w:p w:rsidR="002C6122" w:rsidRDefault="002C6122" w:rsidP="00DB5550">
      <w:pPr>
        <w:rPr>
          <w:rFonts w:ascii="Franklin Gothic Book" w:hAnsi="Franklin Gothic Book"/>
          <w:sz w:val="20"/>
          <w:szCs w:val="20"/>
        </w:rPr>
      </w:pPr>
    </w:p>
    <w:p w:rsidR="00056058" w:rsidRPr="00C32149" w:rsidRDefault="002C6122" w:rsidP="00DB5550">
      <w:pPr>
        <w:rPr>
          <w:rFonts w:ascii="Franklin Gothic Book" w:hAnsi="Franklin Gothic Book"/>
          <w:sz w:val="20"/>
          <w:szCs w:val="20"/>
        </w:rPr>
      </w:pPr>
      <w:r>
        <w:rPr>
          <w:rFonts w:ascii="Franklin Gothic Book" w:hAnsi="Franklin Gothic Book"/>
          <w:sz w:val="20"/>
          <w:szCs w:val="20"/>
        </w:rPr>
        <w:t>Den tilltagande optimismen bland europeiska lantbrukare kom ur en kritisk situation när återhämtning av produktpriser och gynnsam prisutveckling på insatsvaror kunde skönjas. Däremot kvarstår rädslan</w:t>
      </w:r>
      <w:r w:rsidR="000C01F6">
        <w:rPr>
          <w:rFonts w:ascii="Franklin Gothic Book" w:hAnsi="Franklin Gothic Book"/>
          <w:sz w:val="20"/>
          <w:szCs w:val="20"/>
        </w:rPr>
        <w:t xml:space="preserve"> för</w:t>
      </w:r>
      <w:r>
        <w:rPr>
          <w:rFonts w:ascii="Franklin Gothic Book" w:hAnsi="Franklin Gothic Book"/>
          <w:sz w:val="20"/>
          <w:szCs w:val="20"/>
        </w:rPr>
        <w:t xml:space="preserve"> att </w:t>
      </w:r>
      <w:r w:rsidR="00B37410">
        <w:rPr>
          <w:rFonts w:ascii="Franklin Gothic Book" w:hAnsi="Franklin Gothic Book"/>
          <w:sz w:val="20"/>
          <w:szCs w:val="20"/>
        </w:rPr>
        <w:t xml:space="preserve">återhämtningen är bräcklig och tillfällig. Faktiska resultat av </w:t>
      </w:r>
      <w:r w:rsidR="000C01F6">
        <w:rPr>
          <w:rFonts w:ascii="Franklin Gothic Book" w:hAnsi="Franklin Gothic Book"/>
          <w:sz w:val="20"/>
          <w:szCs w:val="20"/>
        </w:rPr>
        <w:t>nyss gjorda</w:t>
      </w:r>
      <w:r w:rsidR="00B37410">
        <w:rPr>
          <w:rFonts w:ascii="Franklin Gothic Book" w:hAnsi="Franklin Gothic Book"/>
          <w:sz w:val="20"/>
          <w:szCs w:val="20"/>
        </w:rPr>
        <w:t xml:space="preserve"> undersökningar visar att lantbrukarnas framtidstro minskar igen. </w:t>
      </w:r>
    </w:p>
    <w:p w:rsidR="00AA7B5D" w:rsidRPr="00922EBD" w:rsidRDefault="00AA7B5D" w:rsidP="00415AC5">
      <w:pPr>
        <w:rPr>
          <w:color w:val="FF0000"/>
          <w:lang w:eastAsia="fr-BE"/>
        </w:rPr>
      </w:pPr>
    </w:p>
    <w:p w:rsidR="00415AC5" w:rsidRDefault="00AA7B5D" w:rsidP="00415AC5">
      <w:pPr>
        <w:rPr>
          <w:lang w:eastAsia="fr-BE"/>
        </w:rPr>
      </w:pPr>
      <w:r>
        <w:rPr>
          <w:noProof/>
          <w:lang w:eastAsia="sv-SE"/>
        </w:rPr>
        <mc:AlternateContent>
          <mc:Choice Requires="wps">
            <w:drawing>
              <wp:anchor distT="0" distB="0" distL="114300" distR="114300" simplePos="0" relativeHeight="251665408" behindDoc="0" locked="0" layoutInCell="1" allowOverlap="1" wp14:anchorId="3A4DF1E7" wp14:editId="5B4606DB">
                <wp:simplePos x="0" y="0"/>
                <wp:positionH relativeFrom="column">
                  <wp:posOffset>3175</wp:posOffset>
                </wp:positionH>
                <wp:positionV relativeFrom="paragraph">
                  <wp:posOffset>147016</wp:posOffset>
                </wp:positionV>
                <wp:extent cx="5009321" cy="1403985"/>
                <wp:effectExtent l="0" t="0" r="0" b="0"/>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21" cy="1403985"/>
                        </a:xfrm>
                        <a:prstGeom prst="rect">
                          <a:avLst/>
                        </a:prstGeom>
                        <a:noFill/>
                        <a:ln w="9525">
                          <a:noFill/>
                          <a:miter lim="800000"/>
                          <a:headEnd/>
                          <a:tailEnd/>
                        </a:ln>
                      </wps:spPr>
                      <wps:txbx>
                        <w:txbxContent>
                          <w:p w:rsidR="00AA7B5D" w:rsidRPr="00056058" w:rsidRDefault="00AA7B5D" w:rsidP="00AA7B5D">
                            <w:pPr>
                              <w:rPr>
                                <w:rFonts w:ascii="Franklin Gothic Book" w:hAnsi="Franklin Gothic Book"/>
                                <w:b/>
                                <w:color w:val="FFFFFF" w:themeColor="background1"/>
                                <w:sz w:val="32"/>
                                <w:szCs w:val="32"/>
                                <w:vertAlign w:val="superscript"/>
                              </w:rPr>
                            </w:pPr>
                            <w:r w:rsidRPr="00AA7B5D">
                              <w:rPr>
                                <w:rFonts w:ascii="Franklin Gothic Book" w:hAnsi="Franklin Gothic Book"/>
                                <w:b/>
                                <w:color w:val="FFFFFF" w:themeColor="background1"/>
                                <w:sz w:val="32"/>
                                <w:szCs w:val="32"/>
                              </w:rPr>
                              <w:t>Gemensamt lönsamhetsindex</w:t>
                            </w:r>
                            <w:r w:rsidR="00056058" w:rsidRPr="00056058">
                              <w:rPr>
                                <w:rFonts w:ascii="Franklin Gothic Book" w:hAnsi="Franklin Gothic Book"/>
                                <w:b/>
                                <w:color w:val="FFFFFF" w:themeColor="background1"/>
                                <w:sz w:val="24"/>
                                <w:szCs w:val="24"/>
                                <w:vertAlign w:val="super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5pt;margin-top:11.6pt;width:394.4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" filled="f" stroked="f">
                <v:textbox style="mso-fit-shape-to-text:t">
                  <w:txbxContent>
                    <w:p w:rsidR="00AA7B5D" w:rsidRPr="00056058" w:rsidRDefault="00AA7B5D" w:rsidP="00AA7B5D">
                      <w:pPr>
                        <w:rPr>
                          <w:rFonts w:ascii="Franklin Gothic Book" w:hAnsi="Franklin Gothic Book"/>
                          <w:b/>
                          <w:color w:val="FFFFFF" w:themeColor="background1"/>
                          <w:sz w:val="32"/>
                          <w:szCs w:val="32"/>
                          <w:vertAlign w:val="superscript"/>
                        </w:rPr>
                      </w:pPr>
                      <w:r w:rsidRPr="00AA7B5D">
                        <w:rPr>
                          <w:rFonts w:ascii="Franklin Gothic Book" w:hAnsi="Franklin Gothic Book"/>
                          <w:b/>
                          <w:color w:val="FFFFFF" w:themeColor="background1"/>
                          <w:sz w:val="32"/>
                          <w:szCs w:val="32"/>
                        </w:rPr>
                        <w:t>Gemensamt lönsamhetsindex</w:t>
                      </w:r>
                      <w:r w:rsidR="00056058" w:rsidRPr="00056058">
                        <w:rPr>
                          <w:rFonts w:ascii="Franklin Gothic Book" w:hAnsi="Franklin Gothic Book"/>
                          <w:b/>
                          <w:color w:val="FFFFFF" w:themeColor="background1"/>
                          <w:sz w:val="24"/>
                          <w:szCs w:val="24"/>
                          <w:vertAlign w:val="superscript"/>
                        </w:rPr>
                        <w:t>2</w:t>
                      </w:r>
                    </w:p>
                  </w:txbxContent>
                </v:textbox>
              </v:shape>
            </w:pict>
          </mc:Fallback>
        </mc:AlternateContent>
      </w:r>
      <w:r>
        <w:rPr>
          <w:noProof/>
          <w:lang w:eastAsia="sv-SE"/>
        </w:rPr>
        <mc:AlternateContent>
          <mc:Choice Requires="wps">
            <w:drawing>
              <wp:anchor distT="0" distB="0" distL="114300" distR="114300" simplePos="0" relativeHeight="251663360" behindDoc="0" locked="0" layoutInCell="1" allowOverlap="1" wp14:anchorId="096353D5" wp14:editId="4293C734">
                <wp:simplePos x="0" y="0"/>
                <wp:positionH relativeFrom="column">
                  <wp:posOffset>5261804</wp:posOffset>
                </wp:positionH>
                <wp:positionV relativeFrom="paragraph">
                  <wp:posOffset>0</wp:posOffset>
                </wp:positionV>
                <wp:extent cx="914400"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rsidR="00AA7B5D" w:rsidRPr="00AA7B5D" w:rsidRDefault="00AA7B5D" w:rsidP="00AA7B5D">
                            <w:pPr>
                              <w:jc w:val="right"/>
                              <w:rPr>
                                <w:rFonts w:ascii="Franklin Gothic Book" w:hAnsi="Franklin Gothic Book"/>
                                <w:b/>
                                <w:color w:val="FFFFFF" w:themeColor="background1"/>
                              </w:rPr>
                            </w:pPr>
                            <w:r w:rsidRPr="00AA7B5D">
                              <w:rPr>
                                <w:rFonts w:ascii="Franklin Gothic Book" w:hAnsi="Franklin Gothic Book"/>
                                <w:b/>
                                <w:color w:val="FFFFFF" w:themeColor="background1"/>
                              </w:rPr>
                              <w:t>DIAGRAM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14.3pt;margin-top:0;width:1in;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" filled="f" stroked="f">
                <v:textbox style="mso-fit-shape-to-text:t">
                  <w:txbxContent>
                    <w:p w:rsidR="00AA7B5D" w:rsidRPr="00AA7B5D" w:rsidRDefault="00AA7B5D" w:rsidP="00AA7B5D">
                      <w:pPr>
                        <w:jc w:val="right"/>
                        <w:rPr>
                          <w:rFonts w:ascii="Franklin Gothic Book" w:hAnsi="Franklin Gothic Book"/>
                          <w:b/>
                          <w:color w:val="FFFFFF" w:themeColor="background1"/>
                        </w:rPr>
                      </w:pPr>
                      <w:r w:rsidRPr="00AA7B5D">
                        <w:rPr>
                          <w:rFonts w:ascii="Franklin Gothic Book" w:hAnsi="Franklin Gothic Book"/>
                          <w:b/>
                          <w:color w:val="FFFFFF" w:themeColor="background1"/>
                        </w:rPr>
                        <w:t>DIAGRAM 1</w:t>
                      </w:r>
                    </w:p>
                  </w:txbxContent>
                </v:textbox>
              </v:shape>
            </w:pict>
          </mc:Fallback>
        </mc:AlternateContent>
      </w:r>
      <w:r>
        <w:rPr>
          <w:noProof/>
          <w:lang w:eastAsia="sv-SE"/>
        </w:rPr>
        <mc:AlternateContent>
          <mc:Choice Requires="wps">
            <w:drawing>
              <wp:inline distT="0" distB="0" distL="0" distR="0" wp14:anchorId="3CA96AFA" wp14:editId="4A79D761">
                <wp:extent cx="6170212" cy="445273"/>
                <wp:effectExtent l="0" t="0" r="2540" b="0"/>
                <wp:docPr id="1" name="Rektangel 1"/>
                <wp:cNvGraphicFramePr/>
                <a:graphic xmlns:a="http://schemas.openxmlformats.org/drawingml/2006/main">
                  <a:graphicData uri="http://schemas.microsoft.com/office/word/2010/wordprocessingShape">
                    <wps:wsp>
                      <wps:cNvSpPr/>
                      <wps:spPr>
                        <a:xfrm>
                          <a:off x="0" y="0"/>
                          <a:ext cx="6170212" cy="44527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vertOverflow="clip"/>
                    </wps:wsp>
                  </a:graphicData>
                </a:graphic>
              </wp:inline>
            </w:drawing>
          </mc:Choice>
          <mc:Fallback>
            <w:pict>
              <v:rect id="Rektangel 1" o:spid="_x0000_s1026" style="width:485.85pt;height:3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" fillcolor="#4f81bd [3204]" stroked="f" strokeweight="2pt">
                <w10:anchorlock/>
              </v:rect>
            </w:pict>
          </mc:Fallback>
        </mc:AlternateContent>
      </w:r>
    </w:p>
    <w:p w:rsidR="00EA2B61" w:rsidRPr="00415AC5" w:rsidRDefault="00415AC5" w:rsidP="00415AC5">
      <w:pPr>
        <w:rPr>
          <w:rFonts w:ascii="Franklin Gothic Book" w:hAnsi="Franklin Gothic Book"/>
          <w:sz w:val="20"/>
          <w:szCs w:val="20"/>
        </w:rPr>
      </w:pPr>
      <w:r>
        <w:rPr>
          <w:noProof/>
          <w:lang w:eastAsia="sv-SE"/>
        </w:rPr>
        <w:drawing>
          <wp:inline distT="0" distB="0" distL="0" distR="0" wp14:anchorId="089EC75C" wp14:editId="4E52BDEE">
            <wp:extent cx="6170212" cy="2488758"/>
            <wp:effectExtent l="0" t="0" r="21590" b="26035"/>
            <wp:docPr id="4" name="Diagram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7410" w:rsidRDefault="00B37410" w:rsidP="003A10E7">
      <w:pPr>
        <w:autoSpaceDE w:val="0"/>
        <w:autoSpaceDN w:val="0"/>
        <w:adjustRightInd w:val="0"/>
        <w:rPr>
          <w:rFonts w:ascii="Franklin Gothic Book" w:hAnsi="Franklin Gothic Book" w:cs="Arial"/>
          <w:color w:val="333333"/>
          <w:sz w:val="20"/>
          <w:szCs w:val="20"/>
        </w:rPr>
      </w:pPr>
    </w:p>
    <w:p w:rsidR="003A10E7" w:rsidRPr="00597803" w:rsidRDefault="003A10E7" w:rsidP="003A10E7">
      <w:pPr>
        <w:autoSpaceDE w:val="0"/>
        <w:autoSpaceDN w:val="0"/>
        <w:adjustRightInd w:val="0"/>
        <w:rPr>
          <w:rFonts w:ascii="Arial" w:hAnsi="Arial" w:cs="Arial"/>
          <w:sz w:val="20"/>
          <w:szCs w:val="20"/>
        </w:rPr>
      </w:pPr>
      <w:r w:rsidRPr="00597803">
        <w:rPr>
          <w:rFonts w:ascii="Franklin Gothic Book" w:hAnsi="Franklin Gothic Book" w:cs="Arial"/>
          <w:sz w:val="20"/>
          <w:szCs w:val="20"/>
        </w:rPr>
        <w:t>Källa: Sammanställt av Copa-Cogeca, utifrån nationella uppgifter. En sammanvägning av nuvarande och förväntad framtida ekonomisk situation. Det gemensamma lönsamhetsindexet för EU länderna har stigit sedan 2012Q3. Copa-Cogeca är ensamt ansvarig för databehandlingen som presenteras.</w:t>
      </w:r>
    </w:p>
    <w:p w:rsidR="00597803" w:rsidRPr="007242F3" w:rsidRDefault="00597803" w:rsidP="00597803">
      <w:pPr>
        <w:autoSpaceDE w:val="0"/>
        <w:autoSpaceDN w:val="0"/>
        <w:adjustRightInd w:val="0"/>
        <w:rPr>
          <w:rFonts w:ascii="Franklin Gothic Book" w:hAnsi="Franklin Gothic Book" w:cs="Arial"/>
          <w:b/>
          <w:color w:val="333333"/>
          <w:sz w:val="28"/>
          <w:szCs w:val="28"/>
        </w:rPr>
      </w:pPr>
      <w:r w:rsidRPr="007242F3">
        <w:rPr>
          <w:rFonts w:ascii="Franklin Gothic Book" w:hAnsi="Franklin Gothic Book" w:cs="Arial"/>
          <w:b/>
          <w:color w:val="333333"/>
          <w:sz w:val="28"/>
          <w:szCs w:val="28"/>
        </w:rPr>
        <w:lastRenderedPageBreak/>
        <w:t>Läget i länderna</w:t>
      </w:r>
    </w:p>
    <w:p w:rsidR="007242F3" w:rsidRPr="00F34576" w:rsidRDefault="007242F3" w:rsidP="00597803">
      <w:pPr>
        <w:spacing w:after="120"/>
        <w:rPr>
          <w:rFonts w:ascii="Franklin Gothic Book" w:hAnsi="Franklin Gothic Book" w:cs="Verdana"/>
          <w:szCs w:val="20"/>
        </w:rPr>
      </w:pPr>
    </w:p>
    <w:p w:rsidR="00F34576" w:rsidRDefault="00F34576" w:rsidP="00597803">
      <w:pPr>
        <w:spacing w:after="120"/>
        <w:rPr>
          <w:rFonts w:ascii="Franklin Gothic Book" w:hAnsi="Franklin Gothic Book" w:cs="Verdana"/>
          <w:szCs w:val="20"/>
        </w:rPr>
      </w:pPr>
      <w:r w:rsidRPr="00F34576">
        <w:rPr>
          <w:rFonts w:ascii="Franklin Gothic Book" w:hAnsi="Franklin Gothic Book" w:cs="Verdana"/>
          <w:szCs w:val="20"/>
        </w:rPr>
        <w:t xml:space="preserve">Lönsamhetsindex återhämtade sig eller förbättrades </w:t>
      </w:r>
      <w:r>
        <w:rPr>
          <w:rFonts w:ascii="Franklin Gothic Book" w:hAnsi="Franklin Gothic Book" w:cs="Verdana"/>
          <w:szCs w:val="20"/>
        </w:rPr>
        <w:t xml:space="preserve">i </w:t>
      </w:r>
      <w:r w:rsidR="00B2716A">
        <w:rPr>
          <w:rFonts w:ascii="Franklin Gothic Book" w:hAnsi="Franklin Gothic Book" w:cs="Verdana"/>
          <w:szCs w:val="20"/>
        </w:rPr>
        <w:t xml:space="preserve">de </w:t>
      </w:r>
      <w:r w:rsidR="000C01F6">
        <w:rPr>
          <w:rFonts w:ascii="Franklin Gothic Book" w:hAnsi="Franklin Gothic Book" w:cs="Verdana"/>
          <w:szCs w:val="20"/>
        </w:rPr>
        <w:t>fem</w:t>
      </w:r>
      <w:r>
        <w:rPr>
          <w:rFonts w:ascii="Franklin Gothic Book" w:hAnsi="Franklin Gothic Book" w:cs="Verdana"/>
          <w:szCs w:val="20"/>
        </w:rPr>
        <w:t xml:space="preserve"> länder</w:t>
      </w:r>
      <w:r w:rsidR="00B2716A">
        <w:rPr>
          <w:rFonts w:ascii="Franklin Gothic Book" w:hAnsi="Franklin Gothic Book" w:cs="Verdana"/>
          <w:szCs w:val="20"/>
        </w:rPr>
        <w:t>na Italien, Frankrike, Rumänien, Tyskland och Sverige</w:t>
      </w:r>
      <w:r>
        <w:rPr>
          <w:rFonts w:ascii="Franklin Gothic Book" w:hAnsi="Franklin Gothic Book" w:cs="Verdana"/>
          <w:szCs w:val="20"/>
        </w:rPr>
        <w:t xml:space="preserve"> första kvartalet 2014, för att nå </w:t>
      </w:r>
      <w:r w:rsidR="00C94437">
        <w:rPr>
          <w:rFonts w:ascii="Franklin Gothic Book" w:hAnsi="Franklin Gothic Book" w:cs="Verdana"/>
          <w:szCs w:val="20"/>
        </w:rPr>
        <w:t xml:space="preserve">ganska positiva eller positiva nivåer. </w:t>
      </w:r>
      <w:r w:rsidR="000C01F6">
        <w:rPr>
          <w:rFonts w:ascii="Franklin Gothic Book" w:hAnsi="Franklin Gothic Book" w:cs="Verdana"/>
          <w:szCs w:val="20"/>
        </w:rPr>
        <w:t xml:space="preserve">Nederländerna uppvisar en försiktig </w:t>
      </w:r>
      <w:r w:rsidR="00B2716A">
        <w:rPr>
          <w:rFonts w:ascii="Franklin Gothic Book" w:hAnsi="Franklin Gothic Book" w:cs="Verdana"/>
          <w:szCs w:val="20"/>
        </w:rPr>
        <w:t xml:space="preserve">förbättring av lönsamhetsindex men kvarstannar på negativa nivåer. Belgien uppvisar ett positivt lönsamhetsindex men med en negativ utveckling. Polen sjunker till ett negativt lönsamhetsindex och Ungern ligger kvar på ett negativt lönsamhetsindex. Storbritannien har inte levererat några siffror för första kvartalet 2014. </w:t>
      </w:r>
    </w:p>
    <w:p w:rsidR="000C01F6" w:rsidRDefault="000C01F6" w:rsidP="00597803">
      <w:pPr>
        <w:spacing w:after="120"/>
        <w:rPr>
          <w:rFonts w:ascii="Franklin Gothic Book" w:hAnsi="Franklin Gothic Book" w:cs="Verdana"/>
          <w:szCs w:val="20"/>
        </w:rPr>
      </w:pPr>
    </w:p>
    <w:p w:rsidR="000C01F6" w:rsidRDefault="000C01F6" w:rsidP="00597803">
      <w:pPr>
        <w:spacing w:after="120"/>
        <w:rPr>
          <w:rFonts w:ascii="Franklin Gothic Book" w:hAnsi="Franklin Gothic Book"/>
          <w:b/>
          <w:szCs w:val="21"/>
        </w:rPr>
      </w:pPr>
      <w:r w:rsidRPr="00F34576">
        <w:rPr>
          <w:rFonts w:ascii="Franklin Gothic Book" w:hAnsi="Franklin Gothic Book"/>
          <w:b/>
          <w:szCs w:val="21"/>
        </w:rPr>
        <w:t xml:space="preserve">Italien </w:t>
      </w:r>
    </w:p>
    <w:p w:rsidR="00C94437" w:rsidRPr="00F34576" w:rsidRDefault="00C94437" w:rsidP="00597803">
      <w:pPr>
        <w:spacing w:after="120"/>
        <w:rPr>
          <w:rFonts w:ascii="Franklin Gothic Book" w:hAnsi="Franklin Gothic Book" w:cs="Verdana"/>
          <w:szCs w:val="20"/>
        </w:rPr>
      </w:pPr>
      <w:r>
        <w:rPr>
          <w:rFonts w:ascii="Franklin Gothic Book" w:hAnsi="Franklin Gothic Book" w:cs="Verdana"/>
          <w:szCs w:val="20"/>
        </w:rPr>
        <w:t>Trots en generellt svår ekonomisk situation med svag inhemsk efterfrågan kan ett försiktigt hopp skönjas i Italien, så även i den agrara sektorn. Lönsamhetsindex fortsätter att stiga första kvartalet 2014, underbyggt av högre bedömd nutida såväl som framtida lönsamhet för lantbruksföretagen.</w:t>
      </w:r>
    </w:p>
    <w:p w:rsidR="008C0080" w:rsidRDefault="008C0080" w:rsidP="00597803">
      <w:pPr>
        <w:spacing w:after="120"/>
        <w:rPr>
          <w:rFonts w:ascii="Franklin Gothic Book" w:hAnsi="Franklin Gothic Book"/>
          <w:szCs w:val="21"/>
        </w:rPr>
      </w:pPr>
      <w:r>
        <w:rPr>
          <w:rFonts w:ascii="Franklin Gothic Book" w:hAnsi="Franklin Gothic Book"/>
          <w:szCs w:val="21"/>
        </w:rPr>
        <w:t xml:space="preserve">Ser man på utvecklingen sektorsvis avslöjar siffrorna att spannmål-, frukt- och köttföretag upplever en positiv utveckling. Motsatt upplever oliv- och vinföretag vikande lönsamhet emedan mjölkföretagens läge upplevs stabilt. </w:t>
      </w:r>
      <w:r w:rsidR="0071533A">
        <w:rPr>
          <w:rFonts w:ascii="Franklin Gothic Book" w:hAnsi="Franklin Gothic Book"/>
          <w:szCs w:val="21"/>
        </w:rPr>
        <w:t xml:space="preserve">Hur företagen upplever lönsamheten är huvudsakligen kopplat till produktprisutvecklingen i respektive sektor och de betungande produktionskostnaderna. </w:t>
      </w:r>
    </w:p>
    <w:p w:rsidR="00597803" w:rsidRPr="00F34576" w:rsidRDefault="0071533A" w:rsidP="00597803">
      <w:pPr>
        <w:spacing w:after="120"/>
        <w:rPr>
          <w:rFonts w:ascii="Franklin Gothic Book" w:hAnsi="Franklin Gothic Book"/>
          <w:szCs w:val="21"/>
        </w:rPr>
      </w:pPr>
      <w:r w:rsidRPr="0071533A">
        <w:rPr>
          <w:rFonts w:ascii="Franklin Gothic Book" w:hAnsi="Franklin Gothic Book"/>
          <w:szCs w:val="21"/>
        </w:rPr>
        <w:t xml:space="preserve">På frågan om de </w:t>
      </w:r>
      <w:r>
        <w:rPr>
          <w:rFonts w:ascii="Franklin Gothic Book" w:hAnsi="Franklin Gothic Book"/>
          <w:szCs w:val="21"/>
        </w:rPr>
        <w:t>mött</w:t>
      </w:r>
      <w:r w:rsidRPr="0071533A">
        <w:rPr>
          <w:rFonts w:ascii="Franklin Gothic Book" w:hAnsi="Franklin Gothic Book"/>
          <w:szCs w:val="21"/>
        </w:rPr>
        <w:t xml:space="preserve"> några problem eller svårigheter i styrningen av sina företag det senaste kvartalet svarar 64 % att så ej var fallet. De som svarade att de mött signifikanta eller påtagliga problem (19 %) angav främst priser på förnödenheter, ofördelaktigt väder e</w:t>
      </w:r>
      <w:r>
        <w:rPr>
          <w:rFonts w:ascii="Franklin Gothic Book" w:hAnsi="Franklin Gothic Book"/>
          <w:szCs w:val="21"/>
        </w:rPr>
        <w:t xml:space="preserve">ller produktprisfall som grund. </w:t>
      </w:r>
      <w:r w:rsidRPr="0071533A">
        <w:rPr>
          <w:rFonts w:ascii="Franklin Gothic Book" w:hAnsi="Franklin Gothic Book"/>
          <w:szCs w:val="21"/>
        </w:rPr>
        <w:t xml:space="preserve"> </w:t>
      </w:r>
    </w:p>
    <w:tbl>
      <w:tblPr>
        <w:tblW w:w="0" w:type="auto"/>
        <w:tblLook w:val="04A0" w:firstRow="1" w:lastRow="0" w:firstColumn="1" w:lastColumn="0" w:noHBand="0" w:noVBand="1"/>
      </w:tblPr>
      <w:tblGrid>
        <w:gridCol w:w="4670"/>
        <w:gridCol w:w="4655"/>
      </w:tblGrid>
      <w:tr w:rsidR="00597803" w:rsidRPr="00F34576" w:rsidTr="00F34576">
        <w:tc>
          <w:tcPr>
            <w:tcW w:w="4670" w:type="dxa"/>
          </w:tcPr>
          <w:p w:rsidR="00597803" w:rsidRPr="00F34576" w:rsidRDefault="00F34576" w:rsidP="00875E16">
            <w:pPr>
              <w:rPr>
                <w:rFonts w:ascii="Franklin Gothic Book" w:hAnsi="Franklin Gothic Book"/>
                <w:b/>
                <w:szCs w:val="21"/>
              </w:rPr>
            </w:pPr>
            <w:r w:rsidRPr="00F34576">
              <w:rPr>
                <w:rFonts w:ascii="Franklin Gothic Book" w:hAnsi="Franklin Gothic Book"/>
                <w:b/>
                <w:szCs w:val="21"/>
              </w:rPr>
              <w:t xml:space="preserve">Diagram 2 – Italien </w:t>
            </w:r>
          </w:p>
        </w:tc>
        <w:tc>
          <w:tcPr>
            <w:tcW w:w="4655" w:type="dxa"/>
          </w:tcPr>
          <w:p w:rsidR="00597803" w:rsidRPr="00F34576" w:rsidRDefault="00597803" w:rsidP="00875E16">
            <w:pPr>
              <w:rPr>
                <w:rFonts w:ascii="Franklin Gothic Book" w:hAnsi="Franklin Gothic Book"/>
                <w:b/>
                <w:szCs w:val="21"/>
              </w:rPr>
            </w:pPr>
          </w:p>
        </w:tc>
      </w:tr>
      <w:tr w:rsidR="00F34576" w:rsidRPr="00F34576" w:rsidTr="00F34576">
        <w:tc>
          <w:tcPr>
            <w:tcW w:w="4670" w:type="dxa"/>
          </w:tcPr>
          <w:p w:rsidR="00F34576" w:rsidRPr="00F34576" w:rsidRDefault="00F34576" w:rsidP="00875E16">
            <w:pPr>
              <w:jc w:val="center"/>
              <w:rPr>
                <w:rFonts w:ascii="Franklin Gothic Book" w:eastAsia="Times New Roman" w:hAnsi="Franklin Gothic Book" w:cs="Times New Roman"/>
                <w:kern w:val="4"/>
                <w:sz w:val="20"/>
                <w:szCs w:val="20"/>
                <w:lang w:eastAsia="de-DE"/>
              </w:rPr>
            </w:pPr>
            <w:r w:rsidRPr="00F34576">
              <w:rPr>
                <w:rFonts w:ascii="Franklin Gothic Book" w:eastAsia="Times New Roman" w:hAnsi="Franklin Gothic Book" w:cs="Times New Roman"/>
                <w:kern w:val="4"/>
                <w:sz w:val="20"/>
                <w:szCs w:val="20"/>
                <w:lang w:eastAsia="de-DE"/>
              </w:rPr>
              <w:t>Gårdens ekonomiska situation</w:t>
            </w:r>
          </w:p>
        </w:tc>
        <w:tc>
          <w:tcPr>
            <w:tcW w:w="4655" w:type="dxa"/>
          </w:tcPr>
          <w:p w:rsidR="00F34576" w:rsidRPr="00F34576" w:rsidRDefault="00F34576" w:rsidP="00875E16">
            <w:pPr>
              <w:jc w:val="center"/>
              <w:rPr>
                <w:rFonts w:ascii="Franklin Gothic Book" w:eastAsia="Times New Roman" w:hAnsi="Franklin Gothic Book" w:cs="Times New Roman"/>
                <w:kern w:val="4"/>
                <w:sz w:val="20"/>
                <w:szCs w:val="20"/>
                <w:lang w:eastAsia="de-DE"/>
              </w:rPr>
            </w:pPr>
            <w:r w:rsidRPr="00F34576">
              <w:rPr>
                <w:rFonts w:ascii="Franklin Gothic Book" w:eastAsia="Times New Roman" w:hAnsi="Franklin Gothic Book" w:cs="Times New Roman"/>
                <w:kern w:val="4"/>
                <w:sz w:val="20"/>
                <w:szCs w:val="20"/>
                <w:lang w:eastAsia="de-DE"/>
              </w:rPr>
              <w:t>Nationellt lönsamhetsindex</w:t>
            </w:r>
          </w:p>
        </w:tc>
      </w:tr>
      <w:tr w:rsidR="00597803" w:rsidRPr="00F34576" w:rsidTr="00F34576">
        <w:tblPrEx>
          <w:tblCellMar>
            <w:left w:w="70" w:type="dxa"/>
            <w:right w:w="70" w:type="dxa"/>
          </w:tblCellMar>
        </w:tblPrEx>
        <w:tc>
          <w:tcPr>
            <w:tcW w:w="4670" w:type="dxa"/>
          </w:tcPr>
          <w:p w:rsidR="00597803" w:rsidRPr="00F34576" w:rsidRDefault="00597803" w:rsidP="00875E16">
            <w:pPr>
              <w:rPr>
                <w:rFonts w:ascii="Franklin Gothic Book" w:hAnsi="Franklin Gothic Book"/>
                <w:b/>
                <w:szCs w:val="21"/>
              </w:rPr>
            </w:pPr>
            <w:r w:rsidRPr="00F34576">
              <w:rPr>
                <w:rFonts w:ascii="Franklin Gothic Book" w:hAnsi="Franklin Gothic Book"/>
                <w:noProof/>
                <w:lang w:eastAsia="sv-SE"/>
              </w:rPr>
              <w:drawing>
                <wp:inline distT="0" distB="0" distL="0" distR="0" wp14:anchorId="4D01AE74" wp14:editId="548E7C3E">
                  <wp:extent cx="2867025" cy="1721485"/>
                  <wp:effectExtent l="0" t="0" r="0" b="0"/>
                  <wp:docPr id="303" name="Diagram 3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655" w:type="dxa"/>
          </w:tcPr>
          <w:p w:rsidR="00597803" w:rsidRPr="00F34576" w:rsidRDefault="00597803" w:rsidP="00875E16">
            <w:pPr>
              <w:rPr>
                <w:rFonts w:ascii="Franklin Gothic Book" w:hAnsi="Franklin Gothic Book"/>
                <w:b/>
                <w:szCs w:val="21"/>
              </w:rPr>
            </w:pPr>
            <w:r w:rsidRPr="00F34576">
              <w:rPr>
                <w:rFonts w:ascii="Franklin Gothic Book" w:hAnsi="Franklin Gothic Book"/>
                <w:noProof/>
                <w:lang w:eastAsia="sv-SE"/>
              </w:rPr>
              <w:drawing>
                <wp:inline distT="0" distB="0" distL="0" distR="0" wp14:anchorId="79414A22" wp14:editId="58C604F8">
                  <wp:extent cx="2867025" cy="1729740"/>
                  <wp:effectExtent l="0" t="0" r="0" b="3810"/>
                  <wp:docPr id="302" name="Diagram 30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597803" w:rsidRPr="00F34576" w:rsidTr="00F34576">
        <w:tc>
          <w:tcPr>
            <w:tcW w:w="4670" w:type="dxa"/>
          </w:tcPr>
          <w:p w:rsidR="00597803" w:rsidRPr="00F34576" w:rsidRDefault="00F34576" w:rsidP="00875E16">
            <w:pPr>
              <w:spacing w:after="120"/>
              <w:rPr>
                <w:rFonts w:ascii="Franklin Gothic Book" w:hAnsi="Franklin Gothic Book"/>
                <w:szCs w:val="21"/>
              </w:rPr>
            </w:pPr>
            <w:r w:rsidRPr="00F34576">
              <w:rPr>
                <w:rFonts w:ascii="Franklin Gothic Book" w:eastAsia="Times New Roman" w:hAnsi="Franklin Gothic Book" w:cs="Times New Roman"/>
                <w:kern w:val="4"/>
                <w:sz w:val="20"/>
                <w:szCs w:val="20"/>
                <w:lang w:eastAsia="de-DE"/>
              </w:rPr>
              <w:t>Copa-Cogecas bearbetning av nationell data</w:t>
            </w:r>
          </w:p>
        </w:tc>
        <w:tc>
          <w:tcPr>
            <w:tcW w:w="4655" w:type="dxa"/>
          </w:tcPr>
          <w:p w:rsidR="00597803" w:rsidRPr="00F34576" w:rsidRDefault="00597803" w:rsidP="00875E16">
            <w:pPr>
              <w:spacing w:after="120"/>
              <w:rPr>
                <w:rFonts w:ascii="Franklin Gothic Book" w:hAnsi="Franklin Gothic Book"/>
                <w:b/>
                <w:szCs w:val="21"/>
              </w:rPr>
            </w:pPr>
          </w:p>
        </w:tc>
      </w:tr>
    </w:tbl>
    <w:p w:rsidR="00EC4467" w:rsidRDefault="00EC4467" w:rsidP="00597803">
      <w:pPr>
        <w:spacing w:after="120"/>
        <w:rPr>
          <w:rFonts w:ascii="Franklin Gothic Book" w:hAnsi="Franklin Gothic Book" w:cs="Verdana"/>
          <w:szCs w:val="20"/>
        </w:rPr>
      </w:pPr>
    </w:p>
    <w:p w:rsidR="00B2716A" w:rsidRDefault="00B2716A" w:rsidP="00597803">
      <w:pPr>
        <w:spacing w:after="120"/>
        <w:rPr>
          <w:rFonts w:ascii="Franklin Gothic Book" w:hAnsi="Franklin Gothic Book"/>
          <w:b/>
          <w:szCs w:val="21"/>
        </w:rPr>
      </w:pPr>
      <w:r w:rsidRPr="006B70AF">
        <w:rPr>
          <w:rFonts w:ascii="Franklin Gothic Book" w:hAnsi="Franklin Gothic Book"/>
          <w:b/>
          <w:szCs w:val="21"/>
        </w:rPr>
        <w:t xml:space="preserve">Frankrike </w:t>
      </w:r>
    </w:p>
    <w:p w:rsidR="00597803" w:rsidRPr="00061AEF" w:rsidRDefault="00061AEF" w:rsidP="00597803">
      <w:pPr>
        <w:spacing w:after="120"/>
        <w:rPr>
          <w:rFonts w:ascii="Franklin Gothic Book" w:hAnsi="Franklin Gothic Book" w:cs="Verdana"/>
          <w:szCs w:val="20"/>
        </w:rPr>
      </w:pPr>
      <w:r>
        <w:rPr>
          <w:rFonts w:ascii="Franklin Gothic Book" w:hAnsi="Franklin Gothic Book" w:cs="Verdana"/>
          <w:szCs w:val="20"/>
        </w:rPr>
        <w:t xml:space="preserve">Efter nästan två år av negativ utveckling kunde </w:t>
      </w:r>
      <w:r w:rsidR="00CE4236">
        <w:rPr>
          <w:rFonts w:ascii="Franklin Gothic Book" w:hAnsi="Franklin Gothic Book" w:cs="Verdana"/>
          <w:szCs w:val="20"/>
        </w:rPr>
        <w:t>en</w:t>
      </w:r>
      <w:r>
        <w:rPr>
          <w:rFonts w:ascii="Franklin Gothic Book" w:hAnsi="Franklin Gothic Book" w:cs="Verdana"/>
          <w:szCs w:val="20"/>
        </w:rPr>
        <w:t xml:space="preserve"> ljusare syn på både nuvarande och framtida </w:t>
      </w:r>
      <w:r w:rsidR="00CE4236">
        <w:rPr>
          <w:rFonts w:ascii="Franklin Gothic Book" w:hAnsi="Franklin Gothic Book" w:cs="Verdana"/>
          <w:szCs w:val="20"/>
        </w:rPr>
        <w:t>lönsamhet bland franska lantbrukare</w:t>
      </w:r>
      <w:r>
        <w:rPr>
          <w:rFonts w:ascii="Franklin Gothic Book" w:hAnsi="Franklin Gothic Book" w:cs="Verdana"/>
          <w:szCs w:val="20"/>
        </w:rPr>
        <w:t xml:space="preserve"> noteras i mars </w:t>
      </w:r>
      <w:r w:rsidRPr="00061AEF">
        <w:rPr>
          <w:rFonts w:ascii="Franklin Gothic Book" w:hAnsi="Franklin Gothic Book" w:cs="Verdana"/>
          <w:szCs w:val="20"/>
        </w:rPr>
        <w:t xml:space="preserve">2014. Därmed steg också lönsamhetsindex sedan höstens notering.  </w:t>
      </w:r>
    </w:p>
    <w:p w:rsidR="00597803" w:rsidRPr="006B70AF" w:rsidRDefault="00061AEF" w:rsidP="00597803">
      <w:pPr>
        <w:spacing w:after="120"/>
        <w:rPr>
          <w:rFonts w:ascii="Franklin Gothic Book" w:hAnsi="Franklin Gothic Book" w:cs="Verdana"/>
          <w:szCs w:val="20"/>
        </w:rPr>
      </w:pPr>
      <w:r w:rsidRPr="006B70AF">
        <w:rPr>
          <w:rFonts w:ascii="Franklin Gothic Book" w:hAnsi="Franklin Gothic Book" w:cs="Verdana"/>
          <w:szCs w:val="20"/>
        </w:rPr>
        <w:t>Majoriteten av lantbruksföretagen, oavsett produktionsinriktning</w:t>
      </w:r>
      <w:r w:rsidR="006B70AF" w:rsidRPr="006B70AF">
        <w:rPr>
          <w:rFonts w:ascii="Franklin Gothic Book" w:hAnsi="Franklin Gothic Book" w:cs="Verdana"/>
          <w:szCs w:val="20"/>
        </w:rPr>
        <w:t>, trodde på förbättrat ekonomisk</w:t>
      </w:r>
      <w:r w:rsidR="006B70AF">
        <w:rPr>
          <w:rFonts w:ascii="Franklin Gothic Book" w:hAnsi="Franklin Gothic Book" w:cs="Verdana"/>
          <w:szCs w:val="20"/>
        </w:rPr>
        <w:t>t läge de kommande månaderna, men med olika utgångspunkt. Exempelvis var växtodlare, och köt</w:t>
      </w:r>
      <w:r w:rsidR="00CE4236">
        <w:rPr>
          <w:rFonts w:ascii="Franklin Gothic Book" w:hAnsi="Franklin Gothic Book" w:cs="Verdana"/>
          <w:szCs w:val="20"/>
        </w:rPr>
        <w:t>tproducenter med betesdjur mindre</w:t>
      </w:r>
      <w:r w:rsidR="006B70AF">
        <w:rPr>
          <w:rFonts w:ascii="Franklin Gothic Book" w:hAnsi="Franklin Gothic Book" w:cs="Verdana"/>
          <w:szCs w:val="20"/>
        </w:rPr>
        <w:t xml:space="preserve"> optimistiska medan frukt- och grönsaksodlare var mest </w:t>
      </w:r>
      <w:r w:rsidR="006B70AF" w:rsidRPr="006B70AF">
        <w:rPr>
          <w:rFonts w:ascii="Franklin Gothic Book" w:hAnsi="Franklin Gothic Book" w:cs="Verdana"/>
          <w:szCs w:val="20"/>
        </w:rPr>
        <w:t xml:space="preserve">optimistiska. </w:t>
      </w:r>
      <w:r w:rsidRPr="006B70AF">
        <w:rPr>
          <w:rFonts w:ascii="Franklin Gothic Book" w:hAnsi="Franklin Gothic Book" w:cs="Verdana"/>
          <w:szCs w:val="20"/>
        </w:rPr>
        <w:t xml:space="preserve"> </w:t>
      </w:r>
    </w:p>
    <w:p w:rsidR="006B70AF" w:rsidRDefault="006B70AF" w:rsidP="00597803">
      <w:pPr>
        <w:spacing w:after="120"/>
        <w:rPr>
          <w:rFonts w:ascii="Franklin Gothic Book" w:hAnsi="Franklin Gothic Book" w:cs="Verdana"/>
          <w:szCs w:val="20"/>
        </w:rPr>
      </w:pPr>
      <w:r w:rsidRPr="006B70AF">
        <w:rPr>
          <w:rFonts w:ascii="Franklin Gothic Book" w:hAnsi="Franklin Gothic Book" w:cs="Verdana"/>
          <w:szCs w:val="20"/>
        </w:rPr>
        <w:t xml:space="preserve">Mindre än en tredjedel av de svarande, </w:t>
      </w:r>
      <w:r>
        <w:rPr>
          <w:rFonts w:ascii="Franklin Gothic Book" w:hAnsi="Franklin Gothic Book" w:cs="Verdana"/>
          <w:szCs w:val="20"/>
        </w:rPr>
        <w:t>inklusive trädgårdsodlare, fjäderfä</w:t>
      </w:r>
      <w:r w:rsidR="00EE5F43">
        <w:rPr>
          <w:rFonts w:ascii="Franklin Gothic Book" w:hAnsi="Franklin Gothic Book" w:cs="Verdana"/>
          <w:szCs w:val="20"/>
        </w:rPr>
        <w:t>-</w:t>
      </w:r>
      <w:r>
        <w:rPr>
          <w:rFonts w:ascii="Franklin Gothic Book" w:hAnsi="Franklin Gothic Book" w:cs="Verdana"/>
          <w:szCs w:val="20"/>
        </w:rPr>
        <w:t xml:space="preserve"> och griskötts</w:t>
      </w:r>
      <w:r w:rsidR="00EE5F43">
        <w:rPr>
          <w:rFonts w:ascii="Franklin Gothic Book" w:hAnsi="Franklin Gothic Book" w:cs="Verdana"/>
          <w:szCs w:val="20"/>
        </w:rPr>
        <w:t>producenter, sade sig möta påtagliga eller stora</w:t>
      </w:r>
      <w:r w:rsidR="00CE4236">
        <w:rPr>
          <w:rFonts w:ascii="Franklin Gothic Book" w:hAnsi="Franklin Gothic Book" w:cs="Verdana"/>
          <w:szCs w:val="20"/>
        </w:rPr>
        <w:t xml:space="preserve"> svårigheter i sitt företagande. Det</w:t>
      </w:r>
      <w:r w:rsidR="00EE5F43">
        <w:rPr>
          <w:rFonts w:ascii="Franklin Gothic Book" w:hAnsi="Franklin Gothic Book" w:cs="Verdana"/>
          <w:szCs w:val="20"/>
        </w:rPr>
        <w:t xml:space="preserve"> är färre än de 38 % som noterades i föregående undersökning. Främst angavs driftskostnader och svår väderlek som svårigheter. </w:t>
      </w:r>
    </w:p>
    <w:p w:rsidR="00EE5F43" w:rsidRDefault="00EE5F43" w:rsidP="00597803">
      <w:pPr>
        <w:spacing w:after="120"/>
        <w:rPr>
          <w:rFonts w:ascii="Franklin Gothic Book" w:hAnsi="Franklin Gothic Book" w:cs="Verdana"/>
          <w:szCs w:val="20"/>
        </w:rPr>
      </w:pPr>
      <w:r>
        <w:rPr>
          <w:rFonts w:ascii="Franklin Gothic Book" w:hAnsi="Franklin Gothic Book" w:cs="Verdana"/>
          <w:szCs w:val="20"/>
        </w:rPr>
        <w:t xml:space="preserve">Likt Italien går en generell återhämtning av ekonomin hand i hand med förbättrad ekonomi i den agrara sektorn. Andelen lantbrukare som överväger att upphöra med sin verksamhet har också minskat </w:t>
      </w:r>
      <w:r w:rsidR="00CE4236">
        <w:rPr>
          <w:rFonts w:ascii="Franklin Gothic Book" w:hAnsi="Franklin Gothic Book" w:cs="Verdana"/>
          <w:szCs w:val="20"/>
        </w:rPr>
        <w:t>sedan</w:t>
      </w:r>
      <w:r>
        <w:rPr>
          <w:rFonts w:ascii="Franklin Gothic Book" w:hAnsi="Franklin Gothic Book" w:cs="Verdana"/>
          <w:szCs w:val="20"/>
        </w:rPr>
        <w:t xml:space="preserve"> föregående år till 9 %.</w:t>
      </w:r>
    </w:p>
    <w:tbl>
      <w:tblPr>
        <w:tblW w:w="0" w:type="auto"/>
        <w:tblLook w:val="04A0" w:firstRow="1" w:lastRow="0" w:firstColumn="1" w:lastColumn="0" w:noHBand="0" w:noVBand="1"/>
      </w:tblPr>
      <w:tblGrid>
        <w:gridCol w:w="5342"/>
        <w:gridCol w:w="4655"/>
      </w:tblGrid>
      <w:tr w:rsidR="00597803" w:rsidRPr="006B70AF" w:rsidTr="00F34576">
        <w:tc>
          <w:tcPr>
            <w:tcW w:w="5342" w:type="dxa"/>
          </w:tcPr>
          <w:p w:rsidR="00597803" w:rsidRPr="006B70AF" w:rsidRDefault="00F34576" w:rsidP="00875E16">
            <w:pPr>
              <w:rPr>
                <w:rFonts w:ascii="Franklin Gothic Book" w:hAnsi="Franklin Gothic Book"/>
                <w:b/>
                <w:szCs w:val="21"/>
              </w:rPr>
            </w:pPr>
            <w:r w:rsidRPr="006B70AF">
              <w:rPr>
                <w:rFonts w:ascii="Franklin Gothic Book" w:hAnsi="Franklin Gothic Book"/>
                <w:b/>
                <w:szCs w:val="21"/>
              </w:rPr>
              <w:lastRenderedPageBreak/>
              <w:t xml:space="preserve">Diagram 3 – Frankrike </w:t>
            </w:r>
          </w:p>
        </w:tc>
        <w:tc>
          <w:tcPr>
            <w:tcW w:w="4655" w:type="dxa"/>
          </w:tcPr>
          <w:p w:rsidR="00597803" w:rsidRPr="006B70AF" w:rsidRDefault="00597803" w:rsidP="00875E16">
            <w:pPr>
              <w:rPr>
                <w:rFonts w:ascii="Franklin Gothic Book" w:hAnsi="Franklin Gothic Book"/>
                <w:b/>
                <w:szCs w:val="21"/>
              </w:rPr>
            </w:pPr>
          </w:p>
        </w:tc>
      </w:tr>
      <w:tr w:rsidR="00F34576" w:rsidRPr="006B70AF" w:rsidTr="00F34576">
        <w:tc>
          <w:tcPr>
            <w:tcW w:w="5342" w:type="dxa"/>
          </w:tcPr>
          <w:p w:rsidR="00F34576" w:rsidRPr="006B70AF" w:rsidRDefault="00F34576" w:rsidP="00875E16">
            <w:pPr>
              <w:jc w:val="center"/>
              <w:rPr>
                <w:rFonts w:ascii="Franklin Gothic Book" w:eastAsia="Times New Roman" w:hAnsi="Franklin Gothic Book" w:cs="Times New Roman"/>
                <w:kern w:val="4"/>
                <w:sz w:val="20"/>
                <w:szCs w:val="20"/>
                <w:lang w:eastAsia="de-DE"/>
              </w:rPr>
            </w:pPr>
            <w:r w:rsidRPr="006B70AF">
              <w:rPr>
                <w:rFonts w:ascii="Franklin Gothic Book" w:eastAsia="Times New Roman" w:hAnsi="Franklin Gothic Book" w:cs="Times New Roman"/>
                <w:kern w:val="4"/>
                <w:sz w:val="20"/>
                <w:szCs w:val="20"/>
                <w:lang w:eastAsia="de-DE"/>
              </w:rPr>
              <w:t>Gårdens ekonomiska situation</w:t>
            </w:r>
          </w:p>
        </w:tc>
        <w:tc>
          <w:tcPr>
            <w:tcW w:w="4655" w:type="dxa"/>
          </w:tcPr>
          <w:p w:rsidR="00F34576" w:rsidRPr="006B70AF" w:rsidRDefault="00F34576" w:rsidP="00875E16">
            <w:pPr>
              <w:jc w:val="center"/>
              <w:rPr>
                <w:rFonts w:ascii="Franklin Gothic Book" w:eastAsia="Times New Roman" w:hAnsi="Franklin Gothic Book" w:cs="Times New Roman"/>
                <w:kern w:val="4"/>
                <w:sz w:val="20"/>
                <w:szCs w:val="20"/>
                <w:lang w:eastAsia="de-DE"/>
              </w:rPr>
            </w:pPr>
            <w:r w:rsidRPr="006B70AF">
              <w:rPr>
                <w:rFonts w:ascii="Franklin Gothic Book" w:eastAsia="Times New Roman" w:hAnsi="Franklin Gothic Book" w:cs="Times New Roman"/>
                <w:kern w:val="4"/>
                <w:sz w:val="20"/>
                <w:szCs w:val="20"/>
                <w:lang w:eastAsia="de-DE"/>
              </w:rPr>
              <w:t>Nationellt lönsamhetsindex</w:t>
            </w:r>
          </w:p>
        </w:tc>
      </w:tr>
      <w:tr w:rsidR="00597803" w:rsidRPr="006B70AF" w:rsidTr="00F34576">
        <w:tblPrEx>
          <w:tblCellMar>
            <w:left w:w="70" w:type="dxa"/>
            <w:right w:w="70" w:type="dxa"/>
          </w:tblCellMar>
        </w:tblPrEx>
        <w:tc>
          <w:tcPr>
            <w:tcW w:w="5342" w:type="dxa"/>
          </w:tcPr>
          <w:p w:rsidR="00597803" w:rsidRPr="006B70AF" w:rsidRDefault="00597803" w:rsidP="00875E16">
            <w:pPr>
              <w:rPr>
                <w:rFonts w:ascii="Franklin Gothic Book" w:hAnsi="Franklin Gothic Book"/>
                <w:b/>
                <w:szCs w:val="21"/>
              </w:rPr>
            </w:pPr>
            <w:r w:rsidRPr="006B70AF">
              <w:rPr>
                <w:rFonts w:ascii="Franklin Gothic Book" w:hAnsi="Franklin Gothic Book"/>
                <w:noProof/>
                <w:lang w:eastAsia="sv-SE"/>
              </w:rPr>
              <w:drawing>
                <wp:inline distT="0" distB="0" distL="0" distR="0" wp14:anchorId="5AB84B05" wp14:editId="6B22DBF3">
                  <wp:extent cx="2884170" cy="1729740"/>
                  <wp:effectExtent l="0" t="0" r="0" b="3810"/>
                  <wp:docPr id="301" name="Diagram 30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655" w:type="dxa"/>
          </w:tcPr>
          <w:p w:rsidR="00597803" w:rsidRPr="006B70AF" w:rsidRDefault="00597803" w:rsidP="00875E16">
            <w:pPr>
              <w:rPr>
                <w:rFonts w:ascii="Franklin Gothic Book" w:hAnsi="Franklin Gothic Book"/>
                <w:b/>
                <w:szCs w:val="21"/>
              </w:rPr>
            </w:pPr>
            <w:r w:rsidRPr="006B70AF">
              <w:rPr>
                <w:rFonts w:ascii="Franklin Gothic Book" w:hAnsi="Franklin Gothic Book"/>
                <w:noProof/>
                <w:lang w:eastAsia="sv-SE"/>
              </w:rPr>
              <w:drawing>
                <wp:inline distT="0" distB="0" distL="0" distR="0" wp14:anchorId="335CF104" wp14:editId="0F96E3F9">
                  <wp:extent cx="2867025" cy="1729740"/>
                  <wp:effectExtent l="0" t="0" r="0" b="3810"/>
                  <wp:docPr id="300" name="Diagram 30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597803" w:rsidRPr="006B70AF" w:rsidTr="00F34576">
        <w:tc>
          <w:tcPr>
            <w:tcW w:w="5342" w:type="dxa"/>
          </w:tcPr>
          <w:p w:rsidR="00597803" w:rsidRPr="006B70AF" w:rsidRDefault="00F34576" w:rsidP="00875E16">
            <w:pPr>
              <w:spacing w:after="120"/>
              <w:rPr>
                <w:rFonts w:ascii="Franklin Gothic Book" w:hAnsi="Franklin Gothic Book"/>
                <w:szCs w:val="21"/>
              </w:rPr>
            </w:pPr>
            <w:r w:rsidRPr="006B70AF">
              <w:rPr>
                <w:rFonts w:ascii="Franklin Gothic Book" w:eastAsia="Times New Roman" w:hAnsi="Franklin Gothic Book" w:cs="Times New Roman"/>
                <w:kern w:val="4"/>
                <w:sz w:val="20"/>
                <w:szCs w:val="20"/>
                <w:lang w:eastAsia="de-DE"/>
              </w:rPr>
              <w:t>Copa-Cogecas bearbetning av nationell data</w:t>
            </w:r>
          </w:p>
        </w:tc>
        <w:tc>
          <w:tcPr>
            <w:tcW w:w="4655" w:type="dxa"/>
          </w:tcPr>
          <w:p w:rsidR="00597803" w:rsidRPr="006B70AF" w:rsidRDefault="00597803" w:rsidP="00875E16">
            <w:pPr>
              <w:spacing w:after="120"/>
              <w:rPr>
                <w:rFonts w:ascii="Franklin Gothic Book" w:hAnsi="Franklin Gothic Book"/>
                <w:b/>
                <w:szCs w:val="21"/>
              </w:rPr>
            </w:pPr>
          </w:p>
        </w:tc>
      </w:tr>
    </w:tbl>
    <w:p w:rsidR="00597803" w:rsidRDefault="00597803" w:rsidP="00597803">
      <w:pPr>
        <w:spacing w:after="120"/>
        <w:rPr>
          <w:rFonts w:ascii="Franklin Gothic Book" w:hAnsi="Franklin Gothic Book" w:cs="Verdana"/>
          <w:szCs w:val="20"/>
        </w:rPr>
      </w:pPr>
    </w:p>
    <w:p w:rsidR="00B2716A" w:rsidRDefault="00B2716A" w:rsidP="00597803">
      <w:pPr>
        <w:spacing w:after="120"/>
        <w:rPr>
          <w:rFonts w:ascii="Franklin Gothic Book" w:hAnsi="Franklin Gothic Book" w:cs="Verdana"/>
          <w:szCs w:val="20"/>
        </w:rPr>
      </w:pPr>
      <w:r w:rsidRPr="006B70AF">
        <w:rPr>
          <w:rFonts w:ascii="Franklin Gothic Book" w:hAnsi="Franklin Gothic Book"/>
          <w:b/>
          <w:szCs w:val="21"/>
        </w:rPr>
        <w:t>Rumänien</w:t>
      </w:r>
      <w:r>
        <w:rPr>
          <w:rFonts w:ascii="Franklin Gothic Book" w:hAnsi="Franklin Gothic Book" w:cs="Verdana"/>
          <w:szCs w:val="20"/>
        </w:rPr>
        <w:t xml:space="preserve"> </w:t>
      </w:r>
    </w:p>
    <w:p w:rsidR="00EC4467" w:rsidRDefault="00EC4467" w:rsidP="00597803">
      <w:pPr>
        <w:spacing w:after="120"/>
        <w:rPr>
          <w:rFonts w:ascii="Franklin Gothic Book" w:hAnsi="Franklin Gothic Book" w:cs="Verdana"/>
          <w:szCs w:val="20"/>
        </w:rPr>
      </w:pPr>
      <w:r>
        <w:rPr>
          <w:rFonts w:ascii="Franklin Gothic Book" w:hAnsi="Franklin Gothic Book" w:cs="Verdana"/>
          <w:szCs w:val="20"/>
        </w:rPr>
        <w:t xml:space="preserve">Rumänska lantbrukare gjorde i våras en mycket mer positiv bedömning av sin nuvarande och framtida </w:t>
      </w:r>
      <w:r w:rsidR="00CE4236">
        <w:rPr>
          <w:rFonts w:ascii="Franklin Gothic Book" w:hAnsi="Franklin Gothic Book" w:cs="Verdana"/>
          <w:szCs w:val="20"/>
        </w:rPr>
        <w:t xml:space="preserve">ekonomisk </w:t>
      </w:r>
      <w:r>
        <w:rPr>
          <w:rFonts w:ascii="Franklin Gothic Book" w:hAnsi="Franklin Gothic Book" w:cs="Verdana"/>
          <w:szCs w:val="20"/>
        </w:rPr>
        <w:t>situation i jämförelse med sex månader tidigare. Som en konsekvens av det steg lönsamhetsindex för mars 2014 till sin högsta nivå sedan 2010.</w:t>
      </w:r>
    </w:p>
    <w:p w:rsidR="00EC4467" w:rsidRDefault="00EC4467" w:rsidP="00597803">
      <w:pPr>
        <w:spacing w:after="120"/>
        <w:rPr>
          <w:rFonts w:ascii="Franklin Gothic Book" w:hAnsi="Franklin Gothic Book" w:cs="Verdana"/>
          <w:szCs w:val="20"/>
        </w:rPr>
      </w:pPr>
      <w:r>
        <w:rPr>
          <w:rFonts w:ascii="Franklin Gothic Book" w:hAnsi="Franklin Gothic Book" w:cs="Verdana"/>
          <w:szCs w:val="20"/>
        </w:rPr>
        <w:t>Tack vare en kombination av mer positiva faktorer (goda majs- och solrosskördar och högre EU-stöd) och en minskning av</w:t>
      </w:r>
      <w:r w:rsidR="00CE4236">
        <w:rPr>
          <w:rFonts w:ascii="Franklin Gothic Book" w:hAnsi="Franklin Gothic Book" w:cs="Verdana"/>
          <w:szCs w:val="20"/>
        </w:rPr>
        <w:t xml:space="preserve"> vad som</w:t>
      </w:r>
      <w:r>
        <w:rPr>
          <w:rFonts w:ascii="Franklin Gothic Book" w:hAnsi="Franklin Gothic Book" w:cs="Verdana"/>
          <w:szCs w:val="20"/>
        </w:rPr>
        <w:t xml:space="preserve"> tidigare</w:t>
      </w:r>
      <w:r w:rsidR="00CE4236">
        <w:rPr>
          <w:rFonts w:ascii="Franklin Gothic Book" w:hAnsi="Franklin Gothic Book" w:cs="Verdana"/>
          <w:szCs w:val="20"/>
        </w:rPr>
        <w:t xml:space="preserve"> upplevts som lönsamhetsbegränsande</w:t>
      </w:r>
      <w:r>
        <w:rPr>
          <w:rFonts w:ascii="Franklin Gothic Book" w:hAnsi="Franklin Gothic Book" w:cs="Verdana"/>
          <w:szCs w:val="20"/>
        </w:rPr>
        <w:t xml:space="preserve"> faktorer (återhämtade avsalupriser för de flesta av lantbrukets produkter) ser lantbrukarna mer optimistiskt på sin ekonomiska tillvaro. Däremot sågs produktionskostnaderna fortfarande som betungande</w:t>
      </w:r>
      <w:r w:rsidR="00CE4236">
        <w:rPr>
          <w:rFonts w:ascii="Franklin Gothic Book" w:hAnsi="Franklin Gothic Book" w:cs="Verdana"/>
          <w:szCs w:val="20"/>
        </w:rPr>
        <w:t xml:space="preserve"> för lönsamheten</w:t>
      </w:r>
      <w:r>
        <w:rPr>
          <w:rFonts w:ascii="Franklin Gothic Book" w:hAnsi="Franklin Gothic Book" w:cs="Verdana"/>
          <w:szCs w:val="20"/>
        </w:rPr>
        <w:t xml:space="preserve">. </w:t>
      </w:r>
    </w:p>
    <w:p w:rsidR="00EC4467" w:rsidRPr="006B70AF" w:rsidRDefault="00EC4467" w:rsidP="00597803">
      <w:pPr>
        <w:spacing w:after="120"/>
        <w:rPr>
          <w:rFonts w:ascii="Franklin Gothic Book" w:hAnsi="Franklin Gothic Book" w:cs="Verdana"/>
          <w:szCs w:val="20"/>
        </w:rPr>
      </w:pPr>
      <w:r>
        <w:rPr>
          <w:rFonts w:ascii="Franklin Gothic Book" w:hAnsi="Franklin Gothic Book" w:cs="Verdana"/>
          <w:szCs w:val="20"/>
        </w:rPr>
        <w:t xml:space="preserve">Planer på att öka produktiviteten i framtiden och </w:t>
      </w:r>
      <w:r w:rsidR="00A014C3">
        <w:rPr>
          <w:rFonts w:ascii="Franklin Gothic Book" w:hAnsi="Franklin Gothic Book" w:cs="Verdana"/>
          <w:szCs w:val="20"/>
        </w:rPr>
        <w:t>investeringar</w:t>
      </w:r>
      <w:r>
        <w:rPr>
          <w:rFonts w:ascii="Franklin Gothic Book" w:hAnsi="Franklin Gothic Book" w:cs="Verdana"/>
          <w:szCs w:val="20"/>
        </w:rPr>
        <w:t xml:space="preserve"> i ny teknologi</w:t>
      </w:r>
      <w:r w:rsidR="00A014C3">
        <w:rPr>
          <w:rFonts w:ascii="Franklin Gothic Book" w:hAnsi="Franklin Gothic Book" w:cs="Verdana"/>
          <w:szCs w:val="20"/>
        </w:rPr>
        <w:t xml:space="preserve"> och nya maskiner, tillsammans med </w:t>
      </w:r>
      <w:r w:rsidR="00CE4236">
        <w:rPr>
          <w:rFonts w:ascii="Franklin Gothic Book" w:hAnsi="Franklin Gothic Book" w:cs="Verdana"/>
          <w:szCs w:val="20"/>
        </w:rPr>
        <w:t>förväntade</w:t>
      </w:r>
      <w:r w:rsidR="00A014C3">
        <w:rPr>
          <w:rFonts w:ascii="Franklin Gothic Book" w:hAnsi="Franklin Gothic Book" w:cs="Verdana"/>
          <w:szCs w:val="20"/>
        </w:rPr>
        <w:t xml:space="preserve"> högre EU-stödnivåer </w:t>
      </w:r>
      <w:r w:rsidR="00B26C08">
        <w:rPr>
          <w:rFonts w:ascii="Franklin Gothic Book" w:hAnsi="Franklin Gothic Book" w:cs="Verdana"/>
          <w:szCs w:val="20"/>
        </w:rPr>
        <w:t xml:space="preserve">spär på rumänska lantbrukares optimism. Detta i kontrast till viss oro för lägre priser på spannmål och oljeväxter. </w:t>
      </w:r>
    </w:p>
    <w:tbl>
      <w:tblPr>
        <w:tblW w:w="0" w:type="auto"/>
        <w:tblLook w:val="04A0" w:firstRow="1" w:lastRow="0" w:firstColumn="1" w:lastColumn="0" w:noHBand="0" w:noVBand="1"/>
      </w:tblPr>
      <w:tblGrid>
        <w:gridCol w:w="5342"/>
        <w:gridCol w:w="4655"/>
      </w:tblGrid>
      <w:tr w:rsidR="00597803" w:rsidRPr="006B70AF" w:rsidTr="00F34576">
        <w:tc>
          <w:tcPr>
            <w:tcW w:w="5342" w:type="dxa"/>
          </w:tcPr>
          <w:p w:rsidR="00597803" w:rsidRPr="006B70AF" w:rsidRDefault="00F34576" w:rsidP="00875E16">
            <w:pPr>
              <w:rPr>
                <w:rFonts w:ascii="Franklin Gothic Book" w:hAnsi="Franklin Gothic Book"/>
                <w:b/>
                <w:szCs w:val="21"/>
              </w:rPr>
            </w:pPr>
            <w:r w:rsidRPr="006B70AF">
              <w:rPr>
                <w:rFonts w:ascii="Franklin Gothic Book" w:hAnsi="Franklin Gothic Book"/>
                <w:b/>
                <w:szCs w:val="21"/>
              </w:rPr>
              <w:t>Diagram 4 – Rumänien</w:t>
            </w:r>
            <w:r w:rsidR="00597803" w:rsidRPr="006B70AF">
              <w:rPr>
                <w:rStyle w:val="Fotnotsreferens"/>
                <w:rFonts w:ascii="Franklin Gothic Book" w:hAnsi="Franklin Gothic Book" w:cs="Verdana"/>
                <w:b/>
                <w:szCs w:val="20"/>
              </w:rPr>
              <w:footnoteReference w:id="3"/>
            </w:r>
          </w:p>
        </w:tc>
        <w:tc>
          <w:tcPr>
            <w:tcW w:w="4655" w:type="dxa"/>
          </w:tcPr>
          <w:p w:rsidR="00597803" w:rsidRPr="006B70AF" w:rsidRDefault="00597803" w:rsidP="00875E16">
            <w:pPr>
              <w:rPr>
                <w:rFonts w:ascii="Franklin Gothic Book" w:hAnsi="Franklin Gothic Book"/>
                <w:b/>
                <w:szCs w:val="21"/>
              </w:rPr>
            </w:pPr>
          </w:p>
        </w:tc>
      </w:tr>
      <w:tr w:rsidR="00F34576" w:rsidRPr="006B70AF" w:rsidTr="00F34576">
        <w:tc>
          <w:tcPr>
            <w:tcW w:w="5342" w:type="dxa"/>
          </w:tcPr>
          <w:p w:rsidR="00F34576" w:rsidRPr="006B70AF" w:rsidRDefault="00F34576" w:rsidP="00875E16">
            <w:pPr>
              <w:jc w:val="center"/>
              <w:rPr>
                <w:rFonts w:ascii="Franklin Gothic Book" w:eastAsia="Times New Roman" w:hAnsi="Franklin Gothic Book" w:cs="Times New Roman"/>
                <w:kern w:val="4"/>
                <w:sz w:val="20"/>
                <w:szCs w:val="20"/>
                <w:lang w:eastAsia="de-DE"/>
              </w:rPr>
            </w:pPr>
            <w:r w:rsidRPr="006B70AF">
              <w:rPr>
                <w:rFonts w:ascii="Franklin Gothic Book" w:eastAsia="Times New Roman" w:hAnsi="Franklin Gothic Book" w:cs="Times New Roman"/>
                <w:kern w:val="4"/>
                <w:sz w:val="20"/>
                <w:szCs w:val="20"/>
                <w:lang w:eastAsia="de-DE"/>
              </w:rPr>
              <w:t>Gårdens ekonomiska situation</w:t>
            </w:r>
          </w:p>
        </w:tc>
        <w:tc>
          <w:tcPr>
            <w:tcW w:w="4655" w:type="dxa"/>
          </w:tcPr>
          <w:p w:rsidR="00F34576" w:rsidRPr="006B70AF" w:rsidRDefault="00F34576" w:rsidP="00875E16">
            <w:pPr>
              <w:jc w:val="center"/>
              <w:rPr>
                <w:rFonts w:ascii="Franklin Gothic Book" w:eastAsia="Times New Roman" w:hAnsi="Franklin Gothic Book" w:cs="Times New Roman"/>
                <w:kern w:val="4"/>
                <w:sz w:val="20"/>
                <w:szCs w:val="20"/>
                <w:lang w:eastAsia="de-DE"/>
              </w:rPr>
            </w:pPr>
            <w:r w:rsidRPr="006B70AF">
              <w:rPr>
                <w:rFonts w:ascii="Franklin Gothic Book" w:eastAsia="Times New Roman" w:hAnsi="Franklin Gothic Book" w:cs="Times New Roman"/>
                <w:kern w:val="4"/>
                <w:sz w:val="20"/>
                <w:szCs w:val="20"/>
                <w:lang w:eastAsia="de-DE"/>
              </w:rPr>
              <w:t>Nationellt lönsamhetsindex</w:t>
            </w:r>
          </w:p>
        </w:tc>
      </w:tr>
      <w:tr w:rsidR="00597803" w:rsidRPr="006B70AF" w:rsidTr="00F34576">
        <w:tblPrEx>
          <w:tblCellMar>
            <w:left w:w="70" w:type="dxa"/>
            <w:right w:w="70" w:type="dxa"/>
          </w:tblCellMar>
        </w:tblPrEx>
        <w:tc>
          <w:tcPr>
            <w:tcW w:w="5342" w:type="dxa"/>
          </w:tcPr>
          <w:p w:rsidR="00597803" w:rsidRPr="006B70AF" w:rsidRDefault="00597803" w:rsidP="00875E16">
            <w:pPr>
              <w:rPr>
                <w:rFonts w:ascii="Franklin Gothic Book" w:hAnsi="Franklin Gothic Book"/>
                <w:b/>
                <w:szCs w:val="21"/>
              </w:rPr>
            </w:pPr>
            <w:r w:rsidRPr="006B70AF">
              <w:rPr>
                <w:rFonts w:ascii="Franklin Gothic Book" w:hAnsi="Franklin Gothic Book"/>
                <w:noProof/>
                <w:lang w:eastAsia="sv-SE"/>
              </w:rPr>
              <w:drawing>
                <wp:inline distT="0" distB="0" distL="0" distR="0" wp14:anchorId="56411C17" wp14:editId="1ADF92DF">
                  <wp:extent cx="2867025" cy="1729740"/>
                  <wp:effectExtent l="0" t="0" r="0" b="3810"/>
                  <wp:docPr id="299" name="Diagram 29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655" w:type="dxa"/>
          </w:tcPr>
          <w:p w:rsidR="00597803" w:rsidRPr="006B70AF" w:rsidRDefault="00597803" w:rsidP="00875E16">
            <w:pPr>
              <w:rPr>
                <w:rFonts w:ascii="Franklin Gothic Book" w:hAnsi="Franklin Gothic Book"/>
                <w:b/>
                <w:szCs w:val="21"/>
              </w:rPr>
            </w:pPr>
            <w:r w:rsidRPr="006B70AF">
              <w:rPr>
                <w:rFonts w:ascii="Franklin Gothic Book" w:hAnsi="Franklin Gothic Book"/>
                <w:noProof/>
                <w:lang w:eastAsia="sv-SE"/>
              </w:rPr>
              <w:drawing>
                <wp:inline distT="0" distB="0" distL="0" distR="0" wp14:anchorId="0E1239CD" wp14:editId="6C401735">
                  <wp:extent cx="2867025" cy="1729740"/>
                  <wp:effectExtent l="0" t="0" r="0" b="3810"/>
                  <wp:docPr id="298" name="Diagram 29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597803" w:rsidRPr="006B70AF" w:rsidTr="00F34576">
        <w:tc>
          <w:tcPr>
            <w:tcW w:w="5342" w:type="dxa"/>
          </w:tcPr>
          <w:p w:rsidR="00597803" w:rsidRPr="006B70AF" w:rsidRDefault="00F34576" w:rsidP="00875E16">
            <w:pPr>
              <w:spacing w:after="120"/>
              <w:rPr>
                <w:rFonts w:ascii="Franklin Gothic Book" w:hAnsi="Franklin Gothic Book"/>
                <w:szCs w:val="21"/>
              </w:rPr>
            </w:pPr>
            <w:r w:rsidRPr="006B70AF">
              <w:rPr>
                <w:rFonts w:ascii="Franklin Gothic Book" w:eastAsia="Times New Roman" w:hAnsi="Franklin Gothic Book" w:cs="Times New Roman"/>
                <w:kern w:val="4"/>
                <w:sz w:val="20"/>
                <w:szCs w:val="20"/>
                <w:lang w:eastAsia="de-DE"/>
              </w:rPr>
              <w:t>Copa-Cogecas bearbetning av nationell data</w:t>
            </w:r>
          </w:p>
        </w:tc>
        <w:tc>
          <w:tcPr>
            <w:tcW w:w="4655" w:type="dxa"/>
          </w:tcPr>
          <w:p w:rsidR="00597803" w:rsidRPr="006B70AF" w:rsidRDefault="00597803" w:rsidP="00875E16">
            <w:pPr>
              <w:spacing w:after="120"/>
              <w:rPr>
                <w:rFonts w:ascii="Franklin Gothic Book" w:hAnsi="Franklin Gothic Book"/>
                <w:b/>
                <w:szCs w:val="21"/>
              </w:rPr>
            </w:pPr>
          </w:p>
        </w:tc>
      </w:tr>
    </w:tbl>
    <w:p w:rsidR="00B2716A" w:rsidRDefault="00B2716A" w:rsidP="00597803">
      <w:pPr>
        <w:spacing w:after="120"/>
        <w:rPr>
          <w:rFonts w:ascii="Franklin Gothic Book" w:hAnsi="Franklin Gothic Book"/>
          <w:b/>
          <w:szCs w:val="21"/>
        </w:rPr>
      </w:pPr>
    </w:p>
    <w:p w:rsidR="00B2716A" w:rsidRDefault="00B2716A" w:rsidP="00597803">
      <w:pPr>
        <w:spacing w:after="120"/>
        <w:rPr>
          <w:rFonts w:ascii="Franklin Gothic Book" w:hAnsi="Franklin Gothic Book"/>
          <w:szCs w:val="21"/>
        </w:rPr>
      </w:pPr>
      <w:r>
        <w:rPr>
          <w:rFonts w:ascii="Franklin Gothic Book" w:hAnsi="Franklin Gothic Book"/>
          <w:b/>
          <w:szCs w:val="21"/>
        </w:rPr>
        <w:t>T</w:t>
      </w:r>
      <w:r w:rsidRPr="006B70AF">
        <w:rPr>
          <w:rFonts w:ascii="Franklin Gothic Book" w:hAnsi="Franklin Gothic Book"/>
          <w:b/>
          <w:szCs w:val="21"/>
        </w:rPr>
        <w:t>yskland</w:t>
      </w:r>
      <w:r>
        <w:rPr>
          <w:rFonts w:ascii="Franklin Gothic Book" w:hAnsi="Franklin Gothic Book"/>
          <w:szCs w:val="21"/>
        </w:rPr>
        <w:t xml:space="preserve"> </w:t>
      </w:r>
    </w:p>
    <w:p w:rsidR="00FE06C1" w:rsidRPr="00B2716A" w:rsidRDefault="00FE06C1" w:rsidP="00597803">
      <w:pPr>
        <w:spacing w:after="120"/>
        <w:rPr>
          <w:rFonts w:ascii="Franklin Gothic Book" w:hAnsi="Franklin Gothic Book"/>
          <w:szCs w:val="21"/>
        </w:rPr>
      </w:pPr>
      <w:r>
        <w:rPr>
          <w:rFonts w:ascii="Franklin Gothic Book" w:hAnsi="Franklin Gothic Book"/>
          <w:szCs w:val="21"/>
        </w:rPr>
        <w:t>I Tyskland övervägde en fortsatt positiv s</w:t>
      </w:r>
      <w:r w:rsidR="00CE4236">
        <w:rPr>
          <w:rFonts w:ascii="Franklin Gothic Book" w:hAnsi="Franklin Gothic Book"/>
          <w:szCs w:val="21"/>
        </w:rPr>
        <w:t xml:space="preserve">yn på nuvarande lönsamhet ett tapp i tron på framtida lönsamhet, vilket </w:t>
      </w:r>
      <w:r>
        <w:rPr>
          <w:rFonts w:ascii="Franklin Gothic Book" w:hAnsi="Franklin Gothic Book"/>
          <w:szCs w:val="21"/>
        </w:rPr>
        <w:t xml:space="preserve">gav ett försiktigt lyft av lönsamhetsindexnoteringen i mars. </w:t>
      </w:r>
      <w:r>
        <w:rPr>
          <w:rFonts w:ascii="Franklin Gothic Book" w:hAnsi="Franklin Gothic Book" w:cs="Verdana"/>
          <w:szCs w:val="20"/>
        </w:rPr>
        <w:t xml:space="preserve">Den försiktiga lönsamhetsförbättringen speglades i en relativt stor volym planerade investeringar (6.1 miljarder € de kommande sex månaderna). </w:t>
      </w:r>
    </w:p>
    <w:p w:rsidR="00597803" w:rsidRPr="006B70AF" w:rsidRDefault="00FE06C1" w:rsidP="00597803">
      <w:pPr>
        <w:spacing w:after="120"/>
        <w:rPr>
          <w:rFonts w:ascii="Franklin Gothic Book" w:hAnsi="Franklin Gothic Book" w:cs="Verdana"/>
          <w:szCs w:val="20"/>
        </w:rPr>
      </w:pPr>
      <w:r>
        <w:rPr>
          <w:rFonts w:ascii="Franklin Gothic Book" w:hAnsi="Franklin Gothic Book" w:cs="Verdana"/>
          <w:szCs w:val="20"/>
        </w:rPr>
        <w:t xml:space="preserve">Växtodlare var något mer positiva än animalieproducenter till sin nuvarande lönsamhet, medan det omvända gällde för lönsamheten de kommande sex månaderna. </w:t>
      </w:r>
      <w:r w:rsidR="00B6692A">
        <w:rPr>
          <w:rFonts w:ascii="Franklin Gothic Book" w:hAnsi="Franklin Gothic Book" w:cs="Verdana"/>
          <w:szCs w:val="20"/>
        </w:rPr>
        <w:t>Dock var det inte så stor skillnad i lönsamhetsupp</w:t>
      </w:r>
      <w:r w:rsidR="00CE4236">
        <w:rPr>
          <w:rFonts w:ascii="Franklin Gothic Book" w:hAnsi="Franklin Gothic Book" w:cs="Verdana"/>
          <w:szCs w:val="20"/>
        </w:rPr>
        <w:t>f</w:t>
      </w:r>
      <w:r w:rsidR="00B6692A">
        <w:rPr>
          <w:rFonts w:ascii="Franklin Gothic Book" w:hAnsi="Franklin Gothic Book" w:cs="Verdana"/>
          <w:szCs w:val="20"/>
        </w:rPr>
        <w:t>attning mellan olika produktionsinriktningar.</w:t>
      </w:r>
      <w:r>
        <w:rPr>
          <w:rFonts w:ascii="Franklin Gothic Book" w:hAnsi="Franklin Gothic Book" w:cs="Verdana"/>
          <w:szCs w:val="20"/>
        </w:rPr>
        <w:t xml:space="preserve"> </w:t>
      </w:r>
    </w:p>
    <w:p w:rsidR="00B6692A" w:rsidRDefault="00B6692A" w:rsidP="00597803">
      <w:pPr>
        <w:spacing w:after="120"/>
        <w:rPr>
          <w:rFonts w:ascii="Franklin Gothic Book" w:hAnsi="Franklin Gothic Book" w:cs="Verdana"/>
          <w:szCs w:val="20"/>
        </w:rPr>
      </w:pPr>
      <w:r>
        <w:rPr>
          <w:rFonts w:ascii="Franklin Gothic Book" w:hAnsi="Franklin Gothic Book" w:cs="Verdana"/>
          <w:szCs w:val="20"/>
        </w:rPr>
        <w:lastRenderedPageBreak/>
        <w:t xml:space="preserve">Lantbrukare som deltog i undersökningen upplevde att arrende- och energipriser </w:t>
      </w:r>
      <w:r w:rsidR="00CE4236">
        <w:rPr>
          <w:rFonts w:ascii="Franklin Gothic Book" w:hAnsi="Franklin Gothic Book" w:cs="Verdana"/>
          <w:szCs w:val="20"/>
        </w:rPr>
        <w:t>samt</w:t>
      </w:r>
      <w:r>
        <w:rPr>
          <w:rFonts w:ascii="Franklin Gothic Book" w:hAnsi="Franklin Gothic Book" w:cs="Verdana"/>
          <w:szCs w:val="20"/>
        </w:rPr>
        <w:t xml:space="preserve"> gödnings- och foderpriser hade störst negativ lönsamhetspåverkan. Likväl hade denna negativa påverkan lindrats påtagligt gällande foder, gödning och energi </w:t>
      </w:r>
      <w:r w:rsidR="0025482F">
        <w:rPr>
          <w:rFonts w:ascii="Franklin Gothic Book" w:hAnsi="Franklin Gothic Book" w:cs="Verdana"/>
          <w:szCs w:val="20"/>
        </w:rPr>
        <w:t xml:space="preserve">i jämförelse med föregående år. Bara en tredjedel av de intervjuade lantbrukarna uppgav att de mött några svårigheter i driften av sina företag. </w:t>
      </w:r>
    </w:p>
    <w:p w:rsidR="0025482F" w:rsidRDefault="0025482F" w:rsidP="00597803">
      <w:pPr>
        <w:spacing w:after="120"/>
        <w:rPr>
          <w:rFonts w:ascii="Franklin Gothic Book" w:hAnsi="Franklin Gothic Book" w:cs="Verdana"/>
          <w:szCs w:val="20"/>
        </w:rPr>
      </w:pPr>
      <w:r>
        <w:rPr>
          <w:rFonts w:ascii="Franklin Gothic Book" w:hAnsi="Franklin Gothic Book" w:cs="Verdana"/>
          <w:szCs w:val="20"/>
        </w:rPr>
        <w:t>Undersökningens resultat indikerar klar ske</w:t>
      </w:r>
      <w:r w:rsidR="00CE4236">
        <w:rPr>
          <w:rFonts w:ascii="Franklin Gothic Book" w:hAnsi="Franklin Gothic Book" w:cs="Verdana"/>
          <w:szCs w:val="20"/>
        </w:rPr>
        <w:t>psis gentemot jordbrukspolitik</w:t>
      </w:r>
      <w:r w:rsidRPr="0025482F">
        <w:rPr>
          <w:rFonts w:ascii="Franklin Gothic Book" w:hAnsi="Franklin Gothic Book" w:cs="Verdana"/>
          <w:szCs w:val="20"/>
        </w:rPr>
        <w:t xml:space="preserve"> </w:t>
      </w:r>
      <w:r>
        <w:rPr>
          <w:rFonts w:ascii="Franklin Gothic Book" w:hAnsi="Franklin Gothic Book" w:cs="Verdana"/>
          <w:szCs w:val="20"/>
        </w:rPr>
        <w:t xml:space="preserve">bland lantbrukarna, </w:t>
      </w:r>
      <w:r w:rsidR="00CE4236">
        <w:rPr>
          <w:rFonts w:ascii="Franklin Gothic Book" w:hAnsi="Franklin Gothic Book" w:cs="Verdana"/>
          <w:szCs w:val="20"/>
        </w:rPr>
        <w:t xml:space="preserve">såväl </w:t>
      </w:r>
      <w:r>
        <w:rPr>
          <w:rFonts w:ascii="Franklin Gothic Book" w:hAnsi="Franklin Gothic Book" w:cs="Verdana"/>
          <w:szCs w:val="20"/>
        </w:rPr>
        <w:t xml:space="preserve">på nationell nivå som på EU-nivå. </w:t>
      </w:r>
    </w:p>
    <w:tbl>
      <w:tblPr>
        <w:tblW w:w="0" w:type="auto"/>
        <w:tblLook w:val="04A0" w:firstRow="1" w:lastRow="0" w:firstColumn="1" w:lastColumn="0" w:noHBand="0" w:noVBand="1"/>
      </w:tblPr>
      <w:tblGrid>
        <w:gridCol w:w="4618"/>
        <w:gridCol w:w="4655"/>
      </w:tblGrid>
      <w:tr w:rsidR="00597803" w:rsidRPr="006B70AF" w:rsidTr="00F34576">
        <w:tc>
          <w:tcPr>
            <w:tcW w:w="4618" w:type="dxa"/>
          </w:tcPr>
          <w:p w:rsidR="00597803" w:rsidRPr="006B70AF" w:rsidRDefault="00B2716A" w:rsidP="00875E16">
            <w:pPr>
              <w:rPr>
                <w:rFonts w:ascii="Franklin Gothic Book" w:hAnsi="Franklin Gothic Book"/>
                <w:b/>
                <w:szCs w:val="21"/>
              </w:rPr>
            </w:pPr>
            <w:r>
              <w:rPr>
                <w:rFonts w:ascii="Franklin Gothic Book" w:hAnsi="Franklin Gothic Book"/>
                <w:b/>
                <w:szCs w:val="21"/>
              </w:rPr>
              <w:t>Diagram 5 – T</w:t>
            </w:r>
            <w:r w:rsidR="00F34576" w:rsidRPr="006B70AF">
              <w:rPr>
                <w:rFonts w:ascii="Franklin Gothic Book" w:hAnsi="Franklin Gothic Book"/>
                <w:b/>
                <w:szCs w:val="21"/>
              </w:rPr>
              <w:t>yskland</w:t>
            </w:r>
          </w:p>
        </w:tc>
        <w:tc>
          <w:tcPr>
            <w:tcW w:w="4655" w:type="dxa"/>
          </w:tcPr>
          <w:p w:rsidR="00597803" w:rsidRPr="006B70AF" w:rsidRDefault="00597803" w:rsidP="00875E16">
            <w:pPr>
              <w:rPr>
                <w:rFonts w:ascii="Franklin Gothic Book" w:hAnsi="Franklin Gothic Book"/>
                <w:b/>
                <w:szCs w:val="21"/>
              </w:rPr>
            </w:pPr>
          </w:p>
        </w:tc>
      </w:tr>
      <w:tr w:rsidR="00F34576" w:rsidRPr="006B70AF" w:rsidTr="00F34576">
        <w:tc>
          <w:tcPr>
            <w:tcW w:w="4618" w:type="dxa"/>
          </w:tcPr>
          <w:p w:rsidR="00F34576" w:rsidRPr="006B70AF" w:rsidRDefault="00F34576" w:rsidP="00875E16">
            <w:pPr>
              <w:jc w:val="center"/>
              <w:rPr>
                <w:rFonts w:ascii="Franklin Gothic Book" w:eastAsia="Times New Roman" w:hAnsi="Franklin Gothic Book" w:cs="Times New Roman"/>
                <w:kern w:val="4"/>
                <w:sz w:val="20"/>
                <w:szCs w:val="20"/>
                <w:lang w:eastAsia="de-DE"/>
              </w:rPr>
            </w:pPr>
            <w:r w:rsidRPr="006B70AF">
              <w:rPr>
                <w:rFonts w:ascii="Franklin Gothic Book" w:eastAsia="Times New Roman" w:hAnsi="Franklin Gothic Book" w:cs="Times New Roman"/>
                <w:kern w:val="4"/>
                <w:sz w:val="20"/>
                <w:szCs w:val="20"/>
                <w:lang w:eastAsia="de-DE"/>
              </w:rPr>
              <w:t>Gårdens ekonomiska situation</w:t>
            </w:r>
          </w:p>
        </w:tc>
        <w:tc>
          <w:tcPr>
            <w:tcW w:w="4655" w:type="dxa"/>
          </w:tcPr>
          <w:p w:rsidR="00F34576" w:rsidRPr="006B70AF" w:rsidRDefault="00F34576" w:rsidP="00875E16">
            <w:pPr>
              <w:jc w:val="center"/>
              <w:rPr>
                <w:rFonts w:ascii="Franklin Gothic Book" w:eastAsia="Times New Roman" w:hAnsi="Franklin Gothic Book" w:cs="Times New Roman"/>
                <w:kern w:val="4"/>
                <w:sz w:val="20"/>
                <w:szCs w:val="20"/>
                <w:lang w:eastAsia="de-DE"/>
              </w:rPr>
            </w:pPr>
            <w:r w:rsidRPr="006B70AF">
              <w:rPr>
                <w:rFonts w:ascii="Franklin Gothic Book" w:eastAsia="Times New Roman" w:hAnsi="Franklin Gothic Book" w:cs="Times New Roman"/>
                <w:kern w:val="4"/>
                <w:sz w:val="20"/>
                <w:szCs w:val="20"/>
                <w:lang w:eastAsia="de-DE"/>
              </w:rPr>
              <w:t>Nationellt lönsamhetsindex</w:t>
            </w:r>
          </w:p>
        </w:tc>
      </w:tr>
      <w:tr w:rsidR="00597803" w:rsidRPr="006B70AF" w:rsidTr="00F34576">
        <w:tblPrEx>
          <w:tblCellMar>
            <w:left w:w="70" w:type="dxa"/>
            <w:right w:w="70" w:type="dxa"/>
          </w:tblCellMar>
        </w:tblPrEx>
        <w:tc>
          <w:tcPr>
            <w:tcW w:w="4618" w:type="dxa"/>
          </w:tcPr>
          <w:p w:rsidR="00597803" w:rsidRPr="006B70AF" w:rsidRDefault="00597803" w:rsidP="00875E16">
            <w:pPr>
              <w:rPr>
                <w:rFonts w:ascii="Franklin Gothic Book" w:hAnsi="Franklin Gothic Book"/>
                <w:b/>
                <w:szCs w:val="21"/>
              </w:rPr>
            </w:pPr>
            <w:r w:rsidRPr="006B70AF">
              <w:rPr>
                <w:rFonts w:ascii="Franklin Gothic Book" w:hAnsi="Franklin Gothic Book"/>
                <w:noProof/>
                <w:lang w:eastAsia="sv-SE"/>
              </w:rPr>
              <w:drawing>
                <wp:inline distT="0" distB="0" distL="0" distR="0" wp14:anchorId="6F44D717" wp14:editId="3EFC8E15">
                  <wp:extent cx="2843530" cy="1713865"/>
                  <wp:effectExtent l="0" t="0" r="0" b="635"/>
                  <wp:docPr id="297" name="Diagram 29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655" w:type="dxa"/>
          </w:tcPr>
          <w:p w:rsidR="00597803" w:rsidRPr="006B70AF" w:rsidRDefault="00597803" w:rsidP="00875E16">
            <w:pPr>
              <w:rPr>
                <w:rFonts w:ascii="Franklin Gothic Book" w:hAnsi="Franklin Gothic Book"/>
                <w:b/>
                <w:szCs w:val="21"/>
              </w:rPr>
            </w:pPr>
            <w:r w:rsidRPr="006B70AF">
              <w:rPr>
                <w:rFonts w:ascii="Franklin Gothic Book" w:hAnsi="Franklin Gothic Book"/>
                <w:noProof/>
                <w:lang w:eastAsia="sv-SE"/>
              </w:rPr>
              <w:drawing>
                <wp:inline distT="0" distB="0" distL="0" distR="0" wp14:anchorId="79E397B6" wp14:editId="2B402A63">
                  <wp:extent cx="2867025" cy="1721485"/>
                  <wp:effectExtent l="0" t="0" r="0" b="0"/>
                  <wp:docPr id="296" name="Diagram 29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597803" w:rsidRPr="006B70AF" w:rsidTr="00F34576">
        <w:tc>
          <w:tcPr>
            <w:tcW w:w="4618" w:type="dxa"/>
          </w:tcPr>
          <w:p w:rsidR="00597803" w:rsidRPr="006B70AF" w:rsidRDefault="00F34576" w:rsidP="00875E16">
            <w:pPr>
              <w:spacing w:after="120"/>
              <w:rPr>
                <w:rFonts w:ascii="Franklin Gothic Book" w:hAnsi="Franklin Gothic Book"/>
                <w:b/>
                <w:szCs w:val="21"/>
              </w:rPr>
            </w:pPr>
            <w:r w:rsidRPr="006B70AF">
              <w:rPr>
                <w:rFonts w:ascii="Franklin Gothic Book" w:eastAsia="Times New Roman" w:hAnsi="Franklin Gothic Book" w:cs="Times New Roman"/>
                <w:kern w:val="4"/>
                <w:sz w:val="20"/>
                <w:szCs w:val="20"/>
                <w:lang w:eastAsia="de-DE"/>
              </w:rPr>
              <w:t>Copa-Cogecas bearbetning av nationell data</w:t>
            </w:r>
          </w:p>
        </w:tc>
        <w:tc>
          <w:tcPr>
            <w:tcW w:w="4655" w:type="dxa"/>
          </w:tcPr>
          <w:p w:rsidR="00597803" w:rsidRPr="006B70AF" w:rsidRDefault="00597803" w:rsidP="00875E16">
            <w:pPr>
              <w:spacing w:after="120"/>
              <w:rPr>
                <w:rFonts w:ascii="Franklin Gothic Book" w:hAnsi="Franklin Gothic Book"/>
                <w:b/>
                <w:szCs w:val="21"/>
              </w:rPr>
            </w:pPr>
          </w:p>
        </w:tc>
      </w:tr>
    </w:tbl>
    <w:p w:rsidR="00B2716A" w:rsidRDefault="00B2716A" w:rsidP="00597803">
      <w:pPr>
        <w:spacing w:after="120"/>
        <w:rPr>
          <w:rFonts w:ascii="Franklin Gothic Book" w:hAnsi="Franklin Gothic Book"/>
          <w:b/>
          <w:szCs w:val="21"/>
        </w:rPr>
      </w:pPr>
    </w:p>
    <w:p w:rsidR="00597803" w:rsidRPr="006B70AF" w:rsidRDefault="00B2716A" w:rsidP="00597803">
      <w:pPr>
        <w:spacing w:after="120"/>
        <w:rPr>
          <w:rFonts w:ascii="Franklin Gothic Book" w:hAnsi="Franklin Gothic Book"/>
          <w:szCs w:val="21"/>
        </w:rPr>
      </w:pPr>
      <w:r w:rsidRPr="006B70AF">
        <w:rPr>
          <w:rFonts w:ascii="Franklin Gothic Book" w:hAnsi="Franklin Gothic Book"/>
          <w:b/>
          <w:szCs w:val="21"/>
        </w:rPr>
        <w:t>Sverige</w:t>
      </w:r>
    </w:p>
    <w:p w:rsidR="007B337F" w:rsidRDefault="007B337F" w:rsidP="00597803">
      <w:pPr>
        <w:spacing w:after="120"/>
        <w:rPr>
          <w:rFonts w:ascii="Franklin Gothic Book" w:hAnsi="Franklin Gothic Book" w:cs="Verdana"/>
          <w:szCs w:val="20"/>
        </w:rPr>
      </w:pPr>
      <w:r>
        <w:rPr>
          <w:rFonts w:ascii="Franklin Gothic Book" w:hAnsi="Franklin Gothic Book" w:cs="Verdana"/>
          <w:szCs w:val="20"/>
        </w:rPr>
        <w:t xml:space="preserve">2014 började med en återhämtning av svenska lantbrukares upplevda lönsamhet. Det var den första verkliga uppåtrörelsen i lönsamhetsindexet på tre år. </w:t>
      </w:r>
    </w:p>
    <w:p w:rsidR="007B337F" w:rsidRDefault="0051095B" w:rsidP="00597803">
      <w:pPr>
        <w:spacing w:after="120"/>
        <w:rPr>
          <w:rFonts w:ascii="Franklin Gothic Book" w:hAnsi="Franklin Gothic Book" w:cs="Verdana"/>
          <w:szCs w:val="20"/>
        </w:rPr>
      </w:pPr>
      <w:r>
        <w:rPr>
          <w:rFonts w:ascii="Franklin Gothic Book" w:hAnsi="Franklin Gothic Book" w:cs="Verdana"/>
          <w:szCs w:val="20"/>
        </w:rPr>
        <w:t>Ökad framtidstro</w:t>
      </w:r>
      <w:r w:rsidR="007B337F">
        <w:rPr>
          <w:rFonts w:ascii="Franklin Gothic Book" w:hAnsi="Franklin Gothic Book" w:cs="Verdana"/>
          <w:szCs w:val="20"/>
        </w:rPr>
        <w:t xml:space="preserve"> bland mjölkproducenter var en av de drivande faktorerna bakom förbättringen, som en följd av stärkta mjölkpriser till historiskt höga nivåer. Likväl skattade många mjölkföretagare </w:t>
      </w:r>
      <w:r>
        <w:rPr>
          <w:rFonts w:ascii="Franklin Gothic Book" w:hAnsi="Franklin Gothic Book" w:cs="Verdana"/>
          <w:szCs w:val="20"/>
        </w:rPr>
        <w:t xml:space="preserve">sin nuvarande lönsamhet </w:t>
      </w:r>
      <w:r w:rsidR="00CE4236">
        <w:rPr>
          <w:rFonts w:ascii="Franklin Gothic Book" w:hAnsi="Franklin Gothic Book" w:cs="Verdana"/>
          <w:szCs w:val="20"/>
        </w:rPr>
        <w:t>som dålig</w:t>
      </w:r>
      <w:r>
        <w:rPr>
          <w:rFonts w:ascii="Franklin Gothic Book" w:hAnsi="Franklin Gothic Book" w:cs="Verdana"/>
          <w:szCs w:val="20"/>
        </w:rPr>
        <w:t>, en följd av stora leverantörsskulder och eftersatt underhåll från</w:t>
      </w:r>
      <w:r w:rsidR="00CE4236">
        <w:rPr>
          <w:rFonts w:ascii="Franklin Gothic Book" w:hAnsi="Franklin Gothic Book" w:cs="Verdana"/>
          <w:szCs w:val="20"/>
        </w:rPr>
        <w:t xml:space="preserve"> de</w:t>
      </w:r>
      <w:r>
        <w:rPr>
          <w:rFonts w:ascii="Franklin Gothic Book" w:hAnsi="Franklin Gothic Book" w:cs="Verdana"/>
          <w:szCs w:val="20"/>
        </w:rPr>
        <w:t xml:space="preserve"> tuffa år</w:t>
      </w:r>
      <w:r w:rsidR="00CE4236">
        <w:rPr>
          <w:rFonts w:ascii="Franklin Gothic Book" w:hAnsi="Franklin Gothic Book" w:cs="Verdana"/>
          <w:szCs w:val="20"/>
        </w:rPr>
        <w:t xml:space="preserve"> som gått</w:t>
      </w:r>
      <w:r>
        <w:rPr>
          <w:rFonts w:ascii="Franklin Gothic Book" w:hAnsi="Franklin Gothic Book" w:cs="Verdana"/>
          <w:szCs w:val="20"/>
        </w:rPr>
        <w:t>. Nötkötts- och spannmåls</w:t>
      </w:r>
      <w:r w:rsidR="00CE4236">
        <w:rPr>
          <w:rFonts w:ascii="Franklin Gothic Book" w:hAnsi="Franklin Gothic Book" w:cs="Verdana"/>
          <w:szCs w:val="20"/>
        </w:rPr>
        <w:t>företag</w:t>
      </w:r>
      <w:r>
        <w:rPr>
          <w:rFonts w:ascii="Franklin Gothic Book" w:hAnsi="Franklin Gothic Book" w:cs="Verdana"/>
          <w:szCs w:val="20"/>
        </w:rPr>
        <w:t xml:space="preserve"> var också mer positiva än sex månader tidigare, tack vare lägre foderpriser respektive förväntningar om en god skörd. </w:t>
      </w:r>
    </w:p>
    <w:p w:rsidR="0051095B" w:rsidRDefault="0051095B" w:rsidP="00597803">
      <w:pPr>
        <w:spacing w:after="120"/>
        <w:rPr>
          <w:rFonts w:ascii="Franklin Gothic Book" w:hAnsi="Franklin Gothic Book" w:cs="Verdana"/>
          <w:szCs w:val="20"/>
        </w:rPr>
      </w:pPr>
      <w:r>
        <w:rPr>
          <w:rFonts w:ascii="Franklin Gothic Book" w:hAnsi="Franklin Gothic Book" w:cs="Verdana"/>
          <w:szCs w:val="20"/>
        </w:rPr>
        <w:t xml:space="preserve">I kontrast till det märks en ökad frustration bland grisköttsföretagen, </w:t>
      </w:r>
      <w:r w:rsidR="00CE4236">
        <w:rPr>
          <w:rFonts w:ascii="Franklin Gothic Book" w:hAnsi="Franklin Gothic Book" w:cs="Verdana"/>
          <w:szCs w:val="20"/>
        </w:rPr>
        <w:t>till vilket</w:t>
      </w:r>
      <w:r>
        <w:rPr>
          <w:rFonts w:ascii="Franklin Gothic Book" w:hAnsi="Franklin Gothic Book" w:cs="Verdana"/>
          <w:szCs w:val="20"/>
        </w:rPr>
        <w:t xml:space="preserve"> avbrutna kontrakt </w:t>
      </w:r>
      <w:r w:rsidR="00D6754C">
        <w:rPr>
          <w:rFonts w:ascii="Franklin Gothic Book" w:hAnsi="Franklin Gothic Book" w:cs="Verdana"/>
          <w:szCs w:val="20"/>
        </w:rPr>
        <w:t>och lägre avräkningspriser</w:t>
      </w:r>
      <w:r w:rsidR="00CE4236">
        <w:rPr>
          <w:rFonts w:ascii="Franklin Gothic Book" w:hAnsi="Franklin Gothic Book" w:cs="Verdana"/>
          <w:szCs w:val="20"/>
        </w:rPr>
        <w:t xml:space="preserve"> är huvudorsaken. Detta som en</w:t>
      </w:r>
      <w:r>
        <w:rPr>
          <w:rFonts w:ascii="Franklin Gothic Book" w:hAnsi="Franklin Gothic Book" w:cs="Verdana"/>
          <w:szCs w:val="20"/>
        </w:rPr>
        <w:t xml:space="preserve"> följd av de </w:t>
      </w:r>
      <w:r w:rsidR="00CE4236">
        <w:rPr>
          <w:rFonts w:ascii="Franklin Gothic Book" w:hAnsi="Franklin Gothic Book" w:cs="Verdana"/>
          <w:szCs w:val="20"/>
        </w:rPr>
        <w:t>ökade volymerna importerat gris</w:t>
      </w:r>
      <w:r>
        <w:rPr>
          <w:rFonts w:ascii="Franklin Gothic Book" w:hAnsi="Franklin Gothic Book" w:cs="Verdana"/>
          <w:szCs w:val="20"/>
        </w:rPr>
        <w:t xml:space="preserve">kött på den svenska marknaden </w:t>
      </w:r>
      <w:r w:rsidR="00D6754C">
        <w:rPr>
          <w:rFonts w:ascii="Franklin Gothic Book" w:hAnsi="Franklin Gothic Book" w:cs="Verdana"/>
          <w:szCs w:val="20"/>
        </w:rPr>
        <w:t xml:space="preserve">efter Rysslands importstopp är huvudorsaken. </w:t>
      </w:r>
    </w:p>
    <w:p w:rsidR="00D6754C" w:rsidRDefault="00D6754C" w:rsidP="00597803">
      <w:pPr>
        <w:spacing w:after="120"/>
        <w:rPr>
          <w:rFonts w:ascii="Franklin Gothic Book" w:hAnsi="Franklin Gothic Book" w:cs="Verdana"/>
          <w:szCs w:val="20"/>
        </w:rPr>
      </w:pPr>
      <w:r>
        <w:rPr>
          <w:rFonts w:ascii="Franklin Gothic Book" w:hAnsi="Franklin Gothic Book" w:cs="Verdana"/>
          <w:szCs w:val="20"/>
        </w:rPr>
        <w:t xml:space="preserve">Förväntningarna på den svenska implementeringen av CAP-reformen är blandade, företag med nötboskap gynnas sannolikt av reformen samtidigt som växtodlare i södra Sverige riskerar sänkta stödnivåer. </w:t>
      </w:r>
    </w:p>
    <w:tbl>
      <w:tblPr>
        <w:tblW w:w="0" w:type="auto"/>
        <w:tblLook w:val="04A0" w:firstRow="1" w:lastRow="0" w:firstColumn="1" w:lastColumn="0" w:noHBand="0" w:noVBand="1"/>
      </w:tblPr>
      <w:tblGrid>
        <w:gridCol w:w="5342"/>
        <w:gridCol w:w="4655"/>
      </w:tblGrid>
      <w:tr w:rsidR="00597803" w:rsidRPr="006B70AF" w:rsidTr="00F34576">
        <w:tc>
          <w:tcPr>
            <w:tcW w:w="5342" w:type="dxa"/>
          </w:tcPr>
          <w:p w:rsidR="00597803" w:rsidRPr="006B70AF" w:rsidRDefault="00F34576" w:rsidP="00875E16">
            <w:pPr>
              <w:rPr>
                <w:rFonts w:ascii="Franklin Gothic Book" w:hAnsi="Franklin Gothic Book"/>
                <w:b/>
                <w:szCs w:val="21"/>
              </w:rPr>
            </w:pPr>
            <w:r w:rsidRPr="006B70AF">
              <w:rPr>
                <w:rFonts w:ascii="Franklin Gothic Book" w:hAnsi="Franklin Gothic Book"/>
                <w:b/>
                <w:szCs w:val="21"/>
              </w:rPr>
              <w:t xml:space="preserve">Diagram 6 </w:t>
            </w:r>
            <w:r w:rsidR="00B2716A">
              <w:rPr>
                <w:rFonts w:ascii="Franklin Gothic Book" w:hAnsi="Franklin Gothic Book"/>
                <w:b/>
                <w:szCs w:val="21"/>
              </w:rPr>
              <w:t>–</w:t>
            </w:r>
            <w:r w:rsidRPr="006B70AF">
              <w:rPr>
                <w:rFonts w:ascii="Franklin Gothic Book" w:hAnsi="Franklin Gothic Book"/>
                <w:b/>
                <w:szCs w:val="21"/>
              </w:rPr>
              <w:t xml:space="preserve"> Sverige</w:t>
            </w:r>
            <w:r w:rsidR="00CE4236">
              <w:rPr>
                <w:rFonts w:ascii="Franklin Gothic Book" w:hAnsi="Franklin Gothic Book"/>
                <w:b/>
                <w:szCs w:val="21"/>
              </w:rPr>
              <w:t xml:space="preserve"> </w:t>
            </w:r>
            <w:r w:rsidR="00B2716A">
              <w:rPr>
                <w:rFonts w:ascii="Franklin Gothic Book" w:hAnsi="Franklin Gothic Book"/>
                <w:b/>
                <w:szCs w:val="21"/>
              </w:rPr>
              <w:t xml:space="preserve"> </w:t>
            </w:r>
          </w:p>
        </w:tc>
        <w:tc>
          <w:tcPr>
            <w:tcW w:w="4655" w:type="dxa"/>
          </w:tcPr>
          <w:p w:rsidR="00597803" w:rsidRPr="006B70AF" w:rsidRDefault="00597803" w:rsidP="00875E16">
            <w:pPr>
              <w:rPr>
                <w:rFonts w:ascii="Franklin Gothic Book" w:hAnsi="Franklin Gothic Book"/>
                <w:b/>
                <w:szCs w:val="21"/>
              </w:rPr>
            </w:pPr>
          </w:p>
        </w:tc>
      </w:tr>
      <w:tr w:rsidR="00F34576" w:rsidRPr="006B70AF" w:rsidTr="00F34576">
        <w:tc>
          <w:tcPr>
            <w:tcW w:w="5342" w:type="dxa"/>
          </w:tcPr>
          <w:p w:rsidR="00F34576" w:rsidRPr="006B70AF" w:rsidRDefault="00F34576" w:rsidP="00875E16">
            <w:pPr>
              <w:jc w:val="center"/>
              <w:rPr>
                <w:rFonts w:ascii="Franklin Gothic Book" w:eastAsia="Times New Roman" w:hAnsi="Franklin Gothic Book" w:cs="Times New Roman"/>
                <w:kern w:val="4"/>
                <w:sz w:val="20"/>
                <w:szCs w:val="20"/>
                <w:lang w:eastAsia="de-DE"/>
              </w:rPr>
            </w:pPr>
            <w:r w:rsidRPr="006B70AF">
              <w:rPr>
                <w:rFonts w:ascii="Franklin Gothic Book" w:eastAsia="Times New Roman" w:hAnsi="Franklin Gothic Book" w:cs="Times New Roman"/>
                <w:kern w:val="4"/>
                <w:sz w:val="20"/>
                <w:szCs w:val="20"/>
                <w:lang w:eastAsia="de-DE"/>
              </w:rPr>
              <w:t>Gårdens ekonomiska situation</w:t>
            </w:r>
          </w:p>
        </w:tc>
        <w:tc>
          <w:tcPr>
            <w:tcW w:w="4655" w:type="dxa"/>
          </w:tcPr>
          <w:p w:rsidR="00F34576" w:rsidRPr="006B70AF" w:rsidRDefault="00F34576" w:rsidP="00875E16">
            <w:pPr>
              <w:jc w:val="center"/>
              <w:rPr>
                <w:rFonts w:ascii="Franklin Gothic Book" w:eastAsia="Times New Roman" w:hAnsi="Franklin Gothic Book" w:cs="Times New Roman"/>
                <w:kern w:val="4"/>
                <w:sz w:val="20"/>
                <w:szCs w:val="20"/>
                <w:lang w:eastAsia="de-DE"/>
              </w:rPr>
            </w:pPr>
            <w:r w:rsidRPr="006B70AF">
              <w:rPr>
                <w:rFonts w:ascii="Franklin Gothic Book" w:eastAsia="Times New Roman" w:hAnsi="Franklin Gothic Book" w:cs="Times New Roman"/>
                <w:kern w:val="4"/>
                <w:sz w:val="20"/>
                <w:szCs w:val="20"/>
                <w:lang w:eastAsia="de-DE"/>
              </w:rPr>
              <w:t>Nationellt lönsamhetsindex</w:t>
            </w:r>
          </w:p>
        </w:tc>
      </w:tr>
      <w:tr w:rsidR="00597803" w:rsidRPr="006B70AF" w:rsidTr="00F34576">
        <w:tblPrEx>
          <w:tblCellMar>
            <w:left w:w="70" w:type="dxa"/>
            <w:right w:w="70" w:type="dxa"/>
          </w:tblCellMar>
        </w:tblPrEx>
        <w:tc>
          <w:tcPr>
            <w:tcW w:w="5342" w:type="dxa"/>
          </w:tcPr>
          <w:p w:rsidR="00597803" w:rsidRPr="006B70AF" w:rsidRDefault="00597803" w:rsidP="00875E16">
            <w:pPr>
              <w:rPr>
                <w:rFonts w:ascii="Franklin Gothic Book" w:hAnsi="Franklin Gothic Book"/>
                <w:b/>
                <w:szCs w:val="21"/>
              </w:rPr>
            </w:pPr>
            <w:r w:rsidRPr="006B70AF">
              <w:rPr>
                <w:rFonts w:ascii="Franklin Gothic Book" w:hAnsi="Franklin Gothic Book"/>
                <w:noProof/>
                <w:lang w:eastAsia="sv-SE"/>
              </w:rPr>
              <w:drawing>
                <wp:inline distT="0" distB="0" distL="0" distR="0" wp14:anchorId="0E64E153" wp14:editId="4F24D922">
                  <wp:extent cx="2870200" cy="1721485"/>
                  <wp:effectExtent l="0" t="0" r="6350" b="0"/>
                  <wp:docPr id="295" name="Diagram 29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655" w:type="dxa"/>
          </w:tcPr>
          <w:p w:rsidR="00597803" w:rsidRPr="006B70AF" w:rsidRDefault="00597803" w:rsidP="00875E16">
            <w:pPr>
              <w:rPr>
                <w:rFonts w:ascii="Franklin Gothic Book" w:hAnsi="Franklin Gothic Book"/>
                <w:b/>
                <w:szCs w:val="21"/>
              </w:rPr>
            </w:pPr>
            <w:r w:rsidRPr="006B70AF">
              <w:rPr>
                <w:rFonts w:ascii="Franklin Gothic Book" w:hAnsi="Franklin Gothic Book"/>
                <w:noProof/>
                <w:lang w:eastAsia="sv-SE"/>
              </w:rPr>
              <w:drawing>
                <wp:inline distT="0" distB="0" distL="0" distR="0" wp14:anchorId="53AADF18" wp14:editId="5D3D6B37">
                  <wp:extent cx="2867025" cy="1721485"/>
                  <wp:effectExtent l="0" t="0" r="0" b="0"/>
                  <wp:docPr id="294" name="Diagram 2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597803" w:rsidRPr="006B70AF" w:rsidTr="00F34576">
        <w:tc>
          <w:tcPr>
            <w:tcW w:w="5342" w:type="dxa"/>
          </w:tcPr>
          <w:p w:rsidR="00597803" w:rsidRPr="006B70AF" w:rsidRDefault="00F34576" w:rsidP="00875E16">
            <w:pPr>
              <w:spacing w:after="120"/>
              <w:rPr>
                <w:rFonts w:ascii="Franklin Gothic Book" w:hAnsi="Franklin Gothic Book"/>
                <w:szCs w:val="21"/>
              </w:rPr>
            </w:pPr>
            <w:r w:rsidRPr="006B70AF">
              <w:rPr>
                <w:rFonts w:ascii="Franklin Gothic Book" w:eastAsia="Times New Roman" w:hAnsi="Franklin Gothic Book" w:cs="Times New Roman"/>
                <w:kern w:val="4"/>
                <w:sz w:val="20"/>
                <w:szCs w:val="20"/>
                <w:lang w:eastAsia="de-DE"/>
              </w:rPr>
              <w:t>Copa-Cogecas bearbetning av nationell data</w:t>
            </w:r>
          </w:p>
        </w:tc>
        <w:tc>
          <w:tcPr>
            <w:tcW w:w="4655" w:type="dxa"/>
          </w:tcPr>
          <w:p w:rsidR="00597803" w:rsidRPr="006B70AF" w:rsidRDefault="00597803" w:rsidP="00875E16">
            <w:pPr>
              <w:spacing w:after="120"/>
              <w:rPr>
                <w:rFonts w:ascii="Franklin Gothic Book" w:hAnsi="Franklin Gothic Book"/>
                <w:b/>
                <w:szCs w:val="21"/>
              </w:rPr>
            </w:pPr>
          </w:p>
        </w:tc>
      </w:tr>
    </w:tbl>
    <w:p w:rsidR="00CE4236" w:rsidRDefault="00CE4236" w:rsidP="00597803">
      <w:pPr>
        <w:spacing w:after="120"/>
        <w:rPr>
          <w:rFonts w:ascii="Franklin Gothic Book" w:hAnsi="Franklin Gothic Book"/>
          <w:b/>
          <w:szCs w:val="21"/>
        </w:rPr>
      </w:pPr>
    </w:p>
    <w:p w:rsidR="00CE4236" w:rsidRDefault="00CE4236">
      <w:pPr>
        <w:rPr>
          <w:rFonts w:ascii="Franklin Gothic Book" w:hAnsi="Franklin Gothic Book"/>
          <w:b/>
          <w:szCs w:val="21"/>
        </w:rPr>
      </w:pPr>
      <w:r>
        <w:rPr>
          <w:rFonts w:ascii="Franklin Gothic Book" w:hAnsi="Franklin Gothic Book"/>
          <w:b/>
          <w:szCs w:val="21"/>
        </w:rPr>
        <w:br w:type="page"/>
      </w:r>
    </w:p>
    <w:p w:rsidR="00CE4236" w:rsidRDefault="00CE4236" w:rsidP="00597803">
      <w:pPr>
        <w:spacing w:after="120"/>
        <w:rPr>
          <w:rFonts w:ascii="Franklin Gothic Book" w:hAnsi="Franklin Gothic Book"/>
          <w:b/>
          <w:szCs w:val="21"/>
        </w:rPr>
      </w:pPr>
      <w:r w:rsidRPr="006B70AF">
        <w:rPr>
          <w:rFonts w:ascii="Franklin Gothic Book" w:hAnsi="Franklin Gothic Book"/>
          <w:b/>
          <w:szCs w:val="21"/>
        </w:rPr>
        <w:lastRenderedPageBreak/>
        <w:t>Nederländerna</w:t>
      </w:r>
      <w:r>
        <w:rPr>
          <w:rFonts w:ascii="Franklin Gothic Book" w:hAnsi="Franklin Gothic Book"/>
          <w:b/>
          <w:szCs w:val="21"/>
        </w:rPr>
        <w:t xml:space="preserve"> </w:t>
      </w:r>
    </w:p>
    <w:p w:rsidR="00D6754C" w:rsidRDefault="00D6754C" w:rsidP="00597803">
      <w:pPr>
        <w:spacing w:after="120"/>
        <w:rPr>
          <w:rFonts w:ascii="Franklin Gothic Book" w:hAnsi="Franklin Gothic Book" w:cs="Verdana"/>
          <w:szCs w:val="20"/>
        </w:rPr>
      </w:pPr>
      <w:r>
        <w:rPr>
          <w:rFonts w:ascii="Franklin Gothic Book" w:hAnsi="Franklin Gothic Book" w:cs="Verdana"/>
          <w:szCs w:val="20"/>
        </w:rPr>
        <w:t xml:space="preserve">Efter en utdragen recession visar ekonomin tecken på återhämtning i Nederländerna. </w:t>
      </w:r>
      <w:r w:rsidR="00F14879">
        <w:rPr>
          <w:rFonts w:ascii="Franklin Gothic Book" w:hAnsi="Franklin Gothic Book" w:cs="Verdana"/>
          <w:szCs w:val="20"/>
        </w:rPr>
        <w:t>I takt med det</w:t>
      </w:r>
      <w:r>
        <w:rPr>
          <w:rFonts w:ascii="Franklin Gothic Book" w:hAnsi="Franklin Gothic Book" w:cs="Verdana"/>
          <w:szCs w:val="20"/>
        </w:rPr>
        <w:t xml:space="preserve"> förbättrades</w:t>
      </w:r>
      <w:r w:rsidR="00F14879">
        <w:rPr>
          <w:rFonts w:ascii="Franklin Gothic Book" w:hAnsi="Franklin Gothic Book" w:cs="Verdana"/>
          <w:szCs w:val="20"/>
        </w:rPr>
        <w:t xml:space="preserve"> läget i</w:t>
      </w:r>
      <w:r>
        <w:rPr>
          <w:rFonts w:ascii="Franklin Gothic Book" w:hAnsi="Franklin Gothic Book" w:cs="Verdana"/>
          <w:szCs w:val="20"/>
        </w:rPr>
        <w:t xml:space="preserve"> </w:t>
      </w:r>
      <w:r w:rsidR="00F14879">
        <w:rPr>
          <w:rFonts w:ascii="Franklin Gothic Book" w:hAnsi="Franklin Gothic Book" w:cs="Verdana"/>
          <w:szCs w:val="20"/>
        </w:rPr>
        <w:t xml:space="preserve">lantbruksbranschen och </w:t>
      </w:r>
      <w:r w:rsidR="00302D01">
        <w:rPr>
          <w:rFonts w:ascii="Franklin Gothic Book" w:hAnsi="Franklin Gothic Book" w:cs="Verdana"/>
          <w:szCs w:val="20"/>
        </w:rPr>
        <w:t>det sammanvägda lönsamhetsindexet</w:t>
      </w:r>
      <w:r w:rsidR="00F14879">
        <w:rPr>
          <w:rFonts w:ascii="Franklin Gothic Book" w:hAnsi="Franklin Gothic Book" w:cs="Verdana"/>
          <w:szCs w:val="20"/>
        </w:rPr>
        <w:t xml:space="preserve"> något </w:t>
      </w:r>
      <w:r>
        <w:rPr>
          <w:rFonts w:ascii="Franklin Gothic Book" w:hAnsi="Franklin Gothic Book" w:cs="Verdana"/>
          <w:szCs w:val="20"/>
        </w:rPr>
        <w:t>första kvartalet 2014 tack vare en mer positiv uppl</w:t>
      </w:r>
      <w:r w:rsidR="00302D01">
        <w:rPr>
          <w:rFonts w:ascii="Franklin Gothic Book" w:hAnsi="Franklin Gothic Book" w:cs="Verdana"/>
          <w:szCs w:val="20"/>
        </w:rPr>
        <w:t xml:space="preserve">evelser av nuvarande lönsamhet, däremot försämrades förväntningarna på framtida lönsamhet ytterligare något. </w:t>
      </w:r>
    </w:p>
    <w:p w:rsidR="00302D01" w:rsidRDefault="00302D01" w:rsidP="00597803">
      <w:pPr>
        <w:spacing w:after="120"/>
        <w:rPr>
          <w:rFonts w:ascii="Franklin Gothic Book" w:hAnsi="Franklin Gothic Book" w:cs="Verdana"/>
          <w:szCs w:val="20"/>
        </w:rPr>
      </w:pPr>
      <w:r>
        <w:rPr>
          <w:rFonts w:ascii="Franklin Gothic Book" w:hAnsi="Franklin Gothic Book" w:cs="Verdana"/>
          <w:szCs w:val="20"/>
        </w:rPr>
        <w:t xml:space="preserve">Företagsklimatet förbättrades i trädgårdsnäringen, </w:t>
      </w:r>
      <w:r w:rsidR="00F14879">
        <w:rPr>
          <w:rFonts w:ascii="Franklin Gothic Book" w:hAnsi="Franklin Gothic Book" w:cs="Verdana"/>
          <w:szCs w:val="20"/>
        </w:rPr>
        <w:t xml:space="preserve">för </w:t>
      </w:r>
      <w:r>
        <w:rPr>
          <w:rFonts w:ascii="Franklin Gothic Book" w:hAnsi="Franklin Gothic Book" w:cs="Verdana"/>
          <w:szCs w:val="20"/>
        </w:rPr>
        <w:t xml:space="preserve">såväl frilands- som för växthusodlare (de senare med en svag utgångspunkt), och fortsatte att förbättras bland fjäderfäproducenter. Framtidstron sjönk något bland växtodlare, mjölk- och griskköttsproducenter men kvarstannade </w:t>
      </w:r>
      <w:r w:rsidR="00A3092E">
        <w:rPr>
          <w:rFonts w:ascii="Franklin Gothic Book" w:hAnsi="Franklin Gothic Book" w:cs="Verdana"/>
          <w:szCs w:val="20"/>
        </w:rPr>
        <w:t xml:space="preserve">på relativt positiva nivåer. </w:t>
      </w:r>
    </w:p>
    <w:p w:rsidR="00A3092E" w:rsidRDefault="00A3092E" w:rsidP="00597803">
      <w:pPr>
        <w:spacing w:after="120"/>
        <w:rPr>
          <w:rFonts w:ascii="Franklin Gothic Book" w:hAnsi="Franklin Gothic Book" w:cs="Verdana"/>
          <w:szCs w:val="20"/>
        </w:rPr>
      </w:pPr>
      <w:r>
        <w:rPr>
          <w:rFonts w:ascii="Franklin Gothic Book" w:hAnsi="Franklin Gothic Book" w:cs="Verdana"/>
          <w:szCs w:val="20"/>
        </w:rPr>
        <w:t xml:space="preserve">Produktionskostnader, både tagna och förväntade, identifierades som mest lönsamhetsbegränsande av samtliga tillfrågade. Därtill klämdes växtodlare, trägårdsodlare, griskötts- och nötköttsproducenter av låga produktpriser. Mjölkproducenter kompenserade höga produktionskostnader med ökade volymer och </w:t>
      </w:r>
      <w:r w:rsidR="00F14879">
        <w:rPr>
          <w:rFonts w:ascii="Franklin Gothic Book" w:hAnsi="Franklin Gothic Book" w:cs="Verdana"/>
          <w:szCs w:val="20"/>
        </w:rPr>
        <w:t>bra</w:t>
      </w:r>
      <w:r>
        <w:rPr>
          <w:rFonts w:ascii="Franklin Gothic Book" w:hAnsi="Franklin Gothic Book" w:cs="Verdana"/>
          <w:szCs w:val="20"/>
        </w:rPr>
        <w:t xml:space="preserve"> mjölkpris men oroar sig för lägre framtida mjölkpris. </w:t>
      </w:r>
    </w:p>
    <w:p w:rsidR="00A3092E" w:rsidRDefault="00A3092E" w:rsidP="00597803">
      <w:pPr>
        <w:spacing w:after="120"/>
        <w:rPr>
          <w:rFonts w:ascii="Franklin Gothic Book" w:hAnsi="Franklin Gothic Book" w:cs="Verdana"/>
          <w:szCs w:val="20"/>
        </w:rPr>
      </w:pPr>
      <w:r>
        <w:rPr>
          <w:rFonts w:ascii="Franklin Gothic Book" w:hAnsi="Franklin Gothic Book" w:cs="Verdana"/>
          <w:szCs w:val="20"/>
        </w:rPr>
        <w:t>Politiska spänningar i östra Europa spred osäkerhet då</w:t>
      </w:r>
      <w:r w:rsidR="00F14879">
        <w:rPr>
          <w:rFonts w:ascii="Franklin Gothic Book" w:hAnsi="Franklin Gothic Book" w:cs="Verdana"/>
          <w:szCs w:val="20"/>
        </w:rPr>
        <w:t xml:space="preserve"> Nederländerna både importerar </w:t>
      </w:r>
      <w:r>
        <w:rPr>
          <w:rFonts w:ascii="Franklin Gothic Book" w:hAnsi="Franklin Gothic Book" w:cs="Verdana"/>
          <w:szCs w:val="20"/>
        </w:rPr>
        <w:t>majs o</w:t>
      </w:r>
      <w:r w:rsidR="00F14879">
        <w:rPr>
          <w:rFonts w:ascii="Franklin Gothic Book" w:hAnsi="Franklin Gothic Book" w:cs="Verdana"/>
          <w:szCs w:val="20"/>
        </w:rPr>
        <w:t xml:space="preserve">ch spannmål från och exporterar </w:t>
      </w:r>
      <w:r>
        <w:rPr>
          <w:rFonts w:ascii="Franklin Gothic Book" w:hAnsi="Franklin Gothic Book" w:cs="Verdana"/>
          <w:szCs w:val="20"/>
        </w:rPr>
        <w:t>t</w:t>
      </w:r>
      <w:r w:rsidR="00F14879">
        <w:rPr>
          <w:rFonts w:ascii="Franklin Gothic Book" w:hAnsi="Franklin Gothic Book" w:cs="Verdana"/>
          <w:szCs w:val="20"/>
        </w:rPr>
        <w:t>rädgårdsprodukter och animalier</w:t>
      </w:r>
      <w:r>
        <w:rPr>
          <w:rFonts w:ascii="Franklin Gothic Book" w:hAnsi="Franklin Gothic Book" w:cs="Verdana"/>
          <w:szCs w:val="20"/>
        </w:rPr>
        <w:t xml:space="preserve"> till den regionen.</w:t>
      </w:r>
    </w:p>
    <w:tbl>
      <w:tblPr>
        <w:tblW w:w="0" w:type="auto"/>
        <w:tblLook w:val="04A0" w:firstRow="1" w:lastRow="0" w:firstColumn="1" w:lastColumn="0" w:noHBand="0" w:noVBand="1"/>
      </w:tblPr>
      <w:tblGrid>
        <w:gridCol w:w="4670"/>
        <w:gridCol w:w="5327"/>
      </w:tblGrid>
      <w:tr w:rsidR="00597803" w:rsidRPr="006B70AF" w:rsidTr="00F34576">
        <w:tc>
          <w:tcPr>
            <w:tcW w:w="4670" w:type="dxa"/>
          </w:tcPr>
          <w:p w:rsidR="00597803" w:rsidRPr="006B70AF" w:rsidRDefault="00F34576" w:rsidP="00875E16">
            <w:pPr>
              <w:rPr>
                <w:rFonts w:ascii="Franklin Gothic Book" w:hAnsi="Franklin Gothic Book"/>
                <w:b/>
                <w:szCs w:val="21"/>
              </w:rPr>
            </w:pPr>
            <w:r w:rsidRPr="006B70AF">
              <w:rPr>
                <w:rFonts w:ascii="Franklin Gothic Book" w:hAnsi="Franklin Gothic Book"/>
                <w:b/>
                <w:szCs w:val="21"/>
              </w:rPr>
              <w:t xml:space="preserve">Diagram 7 </w:t>
            </w:r>
            <w:r w:rsidR="00A3092E">
              <w:rPr>
                <w:rFonts w:ascii="Franklin Gothic Book" w:hAnsi="Franklin Gothic Book"/>
                <w:b/>
                <w:szCs w:val="21"/>
              </w:rPr>
              <w:t>–</w:t>
            </w:r>
            <w:r w:rsidRPr="006B70AF">
              <w:rPr>
                <w:rFonts w:ascii="Franklin Gothic Book" w:hAnsi="Franklin Gothic Book"/>
                <w:b/>
                <w:szCs w:val="21"/>
              </w:rPr>
              <w:t xml:space="preserve"> Nederländerna</w:t>
            </w:r>
            <w:r w:rsidR="00A3092E">
              <w:rPr>
                <w:rFonts w:ascii="Franklin Gothic Book" w:hAnsi="Franklin Gothic Book"/>
                <w:b/>
                <w:szCs w:val="21"/>
              </w:rPr>
              <w:t xml:space="preserve"> </w:t>
            </w:r>
          </w:p>
        </w:tc>
        <w:tc>
          <w:tcPr>
            <w:tcW w:w="5327" w:type="dxa"/>
          </w:tcPr>
          <w:p w:rsidR="00597803" w:rsidRPr="006B70AF" w:rsidRDefault="00597803" w:rsidP="00875E16">
            <w:pPr>
              <w:rPr>
                <w:rFonts w:ascii="Franklin Gothic Book" w:hAnsi="Franklin Gothic Book"/>
                <w:b/>
                <w:szCs w:val="21"/>
              </w:rPr>
            </w:pPr>
          </w:p>
        </w:tc>
      </w:tr>
      <w:tr w:rsidR="00F34576" w:rsidRPr="006B70AF" w:rsidTr="00F34576">
        <w:tc>
          <w:tcPr>
            <w:tcW w:w="4670" w:type="dxa"/>
          </w:tcPr>
          <w:p w:rsidR="00F34576" w:rsidRPr="006B70AF" w:rsidRDefault="00F34576" w:rsidP="00875E16">
            <w:pPr>
              <w:jc w:val="center"/>
              <w:rPr>
                <w:rFonts w:ascii="Franklin Gothic Book" w:eastAsia="Times New Roman" w:hAnsi="Franklin Gothic Book" w:cs="Times New Roman"/>
                <w:kern w:val="4"/>
                <w:sz w:val="20"/>
                <w:szCs w:val="20"/>
                <w:lang w:eastAsia="de-DE"/>
              </w:rPr>
            </w:pPr>
            <w:r w:rsidRPr="006B70AF">
              <w:rPr>
                <w:rFonts w:ascii="Franklin Gothic Book" w:eastAsia="Times New Roman" w:hAnsi="Franklin Gothic Book" w:cs="Times New Roman"/>
                <w:kern w:val="4"/>
                <w:sz w:val="20"/>
                <w:szCs w:val="20"/>
                <w:lang w:eastAsia="de-DE"/>
              </w:rPr>
              <w:t>Gårdens ekonomiska situation</w:t>
            </w:r>
          </w:p>
        </w:tc>
        <w:tc>
          <w:tcPr>
            <w:tcW w:w="5327" w:type="dxa"/>
          </w:tcPr>
          <w:p w:rsidR="00F34576" w:rsidRPr="006B70AF" w:rsidRDefault="00F34576" w:rsidP="00875E16">
            <w:pPr>
              <w:jc w:val="center"/>
              <w:rPr>
                <w:rFonts w:ascii="Franklin Gothic Book" w:eastAsia="Times New Roman" w:hAnsi="Franklin Gothic Book" w:cs="Times New Roman"/>
                <w:kern w:val="4"/>
                <w:sz w:val="20"/>
                <w:szCs w:val="20"/>
                <w:lang w:eastAsia="de-DE"/>
              </w:rPr>
            </w:pPr>
            <w:r w:rsidRPr="006B70AF">
              <w:rPr>
                <w:rFonts w:ascii="Franklin Gothic Book" w:eastAsia="Times New Roman" w:hAnsi="Franklin Gothic Book" w:cs="Times New Roman"/>
                <w:kern w:val="4"/>
                <w:sz w:val="20"/>
                <w:szCs w:val="20"/>
                <w:lang w:eastAsia="de-DE"/>
              </w:rPr>
              <w:t>Nationellt lönsamhetsindex</w:t>
            </w:r>
          </w:p>
        </w:tc>
      </w:tr>
      <w:tr w:rsidR="00597803" w:rsidRPr="006B70AF" w:rsidTr="00F34576">
        <w:tblPrEx>
          <w:tblCellMar>
            <w:left w:w="70" w:type="dxa"/>
            <w:right w:w="70" w:type="dxa"/>
          </w:tblCellMar>
        </w:tblPrEx>
        <w:tc>
          <w:tcPr>
            <w:tcW w:w="4670" w:type="dxa"/>
          </w:tcPr>
          <w:p w:rsidR="00597803" w:rsidRPr="006B70AF" w:rsidRDefault="00597803" w:rsidP="00875E16">
            <w:pPr>
              <w:rPr>
                <w:rFonts w:ascii="Franklin Gothic Book" w:hAnsi="Franklin Gothic Book"/>
                <w:b/>
                <w:szCs w:val="21"/>
              </w:rPr>
            </w:pPr>
            <w:r w:rsidRPr="006B70AF">
              <w:rPr>
                <w:rFonts w:ascii="Franklin Gothic Book" w:hAnsi="Franklin Gothic Book"/>
                <w:noProof/>
                <w:lang w:eastAsia="sv-SE"/>
              </w:rPr>
              <w:drawing>
                <wp:inline distT="0" distB="0" distL="0" distR="0" wp14:anchorId="1AE82C82" wp14:editId="58003138">
                  <wp:extent cx="2875280" cy="1721485"/>
                  <wp:effectExtent l="0" t="0" r="1270" b="0"/>
                  <wp:docPr id="293" name="Diagram 29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5327" w:type="dxa"/>
          </w:tcPr>
          <w:p w:rsidR="00597803" w:rsidRPr="006B70AF" w:rsidRDefault="00597803" w:rsidP="00875E16">
            <w:pPr>
              <w:rPr>
                <w:rFonts w:ascii="Franklin Gothic Book" w:hAnsi="Franklin Gothic Book"/>
                <w:b/>
                <w:szCs w:val="21"/>
              </w:rPr>
            </w:pPr>
            <w:r w:rsidRPr="006B70AF">
              <w:rPr>
                <w:rFonts w:ascii="Franklin Gothic Book" w:hAnsi="Franklin Gothic Book"/>
                <w:noProof/>
                <w:lang w:eastAsia="sv-SE"/>
              </w:rPr>
              <w:drawing>
                <wp:inline distT="0" distB="0" distL="0" distR="0" wp14:anchorId="1A6D21D0" wp14:editId="67B6F4B0">
                  <wp:extent cx="2875280" cy="1721485"/>
                  <wp:effectExtent l="0" t="0" r="1270" b="0"/>
                  <wp:docPr id="292" name="Diagram 2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597803" w:rsidRPr="006B70AF" w:rsidTr="00F34576">
        <w:tc>
          <w:tcPr>
            <w:tcW w:w="4670" w:type="dxa"/>
          </w:tcPr>
          <w:p w:rsidR="00597803" w:rsidRPr="006B70AF" w:rsidRDefault="00F34576" w:rsidP="00875E16">
            <w:pPr>
              <w:spacing w:after="120"/>
              <w:rPr>
                <w:rFonts w:ascii="Franklin Gothic Book" w:hAnsi="Franklin Gothic Book"/>
                <w:szCs w:val="21"/>
              </w:rPr>
            </w:pPr>
            <w:r w:rsidRPr="006B70AF">
              <w:rPr>
                <w:rFonts w:ascii="Franklin Gothic Book" w:eastAsia="Times New Roman" w:hAnsi="Franklin Gothic Book" w:cs="Times New Roman"/>
                <w:kern w:val="4"/>
                <w:sz w:val="20"/>
                <w:szCs w:val="20"/>
                <w:lang w:eastAsia="de-DE"/>
              </w:rPr>
              <w:t>Copa-Cogecas bearbetning av nationell data</w:t>
            </w:r>
          </w:p>
        </w:tc>
        <w:tc>
          <w:tcPr>
            <w:tcW w:w="5327" w:type="dxa"/>
          </w:tcPr>
          <w:p w:rsidR="00597803" w:rsidRPr="006B70AF" w:rsidRDefault="00597803" w:rsidP="00875E16">
            <w:pPr>
              <w:spacing w:after="120"/>
              <w:rPr>
                <w:rFonts w:ascii="Franklin Gothic Book" w:hAnsi="Franklin Gothic Book"/>
                <w:b/>
                <w:szCs w:val="21"/>
              </w:rPr>
            </w:pPr>
          </w:p>
        </w:tc>
      </w:tr>
    </w:tbl>
    <w:p w:rsidR="00597803" w:rsidRDefault="00597803" w:rsidP="00597803">
      <w:pPr>
        <w:spacing w:after="120"/>
        <w:rPr>
          <w:rFonts w:ascii="Franklin Gothic Book" w:hAnsi="Franklin Gothic Book"/>
          <w:szCs w:val="21"/>
        </w:rPr>
      </w:pPr>
    </w:p>
    <w:p w:rsidR="00F14879" w:rsidRDefault="00F14879" w:rsidP="00597803">
      <w:pPr>
        <w:spacing w:after="120"/>
        <w:rPr>
          <w:rFonts w:ascii="Franklin Gothic Book" w:hAnsi="Franklin Gothic Book"/>
          <w:b/>
          <w:szCs w:val="21"/>
        </w:rPr>
      </w:pPr>
      <w:r w:rsidRPr="006B70AF">
        <w:rPr>
          <w:rFonts w:ascii="Franklin Gothic Book" w:hAnsi="Franklin Gothic Book"/>
          <w:b/>
          <w:szCs w:val="21"/>
        </w:rPr>
        <w:t>Belgien (Flandern)</w:t>
      </w:r>
      <w:r>
        <w:rPr>
          <w:rFonts w:ascii="Franklin Gothic Book" w:hAnsi="Franklin Gothic Book"/>
          <w:b/>
          <w:szCs w:val="21"/>
        </w:rPr>
        <w:t xml:space="preserve"> </w:t>
      </w:r>
    </w:p>
    <w:p w:rsidR="00B91B9D" w:rsidRPr="006B70AF" w:rsidRDefault="00B91B9D" w:rsidP="00597803">
      <w:pPr>
        <w:spacing w:after="120"/>
        <w:rPr>
          <w:rFonts w:ascii="Franklin Gothic Book" w:hAnsi="Franklin Gothic Book"/>
          <w:szCs w:val="21"/>
        </w:rPr>
      </w:pPr>
      <w:r>
        <w:rPr>
          <w:rFonts w:ascii="Franklin Gothic Book" w:hAnsi="Franklin Gothic Book"/>
          <w:szCs w:val="21"/>
        </w:rPr>
        <w:t xml:space="preserve">Lönsamhetsuppfattningen försvagades i Belgien och lönsamhetsindex nådde låga, om än positiva, nivåer. Detta efter två år eller fyra undersökningsomgångar med positiv utveckling. </w:t>
      </w:r>
    </w:p>
    <w:p w:rsidR="00F14879" w:rsidRDefault="00B91B9D" w:rsidP="00597803">
      <w:pPr>
        <w:spacing w:after="120"/>
        <w:rPr>
          <w:rFonts w:ascii="Franklin Gothic Book" w:hAnsi="Franklin Gothic Book"/>
          <w:szCs w:val="21"/>
        </w:rPr>
      </w:pPr>
      <w:r>
        <w:rPr>
          <w:rFonts w:ascii="Franklin Gothic Book" w:hAnsi="Franklin Gothic Book"/>
          <w:szCs w:val="21"/>
        </w:rPr>
        <w:t>Sektorsvisa lönsamhetsindikatorer visar att pessimismen utbredde sig i alla produktionsinriktningar utom mjölkprod</w:t>
      </w:r>
      <w:r w:rsidR="00F14879">
        <w:rPr>
          <w:rFonts w:ascii="Franklin Gothic Book" w:hAnsi="Franklin Gothic Book"/>
          <w:szCs w:val="21"/>
        </w:rPr>
        <w:t>uktionen</w:t>
      </w:r>
      <w:r>
        <w:rPr>
          <w:rFonts w:ascii="Franklin Gothic Book" w:hAnsi="Franklin Gothic Book"/>
          <w:szCs w:val="21"/>
        </w:rPr>
        <w:t xml:space="preserve">, vars optimism inte desto mindre avtagit något på grund av förväntade mjölkprissänkningar. </w:t>
      </w:r>
      <w:r w:rsidR="00F14879">
        <w:rPr>
          <w:rFonts w:ascii="Franklin Gothic Book" w:hAnsi="Franklin Gothic Book"/>
          <w:szCs w:val="21"/>
        </w:rPr>
        <w:t>V</w:t>
      </w:r>
      <w:r w:rsidR="00280BC1">
        <w:rPr>
          <w:rFonts w:ascii="Franklin Gothic Book" w:hAnsi="Franklin Gothic Book"/>
          <w:szCs w:val="21"/>
        </w:rPr>
        <w:t xml:space="preserve">äxtodlare och växthusodlare hade nästan lika negativ syn på sin lönsamhet som sex månader tidigare. Nötkötts- och grisköttsföretagare bytte från en ganska optimistisk inställning till en i huvudsak negativ sådan. Fruktodlare och frilandsodlare åtnjöt gynnsam väderlek men oroade sig för sämre väder de kommande månaderna. </w:t>
      </w:r>
    </w:p>
    <w:p w:rsidR="00280BC1" w:rsidRDefault="00280BC1" w:rsidP="00597803">
      <w:pPr>
        <w:spacing w:after="120"/>
        <w:rPr>
          <w:rFonts w:ascii="Franklin Gothic Book" w:hAnsi="Franklin Gothic Book"/>
          <w:szCs w:val="21"/>
        </w:rPr>
      </w:pPr>
      <w:r>
        <w:rPr>
          <w:rFonts w:ascii="Franklin Gothic Book" w:hAnsi="Franklin Gothic Book"/>
          <w:szCs w:val="21"/>
        </w:rPr>
        <w:t xml:space="preserve">Försämrade handelsrelationer med Ryssland har en direkt negativ påverkan på grisköttsföretagens lönsamhet, och indirekt även en negativ påverkan på fruktodlares lönsamhet. Sviterna av den ekonomiska krisen </w:t>
      </w:r>
      <w:r w:rsidR="0057486E">
        <w:rPr>
          <w:rFonts w:ascii="Franklin Gothic Book" w:hAnsi="Franklin Gothic Book"/>
          <w:szCs w:val="21"/>
        </w:rPr>
        <w:t xml:space="preserve">påverkade fortfarande blomsterodlare som var fortsatt pessimistiska, om än något mindre än i höstas. </w:t>
      </w:r>
    </w:p>
    <w:p w:rsidR="00597803" w:rsidRPr="0057486E" w:rsidRDefault="0057486E" w:rsidP="00597803">
      <w:pPr>
        <w:spacing w:after="120"/>
        <w:rPr>
          <w:rFonts w:ascii="Franklin Gothic Book" w:hAnsi="Franklin Gothic Book"/>
          <w:szCs w:val="21"/>
        </w:rPr>
      </w:pPr>
      <w:r>
        <w:rPr>
          <w:rFonts w:ascii="Franklin Gothic Book" w:hAnsi="Franklin Gothic Book"/>
          <w:szCs w:val="21"/>
        </w:rPr>
        <w:t xml:space="preserve">På frågan om företagen mött några svårigheter i sitt företagande svarade 23 % av de intervjuade lantbrukarna att de inte stött på några särskilda komplikationer alls. Bland resterande var politiska restriktioner den vanligast nämnda svårigheten. </w:t>
      </w:r>
    </w:p>
    <w:p w:rsidR="0057486E" w:rsidRDefault="0057486E">
      <w:r>
        <w:br w:type="page"/>
      </w:r>
    </w:p>
    <w:tbl>
      <w:tblPr>
        <w:tblW w:w="0" w:type="auto"/>
        <w:tblLook w:val="04A0" w:firstRow="1" w:lastRow="0" w:firstColumn="1" w:lastColumn="0" w:noHBand="0" w:noVBand="1"/>
      </w:tblPr>
      <w:tblGrid>
        <w:gridCol w:w="4645"/>
        <w:gridCol w:w="4655"/>
      </w:tblGrid>
      <w:tr w:rsidR="00597803" w:rsidRPr="006B70AF" w:rsidTr="00597803">
        <w:tc>
          <w:tcPr>
            <w:tcW w:w="4645" w:type="dxa"/>
          </w:tcPr>
          <w:p w:rsidR="00597803" w:rsidRPr="006B70AF" w:rsidRDefault="00597803" w:rsidP="00875E16">
            <w:pPr>
              <w:rPr>
                <w:rFonts w:ascii="Franklin Gothic Book" w:hAnsi="Franklin Gothic Book"/>
                <w:b/>
                <w:szCs w:val="21"/>
              </w:rPr>
            </w:pPr>
          </w:p>
          <w:p w:rsidR="00597803" w:rsidRPr="006B70AF" w:rsidRDefault="00F34576" w:rsidP="00875E16">
            <w:pPr>
              <w:rPr>
                <w:rFonts w:ascii="Franklin Gothic Book" w:hAnsi="Franklin Gothic Book"/>
                <w:b/>
                <w:szCs w:val="21"/>
              </w:rPr>
            </w:pPr>
            <w:r w:rsidRPr="006B70AF">
              <w:rPr>
                <w:rFonts w:ascii="Franklin Gothic Book" w:hAnsi="Franklin Gothic Book"/>
                <w:b/>
                <w:szCs w:val="21"/>
              </w:rPr>
              <w:t>Diagram 9 – Belgien (Flandern)</w:t>
            </w:r>
          </w:p>
        </w:tc>
        <w:tc>
          <w:tcPr>
            <w:tcW w:w="4655" w:type="dxa"/>
          </w:tcPr>
          <w:p w:rsidR="00597803" w:rsidRPr="006B70AF" w:rsidRDefault="00597803" w:rsidP="00875E16">
            <w:pPr>
              <w:rPr>
                <w:rFonts w:ascii="Franklin Gothic Book" w:hAnsi="Franklin Gothic Book"/>
                <w:b/>
                <w:szCs w:val="21"/>
              </w:rPr>
            </w:pPr>
          </w:p>
        </w:tc>
      </w:tr>
      <w:tr w:rsidR="00F34576" w:rsidRPr="006B70AF" w:rsidTr="00597803">
        <w:tc>
          <w:tcPr>
            <w:tcW w:w="4645" w:type="dxa"/>
          </w:tcPr>
          <w:p w:rsidR="00F34576" w:rsidRPr="006B70AF" w:rsidRDefault="00F34576" w:rsidP="00875E16">
            <w:pPr>
              <w:jc w:val="center"/>
              <w:rPr>
                <w:rFonts w:ascii="Franklin Gothic Book" w:eastAsia="Times New Roman" w:hAnsi="Franklin Gothic Book" w:cs="Times New Roman"/>
                <w:kern w:val="4"/>
                <w:sz w:val="20"/>
                <w:szCs w:val="20"/>
                <w:lang w:eastAsia="de-DE"/>
              </w:rPr>
            </w:pPr>
            <w:r w:rsidRPr="006B70AF">
              <w:rPr>
                <w:rFonts w:ascii="Franklin Gothic Book" w:eastAsia="Times New Roman" w:hAnsi="Franklin Gothic Book" w:cs="Times New Roman"/>
                <w:kern w:val="4"/>
                <w:sz w:val="20"/>
                <w:szCs w:val="20"/>
                <w:lang w:eastAsia="de-DE"/>
              </w:rPr>
              <w:t>Gårdens ekonomiska situation</w:t>
            </w:r>
          </w:p>
        </w:tc>
        <w:tc>
          <w:tcPr>
            <w:tcW w:w="4655" w:type="dxa"/>
          </w:tcPr>
          <w:p w:rsidR="00F34576" w:rsidRPr="006B70AF" w:rsidRDefault="00F34576" w:rsidP="00875E16">
            <w:pPr>
              <w:jc w:val="center"/>
              <w:rPr>
                <w:rFonts w:ascii="Franklin Gothic Book" w:eastAsia="Times New Roman" w:hAnsi="Franklin Gothic Book" w:cs="Times New Roman"/>
                <w:kern w:val="4"/>
                <w:sz w:val="20"/>
                <w:szCs w:val="20"/>
                <w:lang w:eastAsia="de-DE"/>
              </w:rPr>
            </w:pPr>
            <w:r w:rsidRPr="006B70AF">
              <w:rPr>
                <w:rFonts w:ascii="Franklin Gothic Book" w:eastAsia="Times New Roman" w:hAnsi="Franklin Gothic Book" w:cs="Times New Roman"/>
                <w:kern w:val="4"/>
                <w:sz w:val="20"/>
                <w:szCs w:val="20"/>
                <w:lang w:eastAsia="de-DE"/>
              </w:rPr>
              <w:t>Nationellt lönsamhetsindex</w:t>
            </w:r>
          </w:p>
        </w:tc>
      </w:tr>
      <w:tr w:rsidR="00597803" w:rsidRPr="006B70AF" w:rsidTr="00597803">
        <w:tblPrEx>
          <w:tblCellMar>
            <w:left w:w="70" w:type="dxa"/>
            <w:right w:w="70" w:type="dxa"/>
          </w:tblCellMar>
        </w:tblPrEx>
        <w:tc>
          <w:tcPr>
            <w:tcW w:w="4645" w:type="dxa"/>
          </w:tcPr>
          <w:p w:rsidR="00597803" w:rsidRPr="006B70AF" w:rsidRDefault="00597803" w:rsidP="00875E16">
            <w:pPr>
              <w:rPr>
                <w:rFonts w:ascii="Franklin Gothic Book" w:hAnsi="Franklin Gothic Book"/>
                <w:b/>
                <w:szCs w:val="21"/>
              </w:rPr>
            </w:pPr>
            <w:r w:rsidRPr="006B70AF">
              <w:rPr>
                <w:rFonts w:ascii="Franklin Gothic Book" w:hAnsi="Franklin Gothic Book"/>
                <w:noProof/>
                <w:lang w:eastAsia="sv-SE"/>
              </w:rPr>
              <w:drawing>
                <wp:inline distT="0" distB="0" distL="0" distR="0" wp14:anchorId="3DC0792F" wp14:editId="1BF5E36F">
                  <wp:extent cx="2860675" cy="1721485"/>
                  <wp:effectExtent l="0" t="0" r="0" b="0"/>
                  <wp:docPr id="291" name="Diagram 2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655" w:type="dxa"/>
          </w:tcPr>
          <w:p w:rsidR="00597803" w:rsidRPr="006B70AF" w:rsidRDefault="00597803" w:rsidP="00875E16">
            <w:pPr>
              <w:rPr>
                <w:rFonts w:ascii="Franklin Gothic Book" w:hAnsi="Franklin Gothic Book"/>
                <w:b/>
                <w:szCs w:val="21"/>
              </w:rPr>
            </w:pPr>
            <w:r w:rsidRPr="006B70AF">
              <w:rPr>
                <w:rFonts w:ascii="Franklin Gothic Book" w:hAnsi="Franklin Gothic Book"/>
                <w:noProof/>
                <w:lang w:eastAsia="sv-SE"/>
              </w:rPr>
              <w:drawing>
                <wp:inline distT="0" distB="0" distL="0" distR="0" wp14:anchorId="4322C741" wp14:editId="2842EFB7">
                  <wp:extent cx="2867025" cy="1729740"/>
                  <wp:effectExtent l="0" t="0" r="0" b="3810"/>
                  <wp:docPr id="290" name="Diagram 2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597803" w:rsidRPr="006B70AF" w:rsidTr="00597803">
        <w:tc>
          <w:tcPr>
            <w:tcW w:w="4645" w:type="dxa"/>
          </w:tcPr>
          <w:p w:rsidR="00597803" w:rsidRPr="006B70AF" w:rsidRDefault="00F34576" w:rsidP="00875E16">
            <w:pPr>
              <w:spacing w:after="120"/>
              <w:rPr>
                <w:rFonts w:ascii="Franklin Gothic Book" w:hAnsi="Franklin Gothic Book"/>
                <w:szCs w:val="21"/>
              </w:rPr>
            </w:pPr>
            <w:r w:rsidRPr="006B70AF">
              <w:rPr>
                <w:rFonts w:ascii="Franklin Gothic Book" w:eastAsia="Times New Roman" w:hAnsi="Franklin Gothic Book" w:cs="Times New Roman"/>
                <w:kern w:val="4"/>
                <w:sz w:val="20"/>
                <w:szCs w:val="20"/>
                <w:lang w:eastAsia="de-DE"/>
              </w:rPr>
              <w:t>Copa-Cogecas bearbetning av nationell data</w:t>
            </w:r>
          </w:p>
        </w:tc>
        <w:tc>
          <w:tcPr>
            <w:tcW w:w="4655" w:type="dxa"/>
          </w:tcPr>
          <w:p w:rsidR="00597803" w:rsidRPr="006B70AF" w:rsidRDefault="00597803" w:rsidP="00875E16">
            <w:pPr>
              <w:spacing w:after="120"/>
              <w:rPr>
                <w:rFonts w:ascii="Franklin Gothic Book" w:hAnsi="Franklin Gothic Book"/>
                <w:b/>
                <w:szCs w:val="21"/>
              </w:rPr>
            </w:pPr>
          </w:p>
        </w:tc>
      </w:tr>
    </w:tbl>
    <w:p w:rsidR="00597803" w:rsidRDefault="00597803" w:rsidP="00597803">
      <w:pPr>
        <w:spacing w:after="120"/>
        <w:rPr>
          <w:rFonts w:ascii="Franklin Gothic Book" w:hAnsi="Franklin Gothic Book"/>
          <w:szCs w:val="21"/>
        </w:rPr>
      </w:pPr>
    </w:p>
    <w:p w:rsidR="00F14879" w:rsidRDefault="00F14879" w:rsidP="00597803">
      <w:pPr>
        <w:spacing w:after="120"/>
        <w:rPr>
          <w:rFonts w:ascii="Franklin Gothic Book" w:hAnsi="Franklin Gothic Book"/>
          <w:b/>
          <w:szCs w:val="21"/>
        </w:rPr>
      </w:pPr>
      <w:r w:rsidRPr="006B70AF">
        <w:rPr>
          <w:rFonts w:ascii="Franklin Gothic Book" w:hAnsi="Franklin Gothic Book"/>
          <w:b/>
          <w:szCs w:val="21"/>
        </w:rPr>
        <w:t xml:space="preserve">Polen </w:t>
      </w:r>
    </w:p>
    <w:p w:rsidR="002F5866" w:rsidRDefault="0057486E" w:rsidP="00597803">
      <w:pPr>
        <w:spacing w:after="120"/>
        <w:rPr>
          <w:rFonts w:ascii="Franklin Gothic Book" w:hAnsi="Franklin Gothic Book"/>
          <w:szCs w:val="21"/>
        </w:rPr>
      </w:pPr>
      <w:r>
        <w:rPr>
          <w:rFonts w:ascii="Franklin Gothic Book" w:hAnsi="Franklin Gothic Book"/>
          <w:szCs w:val="21"/>
        </w:rPr>
        <w:t xml:space="preserve">I Polen fortsatte lönsamhetsindex att sjunka första kvartalet 2014, som en konsekvens av den förhärskande dystra synen på framtida lönsamhet bland lantbrukarna, trots en liten återhämtning av den upplevda samtida lönsamheten. </w:t>
      </w:r>
    </w:p>
    <w:p w:rsidR="0057486E" w:rsidRDefault="002F5866" w:rsidP="00597803">
      <w:pPr>
        <w:spacing w:after="120"/>
        <w:rPr>
          <w:rFonts w:ascii="Franklin Gothic Book" w:hAnsi="Franklin Gothic Book"/>
          <w:szCs w:val="21"/>
        </w:rPr>
      </w:pPr>
      <w:r>
        <w:rPr>
          <w:rFonts w:ascii="Franklin Gothic Book" w:hAnsi="Franklin Gothic Book"/>
          <w:szCs w:val="21"/>
        </w:rPr>
        <w:t xml:space="preserve">Samtidigt som växtodlare, nötkötts- och mjölkföretagare upplevde sin nuvarande situation bättre än i September 2013 upplevde griskötts- och fjäderfäföretagare att det ekonomiska läget försämrats. Produktprisutvecklingen gav upphov till dessa olika värderingar av ekonomin. Trots att kostnaderna för insatsvaror fortfarande verkade pressande för lönsamheten hade detta negativa tryck minskat. </w:t>
      </w:r>
      <w:r w:rsidR="0036257C">
        <w:rPr>
          <w:rFonts w:ascii="Franklin Gothic Book" w:hAnsi="Franklin Gothic Book"/>
          <w:szCs w:val="21"/>
        </w:rPr>
        <w:t xml:space="preserve">Däremot ansågs tillgången på krediter, ränteläget, stödnivåer och växelkursen gynna lönsamheten. </w:t>
      </w:r>
      <w:r>
        <w:rPr>
          <w:rFonts w:ascii="Franklin Gothic Book" w:hAnsi="Franklin Gothic Book"/>
          <w:szCs w:val="21"/>
        </w:rPr>
        <w:t xml:space="preserve"> </w:t>
      </w:r>
      <w:r w:rsidR="0057486E">
        <w:rPr>
          <w:rFonts w:ascii="Franklin Gothic Book" w:hAnsi="Franklin Gothic Book"/>
          <w:szCs w:val="21"/>
        </w:rPr>
        <w:t xml:space="preserve"> </w:t>
      </w:r>
    </w:p>
    <w:p w:rsidR="0036257C" w:rsidRPr="006B70AF" w:rsidRDefault="00926183" w:rsidP="00597803">
      <w:pPr>
        <w:spacing w:after="120"/>
        <w:rPr>
          <w:rFonts w:ascii="Franklin Gothic Book" w:hAnsi="Franklin Gothic Book"/>
          <w:szCs w:val="21"/>
        </w:rPr>
      </w:pPr>
      <w:r>
        <w:rPr>
          <w:rFonts w:ascii="Franklin Gothic Book" w:hAnsi="Franklin Gothic Book"/>
          <w:szCs w:val="21"/>
        </w:rPr>
        <w:t>Med blicken mot framtida lönsamhet</w:t>
      </w:r>
      <w:r w:rsidR="0036257C">
        <w:rPr>
          <w:rFonts w:ascii="Franklin Gothic Book" w:hAnsi="Franklin Gothic Book"/>
          <w:szCs w:val="21"/>
        </w:rPr>
        <w:t xml:space="preserve"> </w:t>
      </w:r>
      <w:r>
        <w:rPr>
          <w:rFonts w:ascii="Franklin Gothic Book" w:hAnsi="Franklin Gothic Book"/>
          <w:szCs w:val="21"/>
        </w:rPr>
        <w:t xml:space="preserve">var alla produktionsinriktningar, växtodlare i synnerhet, mer oroade än för sex månader sedan då produktpriserna förväntades sjunka. Exportförbudet till Ryssland och krisen i Ukraina nämndes bland orsakerna till de dystrare framtidsutsikterna. De som trots allt såg ljust på framtiden nämnde högre produktivitet, ny teknologi och nya maskiner som huvudorsaker. </w:t>
      </w:r>
    </w:p>
    <w:tbl>
      <w:tblPr>
        <w:tblW w:w="0" w:type="auto"/>
        <w:tblLook w:val="04A0" w:firstRow="1" w:lastRow="0" w:firstColumn="1" w:lastColumn="0" w:noHBand="0" w:noVBand="1"/>
      </w:tblPr>
      <w:tblGrid>
        <w:gridCol w:w="4655"/>
        <w:gridCol w:w="4655"/>
      </w:tblGrid>
      <w:tr w:rsidR="00597803" w:rsidRPr="006B70AF" w:rsidTr="00F34576">
        <w:tc>
          <w:tcPr>
            <w:tcW w:w="4655" w:type="dxa"/>
          </w:tcPr>
          <w:p w:rsidR="00597803" w:rsidRPr="006B70AF" w:rsidRDefault="00F34576" w:rsidP="00875E16">
            <w:pPr>
              <w:rPr>
                <w:rFonts w:ascii="Franklin Gothic Book" w:hAnsi="Franklin Gothic Book"/>
                <w:b/>
                <w:szCs w:val="21"/>
              </w:rPr>
            </w:pPr>
            <w:r w:rsidRPr="006B70AF">
              <w:rPr>
                <w:rFonts w:ascii="Franklin Gothic Book" w:hAnsi="Franklin Gothic Book"/>
                <w:b/>
                <w:szCs w:val="21"/>
              </w:rPr>
              <w:t xml:space="preserve">Diagram 10 – Polen </w:t>
            </w:r>
          </w:p>
        </w:tc>
        <w:tc>
          <w:tcPr>
            <w:tcW w:w="4655" w:type="dxa"/>
          </w:tcPr>
          <w:p w:rsidR="00597803" w:rsidRPr="006B70AF" w:rsidRDefault="00597803" w:rsidP="00875E16">
            <w:pPr>
              <w:rPr>
                <w:rFonts w:ascii="Franklin Gothic Book" w:hAnsi="Franklin Gothic Book"/>
                <w:b/>
                <w:szCs w:val="21"/>
              </w:rPr>
            </w:pPr>
          </w:p>
        </w:tc>
      </w:tr>
      <w:tr w:rsidR="00F34576" w:rsidRPr="006B70AF" w:rsidTr="00F34576">
        <w:tc>
          <w:tcPr>
            <w:tcW w:w="4655" w:type="dxa"/>
          </w:tcPr>
          <w:p w:rsidR="00F34576" w:rsidRPr="006B70AF" w:rsidRDefault="00F34576" w:rsidP="00875E16">
            <w:pPr>
              <w:jc w:val="center"/>
              <w:rPr>
                <w:rFonts w:ascii="Franklin Gothic Book" w:eastAsia="Times New Roman" w:hAnsi="Franklin Gothic Book" w:cs="Times New Roman"/>
                <w:kern w:val="4"/>
                <w:sz w:val="20"/>
                <w:szCs w:val="20"/>
                <w:lang w:eastAsia="de-DE"/>
              </w:rPr>
            </w:pPr>
            <w:r w:rsidRPr="006B70AF">
              <w:rPr>
                <w:rFonts w:ascii="Franklin Gothic Book" w:eastAsia="Times New Roman" w:hAnsi="Franklin Gothic Book" w:cs="Times New Roman"/>
                <w:kern w:val="4"/>
                <w:sz w:val="20"/>
                <w:szCs w:val="20"/>
                <w:lang w:eastAsia="de-DE"/>
              </w:rPr>
              <w:t>Gårdens ekonomiska situation</w:t>
            </w:r>
          </w:p>
        </w:tc>
        <w:tc>
          <w:tcPr>
            <w:tcW w:w="4655" w:type="dxa"/>
          </w:tcPr>
          <w:p w:rsidR="00F34576" w:rsidRPr="006B70AF" w:rsidRDefault="00F34576" w:rsidP="00875E16">
            <w:pPr>
              <w:jc w:val="center"/>
              <w:rPr>
                <w:rFonts w:ascii="Franklin Gothic Book" w:eastAsia="Times New Roman" w:hAnsi="Franklin Gothic Book" w:cs="Times New Roman"/>
                <w:kern w:val="4"/>
                <w:sz w:val="20"/>
                <w:szCs w:val="20"/>
                <w:lang w:eastAsia="de-DE"/>
              </w:rPr>
            </w:pPr>
            <w:r w:rsidRPr="006B70AF">
              <w:rPr>
                <w:rFonts w:ascii="Franklin Gothic Book" w:eastAsia="Times New Roman" w:hAnsi="Franklin Gothic Book" w:cs="Times New Roman"/>
                <w:kern w:val="4"/>
                <w:sz w:val="20"/>
                <w:szCs w:val="20"/>
                <w:lang w:eastAsia="de-DE"/>
              </w:rPr>
              <w:t>Nationellt lönsamhetsindex</w:t>
            </w:r>
          </w:p>
        </w:tc>
      </w:tr>
      <w:tr w:rsidR="00597803" w:rsidRPr="006B70AF" w:rsidTr="00F34576">
        <w:tblPrEx>
          <w:tblCellMar>
            <w:left w:w="70" w:type="dxa"/>
            <w:right w:w="70" w:type="dxa"/>
          </w:tblCellMar>
        </w:tblPrEx>
        <w:tc>
          <w:tcPr>
            <w:tcW w:w="4655" w:type="dxa"/>
          </w:tcPr>
          <w:p w:rsidR="00597803" w:rsidRPr="006B70AF" w:rsidRDefault="00597803" w:rsidP="00875E16">
            <w:pPr>
              <w:rPr>
                <w:rFonts w:ascii="Franklin Gothic Book" w:hAnsi="Franklin Gothic Book"/>
                <w:b/>
                <w:szCs w:val="21"/>
              </w:rPr>
            </w:pPr>
            <w:r w:rsidRPr="006B70AF">
              <w:rPr>
                <w:rFonts w:ascii="Franklin Gothic Book" w:hAnsi="Franklin Gothic Book"/>
                <w:noProof/>
                <w:lang w:eastAsia="sv-SE"/>
              </w:rPr>
              <w:drawing>
                <wp:inline distT="0" distB="0" distL="0" distR="0" wp14:anchorId="19B4F6C3" wp14:editId="4E6B4991">
                  <wp:extent cx="2867025" cy="1729740"/>
                  <wp:effectExtent l="0" t="0" r="0" b="3810"/>
                  <wp:docPr id="289" name="Diagram 28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655" w:type="dxa"/>
          </w:tcPr>
          <w:p w:rsidR="00597803" w:rsidRPr="006B70AF" w:rsidRDefault="00597803" w:rsidP="00875E16">
            <w:pPr>
              <w:rPr>
                <w:rFonts w:ascii="Franklin Gothic Book" w:hAnsi="Franklin Gothic Book"/>
                <w:b/>
                <w:szCs w:val="21"/>
              </w:rPr>
            </w:pPr>
            <w:r w:rsidRPr="006B70AF">
              <w:rPr>
                <w:rFonts w:ascii="Franklin Gothic Book" w:hAnsi="Franklin Gothic Book"/>
                <w:noProof/>
                <w:lang w:eastAsia="sv-SE"/>
              </w:rPr>
              <w:drawing>
                <wp:inline distT="0" distB="0" distL="0" distR="0" wp14:anchorId="04F21865" wp14:editId="569E9090">
                  <wp:extent cx="2867025" cy="1729740"/>
                  <wp:effectExtent l="0" t="0" r="0" b="3810"/>
                  <wp:docPr id="288" name="Diagram 2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97803" w:rsidRPr="006B70AF" w:rsidTr="00F34576">
        <w:tc>
          <w:tcPr>
            <w:tcW w:w="4655" w:type="dxa"/>
          </w:tcPr>
          <w:p w:rsidR="00597803" w:rsidRPr="006B70AF" w:rsidRDefault="00F34576" w:rsidP="00875E16">
            <w:pPr>
              <w:spacing w:after="120"/>
              <w:rPr>
                <w:rFonts w:ascii="Franklin Gothic Book" w:hAnsi="Franklin Gothic Book"/>
                <w:szCs w:val="21"/>
              </w:rPr>
            </w:pPr>
            <w:r w:rsidRPr="006B70AF">
              <w:rPr>
                <w:rFonts w:ascii="Franklin Gothic Book" w:eastAsia="Times New Roman" w:hAnsi="Franklin Gothic Book" w:cs="Times New Roman"/>
                <w:kern w:val="4"/>
                <w:sz w:val="20"/>
                <w:szCs w:val="20"/>
                <w:lang w:eastAsia="de-DE"/>
              </w:rPr>
              <w:t>Copa-Cogecas bearbetning av nationell data</w:t>
            </w:r>
          </w:p>
        </w:tc>
        <w:tc>
          <w:tcPr>
            <w:tcW w:w="4655" w:type="dxa"/>
          </w:tcPr>
          <w:p w:rsidR="00597803" w:rsidRPr="006B70AF" w:rsidRDefault="00597803" w:rsidP="00875E16">
            <w:pPr>
              <w:spacing w:after="120"/>
              <w:rPr>
                <w:rFonts w:ascii="Franklin Gothic Book" w:hAnsi="Franklin Gothic Book"/>
                <w:b/>
                <w:szCs w:val="21"/>
              </w:rPr>
            </w:pPr>
          </w:p>
        </w:tc>
      </w:tr>
    </w:tbl>
    <w:p w:rsidR="00926183" w:rsidRDefault="00926183" w:rsidP="00597803">
      <w:pPr>
        <w:spacing w:after="120"/>
        <w:rPr>
          <w:rFonts w:ascii="Franklin Gothic Book" w:hAnsi="Franklin Gothic Book" w:cs="Verdana"/>
          <w:szCs w:val="20"/>
        </w:rPr>
      </w:pPr>
    </w:p>
    <w:p w:rsidR="00F14879" w:rsidRDefault="00F14879" w:rsidP="00597803">
      <w:pPr>
        <w:spacing w:after="120"/>
        <w:rPr>
          <w:rFonts w:ascii="Franklin Gothic Book" w:hAnsi="Franklin Gothic Book" w:cs="Verdana"/>
          <w:szCs w:val="20"/>
        </w:rPr>
      </w:pPr>
      <w:r w:rsidRPr="006B70AF">
        <w:rPr>
          <w:rFonts w:ascii="Franklin Gothic Book" w:hAnsi="Franklin Gothic Book"/>
          <w:b/>
          <w:szCs w:val="21"/>
        </w:rPr>
        <w:t>Ungern</w:t>
      </w:r>
      <w:r>
        <w:rPr>
          <w:rFonts w:ascii="Franklin Gothic Book" w:hAnsi="Franklin Gothic Book" w:cs="Verdana"/>
          <w:szCs w:val="20"/>
        </w:rPr>
        <w:t xml:space="preserve"> </w:t>
      </w:r>
    </w:p>
    <w:p w:rsidR="00597803" w:rsidRDefault="00926183" w:rsidP="00597803">
      <w:pPr>
        <w:spacing w:after="120"/>
        <w:rPr>
          <w:rFonts w:ascii="Franklin Gothic Book" w:hAnsi="Franklin Gothic Book" w:cs="Verdana"/>
          <w:szCs w:val="20"/>
        </w:rPr>
      </w:pPr>
      <w:r>
        <w:rPr>
          <w:rFonts w:ascii="Franklin Gothic Book" w:hAnsi="Franklin Gothic Book" w:cs="Verdana"/>
          <w:szCs w:val="20"/>
        </w:rPr>
        <w:t xml:space="preserve">Ungerska lantbrukares syn på sitt nuvarande ekonomiska läge förbättrades första kvartalet 2014. Mjölkprisets utveckling, god spannmålsavkastning, gynnsamma kreditbetingelser och EU-stödnivåer </w:t>
      </w:r>
      <w:r w:rsidR="002355F8">
        <w:rPr>
          <w:rFonts w:ascii="Franklin Gothic Book" w:hAnsi="Franklin Gothic Book" w:cs="Verdana"/>
          <w:szCs w:val="20"/>
        </w:rPr>
        <w:t xml:space="preserve">bidrog. Därtill, trots att prisnivåerna på nästan alla lantbrukets produkter (växtprodukter, nötkött och griskött) ansågs ha en negativ inverkan på den nuvarande lönsamheten, ansågs den negativa inverkan vara mindre än i höstas. Höga produktionskostnader och ogynnsam växelkurs tillhörde istället orosmomenten för lantbrukarna. </w:t>
      </w:r>
    </w:p>
    <w:p w:rsidR="002355F8" w:rsidRDefault="002355F8" w:rsidP="00597803">
      <w:pPr>
        <w:spacing w:after="120"/>
        <w:rPr>
          <w:rFonts w:ascii="Franklin Gothic Book" w:hAnsi="Franklin Gothic Book" w:cs="Verdana"/>
          <w:szCs w:val="20"/>
        </w:rPr>
      </w:pPr>
      <w:r>
        <w:rPr>
          <w:rFonts w:ascii="Franklin Gothic Book" w:hAnsi="Franklin Gothic Book" w:cs="Verdana"/>
          <w:szCs w:val="20"/>
        </w:rPr>
        <w:lastRenderedPageBreak/>
        <w:t xml:space="preserve">I kontrast till den stärkta synen på nuvarande lönsamhet fortsatte förväntningarna på framtida lönsamhet att sjunka. Det huvudsakliga orosmomentet var ändringar i lagstiftningen kring jordägande som träder i kraft i maj 2014. </w:t>
      </w:r>
    </w:p>
    <w:p w:rsidR="002355F8" w:rsidRPr="00926183" w:rsidRDefault="002355F8" w:rsidP="00597803">
      <w:pPr>
        <w:spacing w:after="120"/>
        <w:rPr>
          <w:rFonts w:ascii="Franklin Gothic Book" w:hAnsi="Franklin Gothic Book" w:cs="Verdana"/>
          <w:szCs w:val="20"/>
        </w:rPr>
      </w:pPr>
      <w:r>
        <w:rPr>
          <w:rFonts w:ascii="Franklin Gothic Book" w:hAnsi="Franklin Gothic Book" w:cs="Verdana"/>
          <w:szCs w:val="20"/>
        </w:rPr>
        <w:t>Sammantaget kvarstannade lönsamhetsindex för Ungern på en stabil, men låg nivå.</w:t>
      </w:r>
    </w:p>
    <w:tbl>
      <w:tblPr>
        <w:tblW w:w="0" w:type="auto"/>
        <w:tblLook w:val="04A0" w:firstRow="1" w:lastRow="0" w:firstColumn="1" w:lastColumn="0" w:noHBand="0" w:noVBand="1"/>
      </w:tblPr>
      <w:tblGrid>
        <w:gridCol w:w="4645"/>
        <w:gridCol w:w="4655"/>
      </w:tblGrid>
      <w:tr w:rsidR="00597803" w:rsidRPr="006B70AF" w:rsidTr="00F34576">
        <w:tc>
          <w:tcPr>
            <w:tcW w:w="4645" w:type="dxa"/>
          </w:tcPr>
          <w:p w:rsidR="00597803" w:rsidRPr="006B70AF" w:rsidRDefault="00F34576" w:rsidP="00F34576">
            <w:pPr>
              <w:rPr>
                <w:rFonts w:ascii="Franklin Gothic Book" w:hAnsi="Franklin Gothic Book"/>
                <w:b/>
                <w:szCs w:val="21"/>
              </w:rPr>
            </w:pPr>
            <w:r w:rsidRPr="006B70AF">
              <w:rPr>
                <w:rFonts w:ascii="Franklin Gothic Book" w:hAnsi="Franklin Gothic Book"/>
                <w:b/>
                <w:szCs w:val="21"/>
              </w:rPr>
              <w:t>Diagram 11</w:t>
            </w:r>
            <w:r w:rsidR="00597803" w:rsidRPr="006B70AF">
              <w:rPr>
                <w:rFonts w:ascii="Franklin Gothic Book" w:hAnsi="Franklin Gothic Book"/>
                <w:b/>
                <w:szCs w:val="21"/>
              </w:rPr>
              <w:t xml:space="preserve"> – </w:t>
            </w:r>
            <w:r w:rsidRPr="006B70AF">
              <w:rPr>
                <w:rFonts w:ascii="Franklin Gothic Book" w:hAnsi="Franklin Gothic Book"/>
                <w:b/>
                <w:szCs w:val="21"/>
              </w:rPr>
              <w:t>Ungern</w:t>
            </w:r>
            <w:r w:rsidR="00597803" w:rsidRPr="006B70AF">
              <w:rPr>
                <w:rStyle w:val="Fotnotsreferens"/>
                <w:rFonts w:ascii="Franklin Gothic Book" w:hAnsi="Franklin Gothic Book" w:cs="Verdana"/>
                <w:b/>
                <w:szCs w:val="20"/>
              </w:rPr>
              <w:footnoteReference w:id="4"/>
            </w:r>
          </w:p>
        </w:tc>
        <w:tc>
          <w:tcPr>
            <w:tcW w:w="4655" w:type="dxa"/>
          </w:tcPr>
          <w:p w:rsidR="00597803" w:rsidRPr="006B70AF" w:rsidRDefault="00597803" w:rsidP="00875E16">
            <w:pPr>
              <w:rPr>
                <w:rFonts w:ascii="Franklin Gothic Book" w:hAnsi="Franklin Gothic Book"/>
                <w:b/>
                <w:szCs w:val="21"/>
              </w:rPr>
            </w:pPr>
          </w:p>
        </w:tc>
      </w:tr>
      <w:tr w:rsidR="00F34576" w:rsidRPr="006B70AF" w:rsidTr="00F34576">
        <w:tc>
          <w:tcPr>
            <w:tcW w:w="4645" w:type="dxa"/>
          </w:tcPr>
          <w:p w:rsidR="00F34576" w:rsidRPr="006B70AF" w:rsidRDefault="00F34576" w:rsidP="00875E16">
            <w:pPr>
              <w:jc w:val="center"/>
              <w:rPr>
                <w:rFonts w:ascii="Franklin Gothic Book" w:eastAsia="Times New Roman" w:hAnsi="Franklin Gothic Book" w:cs="Times New Roman"/>
                <w:kern w:val="4"/>
                <w:sz w:val="20"/>
                <w:szCs w:val="20"/>
                <w:lang w:eastAsia="de-DE"/>
              </w:rPr>
            </w:pPr>
            <w:r w:rsidRPr="006B70AF">
              <w:rPr>
                <w:rFonts w:ascii="Franklin Gothic Book" w:eastAsia="Times New Roman" w:hAnsi="Franklin Gothic Book" w:cs="Times New Roman"/>
                <w:kern w:val="4"/>
                <w:sz w:val="20"/>
                <w:szCs w:val="20"/>
                <w:lang w:eastAsia="de-DE"/>
              </w:rPr>
              <w:t>Gårdens ekonomiska situation</w:t>
            </w:r>
          </w:p>
        </w:tc>
        <w:tc>
          <w:tcPr>
            <w:tcW w:w="4655" w:type="dxa"/>
          </w:tcPr>
          <w:p w:rsidR="00F34576" w:rsidRPr="006B70AF" w:rsidRDefault="00F34576" w:rsidP="00875E16">
            <w:pPr>
              <w:jc w:val="center"/>
              <w:rPr>
                <w:rFonts w:ascii="Franklin Gothic Book" w:eastAsia="Times New Roman" w:hAnsi="Franklin Gothic Book" w:cs="Times New Roman"/>
                <w:kern w:val="4"/>
                <w:sz w:val="20"/>
                <w:szCs w:val="20"/>
                <w:lang w:eastAsia="de-DE"/>
              </w:rPr>
            </w:pPr>
            <w:r w:rsidRPr="006B70AF">
              <w:rPr>
                <w:rFonts w:ascii="Franklin Gothic Book" w:eastAsia="Times New Roman" w:hAnsi="Franklin Gothic Book" w:cs="Times New Roman"/>
                <w:kern w:val="4"/>
                <w:sz w:val="20"/>
                <w:szCs w:val="20"/>
                <w:lang w:eastAsia="de-DE"/>
              </w:rPr>
              <w:t>Nationellt lönsamhetsindex</w:t>
            </w:r>
          </w:p>
        </w:tc>
      </w:tr>
      <w:tr w:rsidR="00597803" w:rsidRPr="006B70AF" w:rsidTr="00F34576">
        <w:tblPrEx>
          <w:tblCellMar>
            <w:left w:w="70" w:type="dxa"/>
            <w:right w:w="70" w:type="dxa"/>
          </w:tblCellMar>
        </w:tblPrEx>
        <w:tc>
          <w:tcPr>
            <w:tcW w:w="4645" w:type="dxa"/>
          </w:tcPr>
          <w:p w:rsidR="00597803" w:rsidRPr="006B70AF" w:rsidRDefault="00597803" w:rsidP="00875E16">
            <w:pPr>
              <w:rPr>
                <w:rFonts w:ascii="Franklin Gothic Book" w:hAnsi="Franklin Gothic Book"/>
                <w:b/>
                <w:szCs w:val="21"/>
              </w:rPr>
            </w:pPr>
            <w:r w:rsidRPr="006B70AF">
              <w:rPr>
                <w:rFonts w:ascii="Franklin Gothic Book" w:hAnsi="Franklin Gothic Book"/>
                <w:noProof/>
                <w:lang w:eastAsia="sv-SE"/>
              </w:rPr>
              <w:drawing>
                <wp:inline distT="0" distB="0" distL="0" distR="0" wp14:anchorId="7E201367" wp14:editId="2F953FC5">
                  <wp:extent cx="2860675" cy="1729740"/>
                  <wp:effectExtent l="0" t="0" r="0" b="3810"/>
                  <wp:docPr id="31" name="Diagram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655" w:type="dxa"/>
          </w:tcPr>
          <w:p w:rsidR="00597803" w:rsidRPr="006B70AF" w:rsidRDefault="00597803" w:rsidP="00875E16">
            <w:pPr>
              <w:rPr>
                <w:rFonts w:ascii="Franklin Gothic Book" w:hAnsi="Franklin Gothic Book"/>
                <w:b/>
                <w:szCs w:val="21"/>
              </w:rPr>
            </w:pPr>
            <w:r w:rsidRPr="006B70AF">
              <w:rPr>
                <w:rFonts w:ascii="Franklin Gothic Book" w:hAnsi="Franklin Gothic Book"/>
                <w:noProof/>
                <w:lang w:eastAsia="sv-SE"/>
              </w:rPr>
              <w:drawing>
                <wp:inline distT="0" distB="0" distL="0" distR="0" wp14:anchorId="0BBC2AE2" wp14:editId="4CC5CA10">
                  <wp:extent cx="2867025" cy="1729740"/>
                  <wp:effectExtent l="0" t="0" r="0" b="3810"/>
                  <wp:docPr id="30" name="Diagram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97803" w:rsidRPr="006B70AF" w:rsidTr="00F34576">
        <w:tc>
          <w:tcPr>
            <w:tcW w:w="4645" w:type="dxa"/>
          </w:tcPr>
          <w:p w:rsidR="00597803" w:rsidRPr="006B70AF" w:rsidRDefault="00F34576" w:rsidP="00875E16">
            <w:pPr>
              <w:spacing w:after="120"/>
              <w:rPr>
                <w:rFonts w:ascii="Franklin Gothic Book" w:hAnsi="Franklin Gothic Book"/>
                <w:b/>
                <w:szCs w:val="21"/>
              </w:rPr>
            </w:pPr>
            <w:r w:rsidRPr="006B70AF">
              <w:rPr>
                <w:rFonts w:ascii="Franklin Gothic Book" w:eastAsia="Times New Roman" w:hAnsi="Franklin Gothic Book" w:cs="Times New Roman"/>
                <w:kern w:val="4"/>
                <w:sz w:val="20"/>
                <w:szCs w:val="20"/>
                <w:lang w:eastAsia="de-DE"/>
              </w:rPr>
              <w:t>Copa-Cogecas bearbetning av nationell data</w:t>
            </w:r>
          </w:p>
        </w:tc>
        <w:tc>
          <w:tcPr>
            <w:tcW w:w="4655" w:type="dxa"/>
          </w:tcPr>
          <w:p w:rsidR="00597803" w:rsidRPr="006B70AF" w:rsidRDefault="00597803" w:rsidP="00875E16">
            <w:pPr>
              <w:spacing w:after="120"/>
              <w:rPr>
                <w:rFonts w:ascii="Franklin Gothic Book" w:hAnsi="Franklin Gothic Book"/>
                <w:b/>
                <w:szCs w:val="21"/>
              </w:rPr>
            </w:pPr>
          </w:p>
        </w:tc>
      </w:tr>
    </w:tbl>
    <w:p w:rsidR="00597803" w:rsidRPr="006B70AF" w:rsidRDefault="00597803" w:rsidP="00597803">
      <w:pPr>
        <w:rPr>
          <w:rFonts w:ascii="Franklin Gothic Book" w:eastAsia="Times New Roman" w:hAnsi="Franklin Gothic Book" w:cs="Calibri"/>
          <w:b/>
          <w:bCs/>
          <w:color w:val="000000"/>
          <w:sz w:val="28"/>
          <w:szCs w:val="28"/>
          <w:lang w:eastAsia="sv-SE"/>
        </w:rPr>
      </w:pPr>
    </w:p>
    <w:p w:rsidR="00597803" w:rsidRPr="006B70AF" w:rsidRDefault="00597803">
      <w:pPr>
        <w:rPr>
          <w:rFonts w:ascii="Franklin Gothic Book" w:eastAsia="Times New Roman" w:hAnsi="Franklin Gothic Book" w:cs="Calibri"/>
          <w:b/>
          <w:bCs/>
          <w:color w:val="000000"/>
          <w:sz w:val="28"/>
          <w:szCs w:val="28"/>
          <w:lang w:eastAsia="sv-SE"/>
        </w:rPr>
      </w:pPr>
      <w:r w:rsidRPr="006B70AF">
        <w:rPr>
          <w:rFonts w:ascii="Franklin Gothic Book" w:eastAsia="Times New Roman" w:hAnsi="Franklin Gothic Book" w:cs="Calibri"/>
          <w:b/>
          <w:bCs/>
          <w:color w:val="000000"/>
          <w:sz w:val="28"/>
          <w:szCs w:val="28"/>
          <w:lang w:eastAsia="sv-SE"/>
        </w:rPr>
        <w:br w:type="page"/>
      </w:r>
    </w:p>
    <w:p w:rsidR="00597803" w:rsidRPr="006B70AF" w:rsidRDefault="00597803" w:rsidP="00597803">
      <w:pPr>
        <w:rPr>
          <w:rFonts w:ascii="Franklin Gothic Book" w:eastAsia="Times New Roman" w:hAnsi="Franklin Gothic Book" w:cs="Calibri"/>
          <w:b/>
          <w:bCs/>
          <w:color w:val="000000"/>
          <w:sz w:val="28"/>
          <w:szCs w:val="28"/>
          <w:lang w:eastAsia="sv-SE"/>
        </w:rPr>
      </w:pPr>
      <w:r w:rsidRPr="006B70AF">
        <w:rPr>
          <w:rFonts w:ascii="Franklin Gothic Book" w:eastAsia="Times New Roman" w:hAnsi="Franklin Gothic Book" w:cs="Calibri"/>
          <w:b/>
          <w:bCs/>
          <w:color w:val="000000"/>
          <w:sz w:val="28"/>
          <w:szCs w:val="28"/>
          <w:lang w:eastAsia="sv-SE"/>
        </w:rPr>
        <w:lastRenderedPageBreak/>
        <w:t>Om studierna</w:t>
      </w:r>
      <w:r w:rsidRPr="006B70AF">
        <w:rPr>
          <w:rFonts w:ascii="Franklin Gothic Book" w:hAnsi="Franklin Gothic Book"/>
          <w:noProof/>
          <w:sz w:val="28"/>
          <w:szCs w:val="28"/>
          <w:lang w:eastAsia="sv-SE"/>
        </w:rPr>
        <w:drawing>
          <wp:anchor distT="0" distB="0" distL="114300" distR="114300" simplePos="0" relativeHeight="251668480" behindDoc="0" locked="0" layoutInCell="1" allowOverlap="1" wp14:anchorId="30D951E9" wp14:editId="1C282E44">
            <wp:simplePos x="0" y="0"/>
            <wp:positionH relativeFrom="column">
              <wp:posOffset>4758690</wp:posOffset>
            </wp:positionH>
            <wp:positionV relativeFrom="paragraph">
              <wp:posOffset>105410</wp:posOffset>
            </wp:positionV>
            <wp:extent cx="1389380" cy="533400"/>
            <wp:effectExtent l="0" t="0" r="1270" b="0"/>
            <wp:wrapNone/>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389380" cy="533400"/>
                    </a:xfrm>
                    <a:prstGeom prst="rect">
                      <a:avLst/>
                    </a:prstGeom>
                  </pic:spPr>
                </pic:pic>
              </a:graphicData>
            </a:graphic>
            <wp14:sizeRelH relativeFrom="page">
              <wp14:pctWidth>0</wp14:pctWidth>
            </wp14:sizeRelH>
            <wp14:sizeRelV relativeFrom="page">
              <wp14:pctHeight>0</wp14:pctHeight>
            </wp14:sizeRelV>
          </wp:anchor>
        </w:drawing>
      </w:r>
    </w:p>
    <w:p w:rsidR="00597803" w:rsidRPr="006B70AF" w:rsidRDefault="00597803" w:rsidP="00597803">
      <w:pPr>
        <w:rPr>
          <w:rFonts w:ascii="Franklin Gothic Book" w:eastAsia="Times New Roman" w:hAnsi="Franklin Gothic Book" w:cs="Calibri"/>
          <w:b/>
          <w:bCs/>
          <w:i/>
          <w:color w:val="000000"/>
          <w:sz w:val="20"/>
          <w:szCs w:val="20"/>
          <w:lang w:eastAsia="sv-SE"/>
        </w:rPr>
      </w:pPr>
    </w:p>
    <w:p w:rsidR="00597803" w:rsidRPr="006B70AF" w:rsidRDefault="00597803" w:rsidP="00597803">
      <w:pPr>
        <w:rPr>
          <w:rFonts w:ascii="Franklin Gothic Book" w:eastAsia="Times New Roman" w:hAnsi="Franklin Gothic Book" w:cs="Calibri"/>
          <w:b/>
          <w:bCs/>
          <w:i/>
          <w:color w:val="000000"/>
          <w:sz w:val="20"/>
          <w:szCs w:val="20"/>
          <w:lang w:eastAsia="sv-SE"/>
        </w:rPr>
      </w:pPr>
    </w:p>
    <w:p w:rsidR="00597803" w:rsidRPr="006B70AF" w:rsidRDefault="00597803" w:rsidP="00597803">
      <w:pPr>
        <w:rPr>
          <w:rFonts w:ascii="Franklin Gothic Book" w:eastAsia="Times New Roman" w:hAnsi="Franklin Gothic Book" w:cs="Calibri"/>
          <w:bCs/>
          <w:i/>
          <w:color w:val="000000"/>
          <w:sz w:val="20"/>
          <w:szCs w:val="20"/>
          <w:lang w:eastAsia="sv-SE"/>
        </w:rPr>
      </w:pPr>
      <w:r w:rsidRPr="006B70AF">
        <w:rPr>
          <w:rFonts w:ascii="Franklin Gothic Book" w:eastAsia="Times New Roman" w:hAnsi="Franklin Gothic Book" w:cs="Calibri"/>
          <w:b/>
          <w:bCs/>
          <w:i/>
          <w:color w:val="000000"/>
          <w:sz w:val="20"/>
          <w:szCs w:val="20"/>
          <w:lang w:eastAsia="sv-SE"/>
        </w:rPr>
        <w:t xml:space="preserve">Copa-Cogeca </w:t>
      </w:r>
      <w:r w:rsidRPr="006B70AF">
        <w:rPr>
          <w:rFonts w:ascii="Franklin Gothic Book" w:eastAsia="Times New Roman" w:hAnsi="Franklin Gothic Book" w:cs="Calibri"/>
          <w:bCs/>
          <w:i/>
          <w:color w:val="000000"/>
          <w:sz w:val="20"/>
          <w:szCs w:val="20"/>
          <w:lang w:eastAsia="sv-SE"/>
        </w:rPr>
        <w:t xml:space="preserve">– Lantbrukarnas och lantbrukskooperativens röst i Bryssel </w:t>
      </w:r>
    </w:p>
    <w:p w:rsidR="00597803" w:rsidRPr="006B70AF" w:rsidRDefault="00597803" w:rsidP="00597803">
      <w:pPr>
        <w:rPr>
          <w:rFonts w:ascii="Franklin Gothic Book" w:eastAsia="Times New Roman" w:hAnsi="Franklin Gothic Book" w:cstheme="minorHAnsi"/>
          <w:b/>
          <w:bCs/>
          <w:i/>
          <w:color w:val="000000"/>
          <w:sz w:val="20"/>
          <w:szCs w:val="20"/>
          <w:lang w:eastAsia="sv-SE"/>
        </w:rPr>
      </w:pPr>
    </w:p>
    <w:p w:rsidR="00597803" w:rsidRPr="006B70AF" w:rsidRDefault="00597803" w:rsidP="00597803">
      <w:pPr>
        <w:rPr>
          <w:rFonts w:ascii="Franklin Gothic Book" w:eastAsia="Calibri" w:hAnsi="Franklin Gothic Book" w:cs="Calibri"/>
          <w:bCs/>
          <w:i/>
          <w:color w:val="000000"/>
          <w:sz w:val="20"/>
          <w:szCs w:val="20"/>
        </w:rPr>
      </w:pPr>
      <w:r w:rsidRPr="006B70AF">
        <w:rPr>
          <w:rFonts w:ascii="Franklin Gothic Book" w:eastAsia="Times New Roman" w:hAnsi="Franklin Gothic Book" w:cstheme="minorHAnsi"/>
          <w:b/>
          <w:bCs/>
          <w:i/>
          <w:color w:val="000000"/>
          <w:sz w:val="20"/>
          <w:szCs w:val="20"/>
          <w:lang w:eastAsia="sv-SE"/>
        </w:rPr>
        <w:t>The multi-national farmers</w:t>
      </w:r>
      <w:r w:rsidR="00DC468C">
        <w:rPr>
          <w:rFonts w:ascii="Franklin Gothic Book" w:eastAsia="Times New Roman" w:hAnsi="Franklin Gothic Book" w:cstheme="minorHAnsi"/>
          <w:b/>
          <w:bCs/>
          <w:i/>
          <w:color w:val="000000"/>
          <w:sz w:val="20"/>
          <w:szCs w:val="20"/>
          <w:lang w:eastAsia="sv-SE"/>
        </w:rPr>
        <w:t>’ confidence index – spring 2014</w:t>
      </w:r>
      <w:r w:rsidRPr="006B70AF">
        <w:rPr>
          <w:rFonts w:ascii="Franklin Gothic Book" w:eastAsia="Times New Roman" w:hAnsi="Franklin Gothic Book" w:cstheme="minorHAnsi"/>
          <w:b/>
          <w:bCs/>
          <w:i/>
          <w:color w:val="000000"/>
          <w:sz w:val="20"/>
          <w:szCs w:val="20"/>
          <w:lang w:eastAsia="sv-SE"/>
        </w:rPr>
        <w:t xml:space="preserve"> </w:t>
      </w:r>
      <w:r w:rsidRPr="006B70AF">
        <w:rPr>
          <w:rFonts w:ascii="Franklin Gothic Book" w:eastAsia="Calibri" w:hAnsi="Franklin Gothic Book" w:cs="Calibri"/>
          <w:bCs/>
          <w:i/>
          <w:color w:val="000000"/>
          <w:sz w:val="20"/>
          <w:szCs w:val="20"/>
        </w:rPr>
        <w:t xml:space="preserve">är ett gemensamt Europeiskt lönsamhetsindex över lantbrukarnas uppfattningar om den nuvarande och den förväntade ekonomiska situationen på gården. Av EUs medlemsstater är </w:t>
      </w:r>
      <w:r w:rsidR="00F14879">
        <w:rPr>
          <w:rFonts w:ascii="Franklin Gothic Book" w:eastAsia="Calibri" w:hAnsi="Franklin Gothic Book" w:cs="Calibri"/>
          <w:bCs/>
          <w:i/>
          <w:color w:val="000000"/>
          <w:sz w:val="20"/>
          <w:szCs w:val="20"/>
        </w:rPr>
        <w:t>det 10 stycken länder som ställer</w:t>
      </w:r>
      <w:r w:rsidRPr="006B70AF">
        <w:rPr>
          <w:rFonts w:ascii="Franklin Gothic Book" w:eastAsia="Calibri" w:hAnsi="Franklin Gothic Book" w:cs="Calibri"/>
          <w:bCs/>
          <w:i/>
          <w:color w:val="000000"/>
          <w:sz w:val="20"/>
          <w:szCs w:val="20"/>
        </w:rPr>
        <w:t xml:space="preserve"> samma frågor som i den svenska lantbruksbarometern. Detta har gjorts mellan januari och mars månad. Copa-Cogeca som sammanställer informationen från EU länderna gör detta två gånger per år. Rapporten har översatts av Carl Dyrendahl, LRF Konsult. </w:t>
      </w:r>
    </w:p>
    <w:p w:rsidR="00597803" w:rsidRPr="006B70AF" w:rsidRDefault="00597803" w:rsidP="00597803">
      <w:pPr>
        <w:rPr>
          <w:rFonts w:ascii="Franklin Gothic Book" w:eastAsia="Calibri" w:hAnsi="Franklin Gothic Book" w:cs="Calibri"/>
          <w:bCs/>
          <w:i/>
          <w:color w:val="000000"/>
          <w:sz w:val="20"/>
          <w:szCs w:val="20"/>
        </w:rPr>
      </w:pPr>
    </w:p>
    <w:p w:rsidR="00597803" w:rsidRPr="006B70AF" w:rsidRDefault="00F14879" w:rsidP="00597803">
      <w:pPr>
        <w:rPr>
          <w:rFonts w:ascii="Franklin Gothic Book" w:eastAsia="Times New Roman" w:hAnsi="Franklin Gothic Book" w:cs="Calibri"/>
          <w:b/>
          <w:bCs/>
          <w:i/>
          <w:color w:val="000000"/>
          <w:sz w:val="20"/>
          <w:szCs w:val="20"/>
          <w:lang w:eastAsia="sv-SE"/>
        </w:rPr>
      </w:pPr>
      <w:r>
        <w:rPr>
          <w:noProof/>
          <w:lang w:eastAsia="sv-SE"/>
        </w:rPr>
        <w:drawing>
          <wp:anchor distT="0" distB="0" distL="114300" distR="114300" simplePos="0" relativeHeight="251669504" behindDoc="1" locked="0" layoutInCell="1" allowOverlap="1" wp14:anchorId="4050158B" wp14:editId="5B574033">
            <wp:simplePos x="0" y="0"/>
            <wp:positionH relativeFrom="column">
              <wp:posOffset>4919345</wp:posOffset>
            </wp:positionH>
            <wp:positionV relativeFrom="paragraph">
              <wp:posOffset>109855</wp:posOffset>
            </wp:positionV>
            <wp:extent cx="1216660" cy="1717040"/>
            <wp:effectExtent l="0" t="0" r="254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16660" cy="1717040"/>
                    </a:xfrm>
                    <a:prstGeom prst="rect">
                      <a:avLst/>
                    </a:prstGeom>
                  </pic:spPr>
                </pic:pic>
              </a:graphicData>
            </a:graphic>
            <wp14:sizeRelH relativeFrom="page">
              <wp14:pctWidth>0</wp14:pctWidth>
            </wp14:sizeRelH>
            <wp14:sizeRelV relativeFrom="page">
              <wp14:pctHeight>0</wp14:pctHeight>
            </wp14:sizeRelV>
          </wp:anchor>
        </w:drawing>
      </w:r>
    </w:p>
    <w:p w:rsidR="00597803" w:rsidRPr="006B70AF" w:rsidRDefault="00597803" w:rsidP="00597803">
      <w:pPr>
        <w:rPr>
          <w:rFonts w:ascii="Franklin Gothic Book" w:eastAsia="Times New Roman" w:hAnsi="Franklin Gothic Book" w:cs="Calibri"/>
          <w:i/>
          <w:color w:val="000000"/>
          <w:sz w:val="20"/>
          <w:szCs w:val="20"/>
          <w:lang w:eastAsia="sv-SE"/>
        </w:rPr>
      </w:pPr>
      <w:r w:rsidRPr="006B70AF">
        <w:rPr>
          <w:rFonts w:ascii="Franklin Gothic Book" w:eastAsia="Times New Roman" w:hAnsi="Franklin Gothic Book" w:cs="Times New Roman"/>
          <w:b/>
          <w:noProof/>
          <w:sz w:val="24"/>
          <w:szCs w:val="24"/>
          <w:lang w:eastAsia="sv-SE"/>
        </w:rPr>
        <w:t xml:space="preserve"> </w:t>
      </w:r>
    </w:p>
    <w:p w:rsidR="00597803" w:rsidRPr="006B70AF" w:rsidRDefault="00597803" w:rsidP="00597803">
      <w:pPr>
        <w:rPr>
          <w:rFonts w:ascii="Franklin Gothic Book" w:hAnsi="Franklin Gothic Book" w:cs="Calibri"/>
          <w:i/>
          <w:color w:val="000000"/>
          <w:sz w:val="20"/>
          <w:szCs w:val="20"/>
        </w:rPr>
      </w:pPr>
      <w:r w:rsidRPr="006B70AF">
        <w:rPr>
          <w:rFonts w:ascii="Franklin Gothic Book" w:eastAsia="Times New Roman" w:hAnsi="Franklin Gothic Book" w:cs="Calibri"/>
          <w:b/>
          <w:bCs/>
          <w:i/>
          <w:color w:val="000000"/>
          <w:sz w:val="20"/>
          <w:szCs w:val="20"/>
          <w:lang w:eastAsia="sv-SE"/>
        </w:rPr>
        <w:t xml:space="preserve">Lantbruksbarometern </w:t>
      </w:r>
      <w:r w:rsidRPr="006B70AF">
        <w:rPr>
          <w:rFonts w:ascii="Franklin Gothic Book" w:eastAsia="Times New Roman" w:hAnsi="Franklin Gothic Book" w:cs="Calibri"/>
          <w:bCs/>
          <w:i/>
          <w:color w:val="000000"/>
          <w:sz w:val="20"/>
          <w:szCs w:val="20"/>
          <w:lang w:eastAsia="sv-SE"/>
        </w:rPr>
        <w:t xml:space="preserve"> är en årlig rapport som visar lantbrukarnas uppfattning om det aktuella läget inom lantbruket. Den har utkommit sedan 1987 och</w:t>
      </w:r>
      <w:r w:rsidRPr="006B70AF">
        <w:rPr>
          <w:rFonts w:ascii="Franklin Gothic Book" w:eastAsia="Times New Roman" w:hAnsi="Franklin Gothic Book" w:cs="Calibri"/>
          <w:i/>
          <w:color w:val="000000"/>
          <w:sz w:val="20"/>
          <w:szCs w:val="20"/>
          <w:lang w:eastAsia="sv-SE"/>
        </w:rPr>
        <w:t xml:space="preserve"> två av Lantbruksbarometerns frågor till lantbrukarna gällande syn på lönsamheten ställs sedan 2012 även under hösten och presenteras i Lantbruksbarometern Hösten. Sifo </w:t>
      </w:r>
      <w:r w:rsidR="0038668A">
        <w:rPr>
          <w:rFonts w:ascii="Franklin Gothic Book" w:eastAsia="Times New Roman" w:hAnsi="Franklin Gothic Book" w:cs="Calibri"/>
          <w:i/>
          <w:color w:val="000000"/>
          <w:sz w:val="20"/>
          <w:szCs w:val="20"/>
          <w:lang w:eastAsia="sv-SE"/>
        </w:rPr>
        <w:t>intervjuar</w:t>
      </w:r>
      <w:r w:rsidRPr="006B70AF">
        <w:rPr>
          <w:rFonts w:ascii="Franklin Gothic Book" w:eastAsia="Times New Roman" w:hAnsi="Franklin Gothic Book" w:cs="Calibri"/>
          <w:i/>
          <w:color w:val="000000"/>
          <w:sz w:val="20"/>
          <w:szCs w:val="20"/>
          <w:lang w:eastAsia="sv-SE"/>
        </w:rPr>
        <w:t xml:space="preserve"> på uppdrag av LRF Konsult, Swedbank och Sparbankerna under januari månad </w:t>
      </w:r>
      <w:r w:rsidR="0038668A">
        <w:rPr>
          <w:rFonts w:ascii="Franklin Gothic Book" w:eastAsia="Times New Roman" w:hAnsi="Franklin Gothic Book" w:cs="Calibri"/>
          <w:i/>
          <w:color w:val="000000"/>
          <w:sz w:val="20"/>
          <w:szCs w:val="20"/>
          <w:lang w:eastAsia="sv-SE"/>
        </w:rPr>
        <w:t>1000 lantbrukare och</w:t>
      </w:r>
      <w:r w:rsidRPr="006B70AF">
        <w:rPr>
          <w:rFonts w:ascii="Franklin Gothic Book" w:eastAsia="Times New Roman" w:hAnsi="Franklin Gothic Book" w:cs="Calibri"/>
          <w:i/>
          <w:color w:val="000000"/>
          <w:sz w:val="20"/>
          <w:szCs w:val="20"/>
          <w:lang w:eastAsia="sv-SE"/>
        </w:rPr>
        <w:t xml:space="preserve"> under oktober 300 lantbrukare.</w:t>
      </w:r>
    </w:p>
    <w:p w:rsidR="00597803" w:rsidRPr="006B70AF" w:rsidRDefault="00597803" w:rsidP="00597803">
      <w:pPr>
        <w:autoSpaceDE w:val="0"/>
        <w:autoSpaceDN w:val="0"/>
        <w:adjustRightInd w:val="0"/>
        <w:rPr>
          <w:rFonts w:ascii="Franklin Gothic Book" w:eastAsia="Calibri" w:hAnsi="Franklin Gothic Book" w:cs="Calibri"/>
          <w:bCs/>
          <w:i/>
          <w:color w:val="000000"/>
          <w:sz w:val="20"/>
          <w:szCs w:val="20"/>
        </w:rPr>
      </w:pPr>
    </w:p>
    <w:p w:rsidR="00597803" w:rsidRPr="006B70AF"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autoSpaceDE w:val="0"/>
        <w:autoSpaceDN w:val="0"/>
        <w:adjustRightInd w:val="0"/>
        <w:rPr>
          <w:rFonts w:ascii="Franklin Gothic Book" w:hAnsi="Franklin Gothic Book" w:cs="Agenda-Medium"/>
          <w:sz w:val="20"/>
          <w:szCs w:val="20"/>
        </w:rPr>
      </w:pPr>
    </w:p>
    <w:p w:rsidR="00597803" w:rsidRPr="00F34576" w:rsidRDefault="00597803" w:rsidP="00597803">
      <w:pPr>
        <w:rPr>
          <w:rFonts w:ascii="Franklin Gothic Book" w:hAnsi="Franklin Gothic Book" w:cs="Agenda-Medium"/>
          <w:sz w:val="20"/>
          <w:szCs w:val="20"/>
        </w:rPr>
      </w:pPr>
      <w:r w:rsidRPr="00F34576">
        <w:rPr>
          <w:rFonts w:ascii="Franklin Gothic Book" w:hAnsi="Franklin Gothic Book" w:cstheme="minorHAnsi"/>
          <w:bCs/>
          <w:color w:val="000000"/>
          <w:sz w:val="20"/>
          <w:szCs w:val="20"/>
        </w:rPr>
        <w:t>Arbetsgruppen för lantbruksbarometern 2014 har bestått av Jimmy Larsson, Helena Iacono och Carl Dyrendahl från LRF Konsult samt Per Skargren och Stefan Johansson Swedbank och Sparbankerna.</w:t>
      </w:r>
    </w:p>
    <w:p w:rsidR="00597803" w:rsidRPr="00F34576" w:rsidRDefault="00597803" w:rsidP="00597803">
      <w:pPr>
        <w:rPr>
          <w:rFonts w:ascii="Franklin Gothic Book" w:hAnsi="Franklin Gothic Book" w:cstheme="minorHAnsi"/>
          <w:b/>
          <w:bCs/>
          <w:color w:val="000000"/>
          <w:sz w:val="20"/>
          <w:szCs w:val="20"/>
        </w:rPr>
      </w:pPr>
    </w:p>
    <w:p w:rsidR="00597803" w:rsidRPr="00F34576" w:rsidRDefault="00597803" w:rsidP="00597803">
      <w:pPr>
        <w:rPr>
          <w:rFonts w:ascii="Franklin Gothic Book" w:eastAsia="Times New Roman" w:hAnsi="Franklin Gothic Book" w:cs="Arial"/>
          <w:sz w:val="20"/>
          <w:szCs w:val="20"/>
          <w:lang w:eastAsia="sv-SE"/>
        </w:rPr>
      </w:pPr>
      <w:r w:rsidRPr="00F34576">
        <w:rPr>
          <w:rFonts w:ascii="Franklin Gothic Book" w:eastAsia="Times New Roman" w:hAnsi="Franklin Gothic Book" w:cs="Arial"/>
          <w:b/>
          <w:sz w:val="20"/>
          <w:szCs w:val="20"/>
          <w:lang w:eastAsia="sv-SE"/>
        </w:rPr>
        <w:t>För mer information, kontakta:</w:t>
      </w:r>
      <w:r w:rsidRPr="00F34576">
        <w:rPr>
          <w:rFonts w:ascii="Franklin Gothic Book" w:eastAsia="Times New Roman" w:hAnsi="Franklin Gothic Book" w:cs="Arial"/>
          <w:sz w:val="20"/>
          <w:szCs w:val="20"/>
          <w:lang w:eastAsia="sv-SE"/>
        </w:rPr>
        <w:t xml:space="preserve"> </w:t>
      </w:r>
    </w:p>
    <w:p w:rsidR="00597803" w:rsidRPr="00F34576" w:rsidRDefault="008D5068" w:rsidP="00597803">
      <w:pPr>
        <w:autoSpaceDE w:val="0"/>
        <w:autoSpaceDN w:val="0"/>
        <w:adjustRightInd w:val="0"/>
        <w:rPr>
          <w:rFonts w:ascii="Franklin Gothic Book" w:hAnsi="Franklin Gothic Book" w:cs="Agenda-Medium"/>
          <w:sz w:val="20"/>
          <w:szCs w:val="20"/>
        </w:rPr>
      </w:pPr>
      <w:r>
        <w:rPr>
          <w:rFonts w:ascii="Franklin Gothic Book" w:eastAsia="Times New Roman" w:hAnsi="Franklin Gothic Book" w:cs="Arial"/>
          <w:sz w:val="20"/>
          <w:szCs w:val="20"/>
          <w:lang w:eastAsia="sv-SE"/>
        </w:rPr>
        <w:t>Jimmy Larsson, S</w:t>
      </w:r>
      <w:r w:rsidR="00597803" w:rsidRPr="00F34576">
        <w:rPr>
          <w:rFonts w:ascii="Franklin Gothic Book" w:eastAsia="Times New Roman" w:hAnsi="Franklin Gothic Book" w:cs="Arial"/>
          <w:sz w:val="20"/>
          <w:szCs w:val="20"/>
          <w:lang w:eastAsia="sv-SE"/>
        </w:rPr>
        <w:t>egmentschef Lantbruk, LRF Konsult, tel. 08-700 20 13</w:t>
      </w:r>
      <w:r w:rsidR="00F14879" w:rsidRPr="00F14879">
        <w:rPr>
          <w:noProof/>
          <w:lang w:eastAsia="sv-SE"/>
        </w:rPr>
        <w:t xml:space="preserve"> </w:t>
      </w:r>
    </w:p>
    <w:p w:rsidR="008D5068" w:rsidRPr="00A62483" w:rsidRDefault="008D5068" w:rsidP="008D5068">
      <w:pPr>
        <w:rPr>
          <w:rFonts w:ascii="Franklin Gothic Book" w:hAnsi="Franklin Gothic Book" w:cs="Arial"/>
          <w:sz w:val="20"/>
          <w:szCs w:val="20"/>
        </w:rPr>
      </w:pPr>
      <w:r>
        <w:rPr>
          <w:rFonts w:ascii="Franklin Gothic Book" w:hAnsi="Franklin Gothic Book" w:cs="Arial"/>
          <w:sz w:val="20"/>
          <w:szCs w:val="20"/>
        </w:rPr>
        <w:t>Pe</w:t>
      </w:r>
      <w:r w:rsidRPr="00A62483">
        <w:rPr>
          <w:rFonts w:ascii="Franklin Gothic Book" w:hAnsi="Franklin Gothic Book" w:cs="Arial"/>
          <w:sz w:val="20"/>
          <w:szCs w:val="20"/>
        </w:rPr>
        <w:t xml:space="preserve">r Skargren, </w:t>
      </w:r>
      <w:r>
        <w:rPr>
          <w:rFonts w:ascii="Franklin Gothic Book" w:hAnsi="Franklin Gothic Book" w:cs="Arial"/>
          <w:sz w:val="20"/>
          <w:szCs w:val="20"/>
        </w:rPr>
        <w:t>S</w:t>
      </w:r>
      <w:r w:rsidRPr="00A62483">
        <w:rPr>
          <w:rFonts w:ascii="Franklin Gothic Book" w:hAnsi="Franklin Gothic Book" w:cs="Arial"/>
          <w:sz w:val="20"/>
          <w:szCs w:val="20"/>
        </w:rPr>
        <w:t>egmentsansvarig Skog &amp; Lantbruk, Swedbank och Sparbankerna, tel 08-585 90613</w:t>
      </w:r>
    </w:p>
    <w:p w:rsidR="00DA0651" w:rsidRPr="00F34576" w:rsidRDefault="00DA0651" w:rsidP="00597803">
      <w:pPr>
        <w:autoSpaceDE w:val="0"/>
        <w:autoSpaceDN w:val="0"/>
        <w:adjustRightInd w:val="0"/>
        <w:rPr>
          <w:rFonts w:ascii="Franklin Gothic Book" w:hAnsi="Franklin Gothic Book" w:cs="Agenda-Medium"/>
          <w:color w:val="FF0000"/>
          <w:sz w:val="20"/>
          <w:szCs w:val="20"/>
        </w:rPr>
      </w:pPr>
    </w:p>
    <w:sectPr w:rsidR="00DA0651" w:rsidRPr="00F34576" w:rsidSect="00B2716A">
      <w:headerReference w:type="default" r:id="rId29"/>
      <w:pgSz w:w="11906" w:h="16838"/>
      <w:pgMar w:top="1843" w:right="991"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FE9" w:rsidRDefault="00BA5FE9">
      <w:r>
        <w:separator/>
      </w:r>
    </w:p>
  </w:endnote>
  <w:endnote w:type="continuationSeparator" w:id="0">
    <w:p w:rsidR="00BA5FE9" w:rsidRDefault="00BA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genda-Medium">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FE9" w:rsidRDefault="00BA5FE9">
      <w:r>
        <w:separator/>
      </w:r>
    </w:p>
  </w:footnote>
  <w:footnote w:type="continuationSeparator" w:id="0">
    <w:p w:rsidR="00BA5FE9" w:rsidRDefault="00BA5FE9">
      <w:r>
        <w:continuationSeparator/>
      </w:r>
    </w:p>
  </w:footnote>
  <w:footnote w:id="1">
    <w:p w:rsidR="003A10E7" w:rsidRPr="00BE4852" w:rsidRDefault="003A10E7" w:rsidP="003A10E7">
      <w:pPr>
        <w:pStyle w:val="Fotnotstext"/>
        <w:jc w:val="left"/>
        <w:rPr>
          <w:rFonts w:ascii="Franklin Gothic Book" w:hAnsi="Franklin Gothic Book"/>
          <w:sz w:val="16"/>
          <w:szCs w:val="16"/>
          <w:lang w:val="sv-SE"/>
        </w:rPr>
      </w:pPr>
      <w:r w:rsidRPr="00BE4852">
        <w:rPr>
          <w:rStyle w:val="Fotnotsreferens"/>
          <w:rFonts w:ascii="Franklin Gothic Book" w:hAnsi="Franklin Gothic Book"/>
          <w:sz w:val="16"/>
          <w:szCs w:val="16"/>
        </w:rPr>
        <w:footnoteRef/>
      </w:r>
      <w:r w:rsidRPr="00BE4852">
        <w:rPr>
          <w:rFonts w:ascii="Franklin Gothic Book" w:hAnsi="Franklin Gothic Book"/>
          <w:sz w:val="16"/>
          <w:szCs w:val="16"/>
          <w:lang w:val="sv-SE"/>
        </w:rPr>
        <w:t xml:space="preserve"> Belgien, Frankrike, Italien, Nederländerna, Polen, Rumänien, Sverige, Tyskland och Ungern</w:t>
      </w:r>
      <w:r>
        <w:rPr>
          <w:rFonts w:ascii="Franklin Gothic Book" w:hAnsi="Franklin Gothic Book"/>
          <w:sz w:val="16"/>
          <w:szCs w:val="16"/>
          <w:lang w:val="sv-SE"/>
        </w:rPr>
        <w:t xml:space="preserve"> (samt normalt även Storbritannien)  </w:t>
      </w:r>
    </w:p>
  </w:footnote>
  <w:footnote w:id="2">
    <w:p w:rsidR="00B37410" w:rsidRPr="00477D6C" w:rsidRDefault="00B37410" w:rsidP="00B37410">
      <w:pPr>
        <w:pStyle w:val="Fotnotstext"/>
        <w:jc w:val="left"/>
        <w:rPr>
          <w:lang w:val="sv-SE"/>
        </w:rPr>
      </w:pPr>
      <w:r w:rsidRPr="00BE4852">
        <w:rPr>
          <w:rStyle w:val="Fotnotsreferens"/>
          <w:rFonts w:ascii="Franklin Gothic Book" w:hAnsi="Franklin Gothic Book"/>
          <w:sz w:val="16"/>
          <w:szCs w:val="16"/>
        </w:rPr>
        <w:footnoteRef/>
      </w:r>
      <w:r w:rsidRPr="00BE4852">
        <w:rPr>
          <w:rFonts w:ascii="Franklin Gothic Book" w:hAnsi="Franklin Gothic Book"/>
          <w:sz w:val="16"/>
          <w:szCs w:val="16"/>
          <w:lang w:val="sv-SE"/>
        </w:rPr>
        <w:t xml:space="preserve"> </w:t>
      </w:r>
      <w:r w:rsidRPr="00BE4852">
        <w:rPr>
          <w:rFonts w:ascii="Franklin Gothic Book" w:hAnsi="Franklin Gothic Book" w:cstheme="minorHAnsi"/>
          <w:bCs/>
          <w:color w:val="000000"/>
          <w:sz w:val="16"/>
          <w:szCs w:val="16"/>
          <w:lang w:val="sv-SE"/>
        </w:rPr>
        <w:t>För att kunna beräkna lönsamhetsindex för EU beräknas först fram genomsnittet av resultaten och justeras enligt genomsnittet för</w:t>
      </w:r>
      <w:r w:rsidR="000C01F6">
        <w:rPr>
          <w:rFonts w:ascii="Franklin Gothic Book" w:hAnsi="Franklin Gothic Book" w:cstheme="minorHAnsi"/>
          <w:bCs/>
          <w:color w:val="000000"/>
          <w:sz w:val="16"/>
          <w:szCs w:val="16"/>
          <w:lang w:val="sv-SE"/>
        </w:rPr>
        <w:t xml:space="preserve"> den</w:t>
      </w:r>
      <w:r w:rsidRPr="00BE4852">
        <w:rPr>
          <w:rFonts w:ascii="Franklin Gothic Book" w:hAnsi="Franklin Gothic Book" w:cstheme="minorHAnsi"/>
          <w:bCs/>
          <w:color w:val="000000"/>
          <w:sz w:val="16"/>
          <w:szCs w:val="16"/>
          <w:lang w:val="sv-SE"/>
        </w:rPr>
        <w:t xml:space="preserve"> historiska utvecklingen i länderna. Sedan tillämpas utjämning. EU:s lönsamhetsindex tas sedan fram från summan av de nationella indexen och viktas utifrån det genomsnittliga värdet av jordbruksproduktionen under tre år i fasta priser i landet.</w:t>
      </w:r>
      <w:r w:rsidRPr="00BE4852">
        <w:rPr>
          <w:rFonts w:ascii="Franklin Gothic Book" w:hAnsi="Franklin Gothic Book" w:cstheme="minorHAnsi"/>
          <w:sz w:val="16"/>
          <w:szCs w:val="16"/>
          <w:lang w:val="sv-SE"/>
        </w:rPr>
        <w:t xml:space="preserve">  Vänligen</w:t>
      </w:r>
      <w:r w:rsidRPr="00BE4852">
        <w:rPr>
          <w:rFonts w:ascii="Franklin Gothic Book" w:hAnsi="Franklin Gothic Book"/>
          <w:sz w:val="16"/>
          <w:szCs w:val="16"/>
          <w:lang w:val="sv-SE"/>
        </w:rPr>
        <w:t xml:space="preserve"> notera att från </w:t>
      </w:r>
      <w:r>
        <w:rPr>
          <w:rFonts w:ascii="Franklin Gothic Book" w:hAnsi="Franklin Gothic Book"/>
          <w:sz w:val="16"/>
          <w:szCs w:val="16"/>
          <w:lang w:val="sv-SE"/>
        </w:rPr>
        <w:t>hösten 2013</w:t>
      </w:r>
      <w:r w:rsidRPr="00BE4852">
        <w:rPr>
          <w:rFonts w:ascii="Franklin Gothic Book" w:hAnsi="Franklin Gothic Book"/>
          <w:sz w:val="16"/>
          <w:szCs w:val="16"/>
          <w:lang w:val="sv-SE"/>
        </w:rPr>
        <w:t xml:space="preserve"> och framåt används en omarbetad metod (viktning) för balansering av svaren. Denna omarbetning påverkar också tidigare resultat och av den anledningen är inte siffrorna i denna rapport direkt jämförbara med tidigare.</w:t>
      </w:r>
    </w:p>
  </w:footnote>
  <w:footnote w:id="3">
    <w:p w:rsidR="00597803" w:rsidRPr="00B3709B" w:rsidRDefault="00597803" w:rsidP="00597803">
      <w:pPr>
        <w:pStyle w:val="Fotnotstext"/>
        <w:jc w:val="left"/>
        <w:rPr>
          <w:rFonts w:ascii="Georgia" w:hAnsi="Georgia"/>
          <w:sz w:val="19"/>
          <w:szCs w:val="19"/>
        </w:rPr>
      </w:pPr>
      <w:r w:rsidRPr="00B3709B">
        <w:rPr>
          <w:rStyle w:val="Fotnotsreferens"/>
          <w:rFonts w:ascii="Georgia" w:hAnsi="Georgia"/>
          <w:sz w:val="19"/>
          <w:szCs w:val="19"/>
        </w:rPr>
        <w:footnoteRef/>
      </w:r>
      <w:r w:rsidRPr="00B3709B">
        <w:rPr>
          <w:rFonts w:ascii="Georgia" w:hAnsi="Georgia"/>
          <w:sz w:val="19"/>
          <w:szCs w:val="19"/>
        </w:rPr>
        <w:t xml:space="preserve"> </w:t>
      </w:r>
      <w:r w:rsidR="00B6692A">
        <w:rPr>
          <w:rFonts w:ascii="Franklin Gothic Book" w:hAnsi="Franklin Gothic Book"/>
          <w:sz w:val="16"/>
          <w:szCs w:val="16"/>
          <w:lang w:val="sv-SE"/>
        </w:rPr>
        <w:t>I Rumänien</w:t>
      </w:r>
      <w:r w:rsidR="00B6692A" w:rsidRPr="00BE4852">
        <w:rPr>
          <w:rFonts w:ascii="Franklin Gothic Book" w:hAnsi="Franklin Gothic Book"/>
          <w:sz w:val="16"/>
          <w:szCs w:val="16"/>
          <w:lang w:val="sv-SE"/>
        </w:rPr>
        <w:t xml:space="preserve"> genomförs undersökningen bland lantbrukare som brukar mer än </w:t>
      </w:r>
      <w:r w:rsidR="00B6692A">
        <w:rPr>
          <w:rFonts w:ascii="Franklin Gothic Book" w:hAnsi="Franklin Gothic Book"/>
          <w:sz w:val="16"/>
          <w:szCs w:val="16"/>
          <w:lang w:val="sv-SE"/>
        </w:rPr>
        <w:t>60</w:t>
      </w:r>
      <w:r w:rsidR="00B6692A" w:rsidRPr="00BE4852">
        <w:rPr>
          <w:rFonts w:ascii="Franklin Gothic Book" w:hAnsi="Franklin Gothic Book"/>
          <w:sz w:val="16"/>
          <w:szCs w:val="16"/>
          <w:lang w:val="sv-SE"/>
        </w:rPr>
        <w:t xml:space="preserve"> ha.</w:t>
      </w:r>
    </w:p>
  </w:footnote>
  <w:footnote w:id="4">
    <w:p w:rsidR="00597803" w:rsidRPr="00B3709B" w:rsidRDefault="00597803" w:rsidP="00597803">
      <w:pPr>
        <w:pStyle w:val="Fotnotstext"/>
        <w:jc w:val="left"/>
        <w:rPr>
          <w:rFonts w:ascii="Georgia" w:hAnsi="Georgia"/>
          <w:sz w:val="19"/>
          <w:szCs w:val="19"/>
        </w:rPr>
      </w:pPr>
      <w:r w:rsidRPr="00B3709B">
        <w:rPr>
          <w:rStyle w:val="Fotnotsreferens"/>
          <w:rFonts w:ascii="Georgia" w:hAnsi="Georgia"/>
          <w:sz w:val="19"/>
          <w:szCs w:val="19"/>
        </w:rPr>
        <w:footnoteRef/>
      </w:r>
      <w:r w:rsidRPr="00B3709B">
        <w:rPr>
          <w:rFonts w:ascii="Georgia" w:hAnsi="Georgia"/>
          <w:sz w:val="19"/>
          <w:szCs w:val="19"/>
        </w:rPr>
        <w:t xml:space="preserve"> </w:t>
      </w:r>
      <w:r w:rsidR="000C01F6">
        <w:rPr>
          <w:rFonts w:ascii="Georgia" w:hAnsi="Georgia"/>
          <w:sz w:val="19"/>
          <w:szCs w:val="19"/>
        </w:rPr>
        <w:t xml:space="preserve">I Ungern görs undersökningen bland företag som odlar mer än 200 hektar.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E9" w:rsidRDefault="00BA5FE9">
    <w:pPr>
      <w:pStyle w:val="Sidhuvud"/>
    </w:pPr>
    <w:r>
      <w:rPr>
        <w:noProof/>
        <w:lang w:eastAsia="sv-SE"/>
      </w:rPr>
      <w:drawing>
        <wp:anchor distT="0" distB="0" distL="114300" distR="114300" simplePos="0" relativeHeight="251660288" behindDoc="0" locked="0" layoutInCell="1" allowOverlap="1" wp14:anchorId="79EE25A8" wp14:editId="4027A9D9">
          <wp:simplePos x="0" y="0"/>
          <wp:positionH relativeFrom="column">
            <wp:posOffset>4323715</wp:posOffset>
          </wp:positionH>
          <wp:positionV relativeFrom="paragraph">
            <wp:posOffset>-83185</wp:posOffset>
          </wp:positionV>
          <wp:extent cx="1990725" cy="466725"/>
          <wp:effectExtent l="0" t="0" r="9525" b="9525"/>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466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9264" behindDoc="1" locked="0" layoutInCell="1" allowOverlap="1" wp14:anchorId="4CABC16C" wp14:editId="74283308">
          <wp:simplePos x="0" y="0"/>
          <wp:positionH relativeFrom="column">
            <wp:posOffset>-255905</wp:posOffset>
          </wp:positionH>
          <wp:positionV relativeFrom="paragraph">
            <wp:posOffset>-179705</wp:posOffset>
          </wp:positionV>
          <wp:extent cx="1676400" cy="561975"/>
          <wp:effectExtent l="0" t="0" r="0" b="9525"/>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A8"/>
    <w:rsid w:val="00044554"/>
    <w:rsid w:val="00056058"/>
    <w:rsid w:val="00061AEF"/>
    <w:rsid w:val="00062D22"/>
    <w:rsid w:val="00085CC7"/>
    <w:rsid w:val="000A7AF3"/>
    <w:rsid w:val="000C01F6"/>
    <w:rsid w:val="000F0A5E"/>
    <w:rsid w:val="00184CB7"/>
    <w:rsid w:val="001A70AB"/>
    <w:rsid w:val="001D2DC6"/>
    <w:rsid w:val="001E2FF5"/>
    <w:rsid w:val="00212ED4"/>
    <w:rsid w:val="002355F8"/>
    <w:rsid w:val="0025482F"/>
    <w:rsid w:val="00280BC1"/>
    <w:rsid w:val="002A2FE4"/>
    <w:rsid w:val="002C6122"/>
    <w:rsid w:val="002D3DE8"/>
    <w:rsid w:val="002F5866"/>
    <w:rsid w:val="00302D01"/>
    <w:rsid w:val="003612A8"/>
    <w:rsid w:val="0036257C"/>
    <w:rsid w:val="0038668A"/>
    <w:rsid w:val="003A10E7"/>
    <w:rsid w:val="003F0A5B"/>
    <w:rsid w:val="003F1907"/>
    <w:rsid w:val="00405FF6"/>
    <w:rsid w:val="00414FB6"/>
    <w:rsid w:val="00415AC5"/>
    <w:rsid w:val="00472D7D"/>
    <w:rsid w:val="004A7043"/>
    <w:rsid w:val="0051095B"/>
    <w:rsid w:val="005329A4"/>
    <w:rsid w:val="0057486E"/>
    <w:rsid w:val="00597803"/>
    <w:rsid w:val="005E56A6"/>
    <w:rsid w:val="006B39E3"/>
    <w:rsid w:val="006B70AF"/>
    <w:rsid w:val="0071533A"/>
    <w:rsid w:val="007242F3"/>
    <w:rsid w:val="00724B98"/>
    <w:rsid w:val="007B337F"/>
    <w:rsid w:val="007E2E60"/>
    <w:rsid w:val="00843A56"/>
    <w:rsid w:val="0085601E"/>
    <w:rsid w:val="008717C6"/>
    <w:rsid w:val="008C0080"/>
    <w:rsid w:val="008D5068"/>
    <w:rsid w:val="00922EBD"/>
    <w:rsid w:val="00926183"/>
    <w:rsid w:val="009E7137"/>
    <w:rsid w:val="009F3C11"/>
    <w:rsid w:val="00A014C3"/>
    <w:rsid w:val="00A3092E"/>
    <w:rsid w:val="00A315DD"/>
    <w:rsid w:val="00A371B1"/>
    <w:rsid w:val="00A7090E"/>
    <w:rsid w:val="00A97E9F"/>
    <w:rsid w:val="00AA7B5D"/>
    <w:rsid w:val="00AD402F"/>
    <w:rsid w:val="00B26C08"/>
    <w:rsid w:val="00B2716A"/>
    <w:rsid w:val="00B37410"/>
    <w:rsid w:val="00B6692A"/>
    <w:rsid w:val="00B91B9D"/>
    <w:rsid w:val="00BA5FE9"/>
    <w:rsid w:val="00BB3DA8"/>
    <w:rsid w:val="00C50502"/>
    <w:rsid w:val="00C94437"/>
    <w:rsid w:val="00CA163D"/>
    <w:rsid w:val="00CE4236"/>
    <w:rsid w:val="00D6754C"/>
    <w:rsid w:val="00D7474E"/>
    <w:rsid w:val="00DA0651"/>
    <w:rsid w:val="00DA5567"/>
    <w:rsid w:val="00DB5550"/>
    <w:rsid w:val="00DC468C"/>
    <w:rsid w:val="00E4328F"/>
    <w:rsid w:val="00E56D2C"/>
    <w:rsid w:val="00E8582C"/>
    <w:rsid w:val="00E90C36"/>
    <w:rsid w:val="00EA2B61"/>
    <w:rsid w:val="00EC4467"/>
    <w:rsid w:val="00EE5F43"/>
    <w:rsid w:val="00F14879"/>
    <w:rsid w:val="00F34576"/>
    <w:rsid w:val="00F668CB"/>
    <w:rsid w:val="00FE06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A8"/>
  </w:style>
  <w:style w:type="paragraph" w:styleId="Rubrik2">
    <w:name w:val="heading 2"/>
    <w:basedOn w:val="Normal"/>
    <w:next w:val="Normal"/>
    <w:link w:val="Rubrik2Char"/>
    <w:uiPriority w:val="9"/>
    <w:unhideWhenUsed/>
    <w:qFormat/>
    <w:rsid w:val="00472D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3DA8"/>
    <w:pPr>
      <w:tabs>
        <w:tab w:val="center" w:pos="4536"/>
        <w:tab w:val="right" w:pos="9072"/>
      </w:tabs>
    </w:pPr>
  </w:style>
  <w:style w:type="character" w:customStyle="1" w:styleId="SidhuvudChar">
    <w:name w:val="Sidhuvud Char"/>
    <w:basedOn w:val="Standardstycketeckensnitt"/>
    <w:link w:val="Sidhuvud"/>
    <w:uiPriority w:val="99"/>
    <w:rsid w:val="00BB3DA8"/>
  </w:style>
  <w:style w:type="paragraph" w:styleId="Ballongtext">
    <w:name w:val="Balloon Text"/>
    <w:basedOn w:val="Normal"/>
    <w:link w:val="BallongtextChar"/>
    <w:uiPriority w:val="99"/>
    <w:semiHidden/>
    <w:unhideWhenUsed/>
    <w:rsid w:val="00BB3DA8"/>
    <w:rPr>
      <w:rFonts w:ascii="Tahoma" w:hAnsi="Tahoma" w:cs="Tahoma"/>
      <w:sz w:val="16"/>
      <w:szCs w:val="16"/>
    </w:rPr>
  </w:style>
  <w:style w:type="character" w:customStyle="1" w:styleId="BallongtextChar">
    <w:name w:val="Ballongtext Char"/>
    <w:basedOn w:val="Standardstycketeckensnitt"/>
    <w:link w:val="Ballongtext"/>
    <w:uiPriority w:val="99"/>
    <w:semiHidden/>
    <w:rsid w:val="00BB3DA8"/>
    <w:rPr>
      <w:rFonts w:ascii="Tahoma" w:hAnsi="Tahoma" w:cs="Tahoma"/>
      <w:sz w:val="16"/>
      <w:szCs w:val="16"/>
    </w:rPr>
  </w:style>
  <w:style w:type="character" w:customStyle="1" w:styleId="Rubrik2Char">
    <w:name w:val="Rubrik 2 Char"/>
    <w:basedOn w:val="Standardstycketeckensnitt"/>
    <w:link w:val="Rubrik2"/>
    <w:uiPriority w:val="9"/>
    <w:rsid w:val="00472D7D"/>
    <w:rPr>
      <w:rFonts w:asciiTheme="majorHAnsi" w:eastAsiaTheme="majorEastAsia" w:hAnsiTheme="majorHAnsi" w:cstheme="majorBidi"/>
      <w:b/>
      <w:bCs/>
      <w:color w:val="4F81BD" w:themeColor="accent1"/>
      <w:sz w:val="26"/>
      <w:szCs w:val="26"/>
    </w:rPr>
  </w:style>
  <w:style w:type="character" w:styleId="Kommentarsreferens">
    <w:name w:val="annotation reference"/>
    <w:basedOn w:val="Standardstycketeckensnitt"/>
    <w:uiPriority w:val="99"/>
    <w:semiHidden/>
    <w:unhideWhenUsed/>
    <w:rsid w:val="009F3C11"/>
    <w:rPr>
      <w:sz w:val="16"/>
      <w:szCs w:val="16"/>
    </w:rPr>
  </w:style>
  <w:style w:type="paragraph" w:styleId="Kommentarer">
    <w:name w:val="annotation text"/>
    <w:basedOn w:val="Normal"/>
    <w:link w:val="KommentarerChar"/>
    <w:uiPriority w:val="99"/>
    <w:semiHidden/>
    <w:unhideWhenUsed/>
    <w:rsid w:val="009F3C11"/>
    <w:rPr>
      <w:sz w:val="20"/>
      <w:szCs w:val="20"/>
    </w:rPr>
  </w:style>
  <w:style w:type="character" w:customStyle="1" w:styleId="KommentarerChar">
    <w:name w:val="Kommentarer Char"/>
    <w:basedOn w:val="Standardstycketeckensnitt"/>
    <w:link w:val="Kommentarer"/>
    <w:uiPriority w:val="99"/>
    <w:semiHidden/>
    <w:rsid w:val="009F3C11"/>
    <w:rPr>
      <w:sz w:val="20"/>
      <w:szCs w:val="20"/>
    </w:rPr>
  </w:style>
  <w:style w:type="paragraph" w:styleId="Kommentarsmne">
    <w:name w:val="annotation subject"/>
    <w:basedOn w:val="Kommentarer"/>
    <w:next w:val="Kommentarer"/>
    <w:link w:val="KommentarsmneChar"/>
    <w:uiPriority w:val="99"/>
    <w:semiHidden/>
    <w:unhideWhenUsed/>
    <w:rsid w:val="009F3C11"/>
    <w:rPr>
      <w:b/>
      <w:bCs/>
    </w:rPr>
  </w:style>
  <w:style w:type="character" w:customStyle="1" w:styleId="KommentarsmneChar">
    <w:name w:val="Kommentarsämne Char"/>
    <w:basedOn w:val="KommentarerChar"/>
    <w:link w:val="Kommentarsmne"/>
    <w:uiPriority w:val="99"/>
    <w:semiHidden/>
    <w:rsid w:val="009F3C11"/>
    <w:rPr>
      <w:b/>
      <w:bCs/>
      <w:sz w:val="20"/>
      <w:szCs w:val="20"/>
    </w:rPr>
  </w:style>
  <w:style w:type="paragraph" w:styleId="Revision">
    <w:name w:val="Revision"/>
    <w:hidden/>
    <w:uiPriority w:val="99"/>
    <w:semiHidden/>
    <w:rsid w:val="009F3C11"/>
  </w:style>
  <w:style w:type="paragraph" w:styleId="Fotnotstext">
    <w:name w:val="footnote text"/>
    <w:basedOn w:val="Normal"/>
    <w:link w:val="FotnotstextChar"/>
    <w:rsid w:val="00AD402F"/>
    <w:pPr>
      <w:spacing w:after="80"/>
      <w:jc w:val="center"/>
    </w:pPr>
    <w:rPr>
      <w:rFonts w:ascii="Calibri" w:eastAsia="Calibri" w:hAnsi="Calibri" w:cs="Times New Roman"/>
      <w:sz w:val="20"/>
      <w:szCs w:val="20"/>
      <w:lang w:val="en-GB"/>
    </w:rPr>
  </w:style>
  <w:style w:type="character" w:customStyle="1" w:styleId="FotnotstextChar">
    <w:name w:val="Fotnotstext Char"/>
    <w:basedOn w:val="Standardstycketeckensnitt"/>
    <w:link w:val="Fotnotstext"/>
    <w:rsid w:val="00AD402F"/>
    <w:rPr>
      <w:rFonts w:ascii="Calibri" w:eastAsia="Calibri" w:hAnsi="Calibri" w:cs="Times New Roman"/>
      <w:sz w:val="20"/>
      <w:szCs w:val="20"/>
      <w:lang w:val="en-GB"/>
    </w:rPr>
  </w:style>
  <w:style w:type="character" w:styleId="Fotnotsreferens">
    <w:name w:val="footnote reference"/>
    <w:basedOn w:val="Standardstycketeckensnitt"/>
    <w:rsid w:val="00AD40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A8"/>
  </w:style>
  <w:style w:type="paragraph" w:styleId="Rubrik2">
    <w:name w:val="heading 2"/>
    <w:basedOn w:val="Normal"/>
    <w:next w:val="Normal"/>
    <w:link w:val="Rubrik2Char"/>
    <w:uiPriority w:val="9"/>
    <w:unhideWhenUsed/>
    <w:qFormat/>
    <w:rsid w:val="00472D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3DA8"/>
    <w:pPr>
      <w:tabs>
        <w:tab w:val="center" w:pos="4536"/>
        <w:tab w:val="right" w:pos="9072"/>
      </w:tabs>
    </w:pPr>
  </w:style>
  <w:style w:type="character" w:customStyle="1" w:styleId="SidhuvudChar">
    <w:name w:val="Sidhuvud Char"/>
    <w:basedOn w:val="Standardstycketeckensnitt"/>
    <w:link w:val="Sidhuvud"/>
    <w:uiPriority w:val="99"/>
    <w:rsid w:val="00BB3DA8"/>
  </w:style>
  <w:style w:type="paragraph" w:styleId="Ballongtext">
    <w:name w:val="Balloon Text"/>
    <w:basedOn w:val="Normal"/>
    <w:link w:val="BallongtextChar"/>
    <w:uiPriority w:val="99"/>
    <w:semiHidden/>
    <w:unhideWhenUsed/>
    <w:rsid w:val="00BB3DA8"/>
    <w:rPr>
      <w:rFonts w:ascii="Tahoma" w:hAnsi="Tahoma" w:cs="Tahoma"/>
      <w:sz w:val="16"/>
      <w:szCs w:val="16"/>
    </w:rPr>
  </w:style>
  <w:style w:type="character" w:customStyle="1" w:styleId="BallongtextChar">
    <w:name w:val="Ballongtext Char"/>
    <w:basedOn w:val="Standardstycketeckensnitt"/>
    <w:link w:val="Ballongtext"/>
    <w:uiPriority w:val="99"/>
    <w:semiHidden/>
    <w:rsid w:val="00BB3DA8"/>
    <w:rPr>
      <w:rFonts w:ascii="Tahoma" w:hAnsi="Tahoma" w:cs="Tahoma"/>
      <w:sz w:val="16"/>
      <w:szCs w:val="16"/>
    </w:rPr>
  </w:style>
  <w:style w:type="character" w:customStyle="1" w:styleId="Rubrik2Char">
    <w:name w:val="Rubrik 2 Char"/>
    <w:basedOn w:val="Standardstycketeckensnitt"/>
    <w:link w:val="Rubrik2"/>
    <w:uiPriority w:val="9"/>
    <w:rsid w:val="00472D7D"/>
    <w:rPr>
      <w:rFonts w:asciiTheme="majorHAnsi" w:eastAsiaTheme="majorEastAsia" w:hAnsiTheme="majorHAnsi" w:cstheme="majorBidi"/>
      <w:b/>
      <w:bCs/>
      <w:color w:val="4F81BD" w:themeColor="accent1"/>
      <w:sz w:val="26"/>
      <w:szCs w:val="26"/>
    </w:rPr>
  </w:style>
  <w:style w:type="character" w:styleId="Kommentarsreferens">
    <w:name w:val="annotation reference"/>
    <w:basedOn w:val="Standardstycketeckensnitt"/>
    <w:uiPriority w:val="99"/>
    <w:semiHidden/>
    <w:unhideWhenUsed/>
    <w:rsid w:val="009F3C11"/>
    <w:rPr>
      <w:sz w:val="16"/>
      <w:szCs w:val="16"/>
    </w:rPr>
  </w:style>
  <w:style w:type="paragraph" w:styleId="Kommentarer">
    <w:name w:val="annotation text"/>
    <w:basedOn w:val="Normal"/>
    <w:link w:val="KommentarerChar"/>
    <w:uiPriority w:val="99"/>
    <w:semiHidden/>
    <w:unhideWhenUsed/>
    <w:rsid w:val="009F3C11"/>
    <w:rPr>
      <w:sz w:val="20"/>
      <w:szCs w:val="20"/>
    </w:rPr>
  </w:style>
  <w:style w:type="character" w:customStyle="1" w:styleId="KommentarerChar">
    <w:name w:val="Kommentarer Char"/>
    <w:basedOn w:val="Standardstycketeckensnitt"/>
    <w:link w:val="Kommentarer"/>
    <w:uiPriority w:val="99"/>
    <w:semiHidden/>
    <w:rsid w:val="009F3C11"/>
    <w:rPr>
      <w:sz w:val="20"/>
      <w:szCs w:val="20"/>
    </w:rPr>
  </w:style>
  <w:style w:type="paragraph" w:styleId="Kommentarsmne">
    <w:name w:val="annotation subject"/>
    <w:basedOn w:val="Kommentarer"/>
    <w:next w:val="Kommentarer"/>
    <w:link w:val="KommentarsmneChar"/>
    <w:uiPriority w:val="99"/>
    <w:semiHidden/>
    <w:unhideWhenUsed/>
    <w:rsid w:val="009F3C11"/>
    <w:rPr>
      <w:b/>
      <w:bCs/>
    </w:rPr>
  </w:style>
  <w:style w:type="character" w:customStyle="1" w:styleId="KommentarsmneChar">
    <w:name w:val="Kommentarsämne Char"/>
    <w:basedOn w:val="KommentarerChar"/>
    <w:link w:val="Kommentarsmne"/>
    <w:uiPriority w:val="99"/>
    <w:semiHidden/>
    <w:rsid w:val="009F3C11"/>
    <w:rPr>
      <w:b/>
      <w:bCs/>
      <w:sz w:val="20"/>
      <w:szCs w:val="20"/>
    </w:rPr>
  </w:style>
  <w:style w:type="paragraph" w:styleId="Revision">
    <w:name w:val="Revision"/>
    <w:hidden/>
    <w:uiPriority w:val="99"/>
    <w:semiHidden/>
    <w:rsid w:val="009F3C11"/>
  </w:style>
  <w:style w:type="paragraph" w:styleId="Fotnotstext">
    <w:name w:val="footnote text"/>
    <w:basedOn w:val="Normal"/>
    <w:link w:val="FotnotstextChar"/>
    <w:rsid w:val="00AD402F"/>
    <w:pPr>
      <w:spacing w:after="80"/>
      <w:jc w:val="center"/>
    </w:pPr>
    <w:rPr>
      <w:rFonts w:ascii="Calibri" w:eastAsia="Calibri" w:hAnsi="Calibri" w:cs="Times New Roman"/>
      <w:sz w:val="20"/>
      <w:szCs w:val="20"/>
      <w:lang w:val="en-GB"/>
    </w:rPr>
  </w:style>
  <w:style w:type="character" w:customStyle="1" w:styleId="FotnotstextChar">
    <w:name w:val="Fotnotstext Char"/>
    <w:basedOn w:val="Standardstycketeckensnitt"/>
    <w:link w:val="Fotnotstext"/>
    <w:rsid w:val="00AD402F"/>
    <w:rPr>
      <w:rFonts w:ascii="Calibri" w:eastAsia="Calibri" w:hAnsi="Calibri" w:cs="Times New Roman"/>
      <w:sz w:val="20"/>
      <w:szCs w:val="20"/>
      <w:lang w:val="en-GB"/>
    </w:rPr>
  </w:style>
  <w:style w:type="character" w:styleId="Fotnotsreferens">
    <w:name w:val="footnote reference"/>
    <w:basedOn w:val="Standardstycketeckensnitt"/>
    <w:rsid w:val="00AD4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57927">
      <w:bodyDiv w:val="1"/>
      <w:marLeft w:val="0"/>
      <w:marRight w:val="0"/>
      <w:marTop w:val="0"/>
      <w:marBottom w:val="0"/>
      <w:divBdr>
        <w:top w:val="none" w:sz="0" w:space="0" w:color="auto"/>
        <w:left w:val="none" w:sz="0" w:space="0" w:color="auto"/>
        <w:bottom w:val="none" w:sz="0" w:space="0" w:color="auto"/>
        <w:right w:val="none" w:sz="0" w:space="0" w:color="auto"/>
      </w:divBdr>
    </w:div>
    <w:div w:id="213767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image" Target="media/image2.png"/><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image" Target="media/image1.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bignami\AppData\Local\PluriWorks\.CCWorkflow\103950.554299.c16bdb3c-7a12-46eb-be1a-8f81af83a52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bignami\AppData\Local\PluriWorks\.CCWorkflow\103950.554299.c16bdb3c-7a12-46eb-be1a-8f81af83a52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bignami\AppData\Local\PluriWorks\.CCWorkflow\103950.554299.c16bdb3c-7a12-46eb-be1a-8f81af83a52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bignami\AppData\Local\PluriWorks\.CCWorkflow\103950.554299.c16bdb3c-7a12-46eb-be1a-8f81af83a52e.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bignami\AppData\Local\PluriWorks\.CCWorkflow\103950.554299.c16bdb3c-7a12-46eb-be1a-8f81af83a52e.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bignami\AppData\Local\PluriWorks\.CCWorkflow\103950.554299.c16bdb3c-7a12-46eb-be1a-8f81af83a52e.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bignami\AppData\Local\PluriWorks\.CCWorkflow\103950.554299.c16bdb3c-7a12-46eb-be1a-8f81af83a52e.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bignami\AppData\Local\PluriWorks\.CCWorkflow\103950.554299.c16bdb3c-7a12-46eb-be1a-8f81af83a52e.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bignami\AppData\Local\PluriWorks\.CCWorkflow\103950.554299.c16bdb3c-7a12-46eb-be1a-8f81af83a52e.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bignami\AppData\Local\PluriWorks\.CCWorkflow\103950.554299.c16bdb3c-7a12-46eb-be1a-8f81af83a52e.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bignami\AppData\Local\PluriWorks\.CCWorkflow\103950.554299.c16bdb3c-7a12-46eb-be1a-8f81af83a52e.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bignami\AppData\Local\PluriWorks\.CCWorkflow\103950.554299.c16bdb3c-7a12-46eb-be1a-8f81af83a52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bignami\AppData\Local\PluriWorks\.CCWorkflow\103950.554299.c16bdb3c-7a12-46eb-be1a-8f81af83a52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bignami\AppData\Local\PluriWorks\.CCWorkflow\103950.554299.c16bdb3c-7a12-46eb-be1a-8f81af83a52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bignami\AppData\Local\PluriWorks\.CCWorkflow\103950.554299.c16bdb3c-7a12-46eb-be1a-8f81af83a52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bignami\AppData\Local\PluriWorks\.CCWorkflow\103950.554299.c16bdb3c-7a12-46eb-be1a-8f81af83a52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bignami\AppData\Local\PluriWorks\.CCWorkflow\103950.554299.c16bdb3c-7a12-46eb-be1a-8f81af83a52e.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bignami\AppData\Local\PluriWorks\.CCWorkflow\103950.554299.c16bdb3c-7a12-46eb-be1a-8f81af83a52e.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bignami\AppData\Local\PluriWorks\.CCWorkflow\103950.554299.c16bdb3c-7a12-46eb-be1a-8f81af83a52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Normalisation + smoothing</c:v>
          </c:tx>
          <c:spPr>
            <a:ln w="38100">
              <a:solidFill>
                <a:srgbClr val="FFC000"/>
              </a:solidFill>
            </a:ln>
          </c:spPr>
          <c:marker>
            <c:symbol val="none"/>
          </c:marker>
          <c:cat>
            <c:strRef>
              <c:f>'Time series'!$D$94:$L$94</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series'!$D$105:$L$105</c:f>
              <c:numCache>
                <c:formatCode>#,##0.0</c:formatCode>
                <c:ptCount val="9"/>
                <c:pt idx="0">
                  <c:v>-6.2933454667136441</c:v>
                </c:pt>
                <c:pt idx="1">
                  <c:v>-4.2659149761568136</c:v>
                </c:pt>
                <c:pt idx="2">
                  <c:v>2.054932150570715</c:v>
                </c:pt>
                <c:pt idx="3">
                  <c:v>1.8376020133080087</c:v>
                </c:pt>
                <c:pt idx="4">
                  <c:v>2.1769818499857649</c:v>
                </c:pt>
                <c:pt idx="5">
                  <c:v>-3.3677155105684031E-2</c:v>
                </c:pt>
                <c:pt idx="6">
                  <c:v>0.53948967221804289</c:v>
                </c:pt>
                <c:pt idx="7">
                  <c:v>1.1044829713246567</c:v>
                </c:pt>
                <c:pt idx="8">
                  <c:v>2.7685464804195683</c:v>
                </c:pt>
              </c:numCache>
            </c:numRef>
          </c:val>
          <c:smooth val="0"/>
        </c:ser>
        <c:dLbls>
          <c:showLegendKey val="0"/>
          <c:showVal val="0"/>
          <c:showCatName val="0"/>
          <c:showSerName val="0"/>
          <c:showPercent val="0"/>
          <c:showBubbleSize val="0"/>
        </c:dLbls>
        <c:marker val="1"/>
        <c:smooth val="0"/>
        <c:axId val="139578752"/>
        <c:axId val="139588736"/>
      </c:lineChart>
      <c:catAx>
        <c:axId val="139578752"/>
        <c:scaling>
          <c:orientation val="minMax"/>
        </c:scaling>
        <c:delete val="0"/>
        <c:axPos val="b"/>
        <c:numFmt formatCode="General" sourceLinked="0"/>
        <c:majorTickMark val="out"/>
        <c:minorTickMark val="none"/>
        <c:tickLblPos val="low"/>
        <c:crossAx val="139588736"/>
        <c:crosses val="autoZero"/>
        <c:auto val="1"/>
        <c:lblAlgn val="ctr"/>
        <c:lblOffset val="100"/>
        <c:noMultiLvlLbl val="0"/>
      </c:catAx>
      <c:valAx>
        <c:axId val="139588736"/>
        <c:scaling>
          <c:orientation val="minMax"/>
        </c:scaling>
        <c:delete val="0"/>
        <c:axPos val="l"/>
        <c:majorGridlines/>
        <c:numFmt formatCode="#,##0" sourceLinked="0"/>
        <c:majorTickMark val="out"/>
        <c:minorTickMark val="none"/>
        <c:tickLblPos val="nextTo"/>
        <c:crossAx val="139578752"/>
        <c:crosses val="autoZero"/>
        <c:crossBetween val="between"/>
        <c:majorUnit val="2"/>
      </c:valAx>
      <c:spPr>
        <a:ln>
          <a:solidFill>
            <a:srgbClr val="4F81BD"/>
          </a:solidFill>
        </a:ln>
      </c:spPr>
    </c:plotArea>
    <c:plotVisOnly val="1"/>
    <c:dispBlanksAs val="gap"/>
    <c:showDLblsOverMax val="0"/>
  </c:chart>
  <c:spPr>
    <a:ln>
      <a:solidFill>
        <a:sysClr val="windowText" lastClr="000000"/>
      </a:solidFill>
    </a:ln>
  </c:spPr>
  <c:txPr>
    <a:bodyPr/>
    <a:lstStyle/>
    <a:p>
      <a:pPr>
        <a:defRPr sz="1050">
          <a:latin typeface="Georgia" panose="02040502050405020303" pitchFamily="18" charset="0"/>
        </a:defRPr>
      </a:pPr>
      <a:endParaRPr lang="sv-SE"/>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Current</c:v>
          </c:tx>
          <c:marker>
            <c:symbol val="none"/>
          </c:marker>
          <c:cat>
            <c:strRef>
              <c:f>'Time series'!$D$6:$L$6</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series'!$P$15:$X$15</c:f>
              <c:numCache>
                <c:formatCode>#,##0</c:formatCode>
                <c:ptCount val="9"/>
                <c:pt idx="0">
                  <c:v>-13.357142857142858</c:v>
                </c:pt>
                <c:pt idx="1">
                  <c:v>0.89285714285714235</c:v>
                </c:pt>
                <c:pt idx="2">
                  <c:v>15.142857142857142</c:v>
                </c:pt>
                <c:pt idx="3">
                  <c:v>11.892857142857142</c:v>
                </c:pt>
                <c:pt idx="4">
                  <c:v>8.6428571428571423</c:v>
                </c:pt>
                <c:pt idx="5">
                  <c:v>-5.3571428571428577</c:v>
                </c:pt>
                <c:pt idx="6">
                  <c:v>-4.3571428571428577</c:v>
                </c:pt>
                <c:pt idx="7">
                  <c:v>-5.8571428571428577</c:v>
                </c:pt>
                <c:pt idx="8">
                  <c:v>5.1428571428571423</c:v>
                </c:pt>
              </c:numCache>
            </c:numRef>
          </c:val>
          <c:smooth val="0"/>
        </c:ser>
        <c:ser>
          <c:idx val="1"/>
          <c:order val="1"/>
          <c:tx>
            <c:v>Future</c:v>
          </c:tx>
          <c:marker>
            <c:symbol val="none"/>
          </c:marker>
          <c:cat>
            <c:strRef>
              <c:f>'Time series'!$D$6:$L$6</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series'!$P$41:$X$41</c:f>
              <c:numCache>
                <c:formatCode>#,##0</c:formatCode>
                <c:ptCount val="9"/>
                <c:pt idx="0">
                  <c:v>33</c:v>
                </c:pt>
                <c:pt idx="1">
                  <c:v>26.5</c:v>
                </c:pt>
                <c:pt idx="2">
                  <c:v>20</c:v>
                </c:pt>
                <c:pt idx="3">
                  <c:v>13</c:v>
                </c:pt>
                <c:pt idx="4">
                  <c:v>6</c:v>
                </c:pt>
                <c:pt idx="5">
                  <c:v>-20.5</c:v>
                </c:pt>
                <c:pt idx="6">
                  <c:v>-13.5</c:v>
                </c:pt>
                <c:pt idx="7">
                  <c:v>-18</c:v>
                </c:pt>
                <c:pt idx="8">
                  <c:v>-7</c:v>
                </c:pt>
              </c:numCache>
            </c:numRef>
          </c:val>
          <c:smooth val="0"/>
        </c:ser>
        <c:dLbls>
          <c:showLegendKey val="0"/>
          <c:showVal val="0"/>
          <c:showCatName val="0"/>
          <c:showSerName val="0"/>
          <c:showPercent val="0"/>
          <c:showBubbleSize val="0"/>
        </c:dLbls>
        <c:marker val="1"/>
        <c:smooth val="0"/>
        <c:axId val="149661184"/>
        <c:axId val="149662720"/>
      </c:lineChart>
      <c:catAx>
        <c:axId val="149661184"/>
        <c:scaling>
          <c:orientation val="minMax"/>
        </c:scaling>
        <c:delete val="0"/>
        <c:axPos val="b"/>
        <c:numFmt formatCode="General" sourceLinked="0"/>
        <c:majorTickMark val="out"/>
        <c:minorTickMark val="none"/>
        <c:tickLblPos val="low"/>
        <c:crossAx val="149662720"/>
        <c:crosses val="autoZero"/>
        <c:auto val="1"/>
        <c:lblAlgn val="ctr"/>
        <c:lblOffset val="100"/>
        <c:tickLblSkip val="2"/>
        <c:noMultiLvlLbl val="0"/>
      </c:catAx>
      <c:valAx>
        <c:axId val="149662720"/>
        <c:scaling>
          <c:orientation val="minMax"/>
        </c:scaling>
        <c:delete val="0"/>
        <c:axPos val="l"/>
        <c:majorGridlines/>
        <c:numFmt formatCode="#,##0" sourceLinked="1"/>
        <c:majorTickMark val="out"/>
        <c:minorTickMark val="none"/>
        <c:tickLblPos val="nextTo"/>
        <c:crossAx val="149661184"/>
        <c:crosses val="autoZero"/>
        <c:crossBetween val="between"/>
      </c:valAx>
    </c:plotArea>
    <c:legend>
      <c:legendPos val="b"/>
      <c:layout/>
      <c:overlay val="0"/>
    </c:legend>
    <c:plotVisOnly val="1"/>
    <c:dispBlanksAs val="gap"/>
    <c:showDLblsOverMax val="0"/>
  </c:chart>
  <c:spPr>
    <a:ln>
      <a:noFill/>
    </a:ln>
  </c:spPr>
  <c:txPr>
    <a:bodyPr/>
    <a:lstStyle/>
    <a:p>
      <a:pPr>
        <a:defRPr>
          <a:latin typeface="Georgia" panose="02040502050405020303" pitchFamily="18" charset="0"/>
        </a:defRPr>
      </a:pPr>
      <a:endParaRPr lang="sv-SE"/>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8"/>
          <c:order val="0"/>
          <c:tx>
            <c:strRef>
              <c:f>'Time series'!$C$91</c:f>
              <c:strCache>
                <c:ptCount val="1"/>
                <c:pt idx="0">
                  <c:v>Sweden</c:v>
                </c:pt>
              </c:strCache>
            </c:strRef>
          </c:tx>
          <c:marker>
            <c:symbol val="none"/>
          </c:marker>
          <c:cat>
            <c:strRef>
              <c:f>'Time series'!$D$82:$L$82</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series'!$D$91:$L$91</c:f>
              <c:numCache>
                <c:formatCode>#,##0</c:formatCode>
                <c:ptCount val="9"/>
                <c:pt idx="0">
                  <c:v>5.5321054442945004</c:v>
                </c:pt>
                <c:pt idx="1">
                  <c:v>13.070337802845623</c:v>
                </c:pt>
                <c:pt idx="2">
                  <c:v>20.608570161396745</c:v>
                </c:pt>
                <c:pt idx="3">
                  <c:v>14.912563566477953</c:v>
                </c:pt>
                <c:pt idx="4">
                  <c:v>9.2165569715591591</c:v>
                </c:pt>
                <c:pt idx="5">
                  <c:v>-10.451273184173901</c:v>
                </c:pt>
                <c:pt idx="6">
                  <c:v>-7.0835161692412552</c:v>
                </c:pt>
                <c:pt idx="7">
                  <c:v>-9.6414797437144095</c:v>
                </c:pt>
                <c:pt idx="8">
                  <c:v>0.11787297111080759</c:v>
                </c:pt>
              </c:numCache>
            </c:numRef>
          </c:val>
          <c:smooth val="0"/>
        </c:ser>
        <c:dLbls>
          <c:showLegendKey val="0"/>
          <c:showVal val="0"/>
          <c:showCatName val="0"/>
          <c:showSerName val="0"/>
          <c:showPercent val="0"/>
          <c:showBubbleSize val="0"/>
        </c:dLbls>
        <c:marker val="1"/>
        <c:smooth val="0"/>
        <c:axId val="149711488"/>
        <c:axId val="149721472"/>
      </c:lineChart>
      <c:catAx>
        <c:axId val="149711488"/>
        <c:scaling>
          <c:orientation val="minMax"/>
        </c:scaling>
        <c:delete val="0"/>
        <c:axPos val="b"/>
        <c:numFmt formatCode="General" sourceLinked="0"/>
        <c:majorTickMark val="out"/>
        <c:minorTickMark val="none"/>
        <c:tickLblPos val="low"/>
        <c:crossAx val="149721472"/>
        <c:crosses val="autoZero"/>
        <c:auto val="1"/>
        <c:lblAlgn val="ctr"/>
        <c:lblOffset val="100"/>
        <c:tickLblSkip val="2"/>
        <c:noMultiLvlLbl val="0"/>
      </c:catAx>
      <c:valAx>
        <c:axId val="149721472"/>
        <c:scaling>
          <c:orientation val="minMax"/>
          <c:min val="-15"/>
        </c:scaling>
        <c:delete val="0"/>
        <c:axPos val="l"/>
        <c:majorGridlines/>
        <c:numFmt formatCode="#,##0" sourceLinked="0"/>
        <c:majorTickMark val="out"/>
        <c:minorTickMark val="none"/>
        <c:tickLblPos val="nextTo"/>
        <c:crossAx val="149711488"/>
        <c:crosses val="autoZero"/>
        <c:crossBetween val="between"/>
      </c:valAx>
    </c:plotArea>
    <c:plotVisOnly val="1"/>
    <c:dispBlanksAs val="gap"/>
    <c:showDLblsOverMax val="0"/>
  </c:chart>
  <c:spPr>
    <a:solidFill>
      <a:schemeClr val="bg1"/>
    </a:solidFill>
    <a:ln>
      <a:noFill/>
    </a:ln>
  </c:spPr>
  <c:txPr>
    <a:bodyPr/>
    <a:lstStyle/>
    <a:p>
      <a:pPr>
        <a:defRPr>
          <a:latin typeface="Georgia" panose="02040502050405020303" pitchFamily="18" charset="0"/>
        </a:defRPr>
      </a:pPr>
      <a:endParaRPr lang="sv-SE"/>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Current</c:v>
          </c:tx>
          <c:marker>
            <c:symbol val="none"/>
          </c:marker>
          <c:cat>
            <c:strRef>
              <c:f>'Time series'!$D$6:$L$6</c:f>
              <c:strCache>
                <c:ptCount val="4"/>
                <c:pt idx="0">
                  <c:v>2012Q3</c:v>
                </c:pt>
                <c:pt idx="1">
                  <c:v>2013Q1</c:v>
                </c:pt>
                <c:pt idx="2">
                  <c:v>2013Q3</c:v>
                </c:pt>
                <c:pt idx="3">
                  <c:v>2014Q1</c:v>
                </c:pt>
              </c:strCache>
            </c:strRef>
          </c:cat>
          <c:val>
            <c:numRef>
              <c:f>'Time series'!$P$12:$X$12</c:f>
              <c:numCache>
                <c:formatCode>#,##0</c:formatCode>
                <c:ptCount val="4"/>
                <c:pt idx="0">
                  <c:v>-0.48750000000000071</c:v>
                </c:pt>
                <c:pt idx="1">
                  <c:v>-0.78750000000000142</c:v>
                </c:pt>
                <c:pt idx="2">
                  <c:v>-1.1874999999999964</c:v>
                </c:pt>
                <c:pt idx="3">
                  <c:v>2.4625000000000021</c:v>
                </c:pt>
              </c:numCache>
            </c:numRef>
          </c:val>
          <c:smooth val="0"/>
        </c:ser>
        <c:ser>
          <c:idx val="1"/>
          <c:order val="1"/>
          <c:tx>
            <c:v>Future</c:v>
          </c:tx>
          <c:marker>
            <c:symbol val="none"/>
          </c:marker>
          <c:cat>
            <c:strRef>
              <c:f>'Time series'!$D$6:$L$6</c:f>
              <c:strCache>
                <c:ptCount val="4"/>
                <c:pt idx="0">
                  <c:v>2012Q3</c:v>
                </c:pt>
                <c:pt idx="1">
                  <c:v>2013Q1</c:v>
                </c:pt>
                <c:pt idx="2">
                  <c:v>2013Q3</c:v>
                </c:pt>
                <c:pt idx="3">
                  <c:v>2014Q1</c:v>
                </c:pt>
              </c:strCache>
            </c:strRef>
          </c:cat>
          <c:val>
            <c:numRef>
              <c:f>'Time series'!$P$38:$X$38</c:f>
              <c:numCache>
                <c:formatCode>#,##0</c:formatCode>
                <c:ptCount val="4"/>
                <c:pt idx="1">
                  <c:v>0.96666666666666679</c:v>
                </c:pt>
                <c:pt idx="2">
                  <c:v>0.11666666666666892</c:v>
                </c:pt>
                <c:pt idx="3">
                  <c:v>-1.0833333333333321</c:v>
                </c:pt>
              </c:numCache>
            </c:numRef>
          </c:val>
          <c:smooth val="0"/>
        </c:ser>
        <c:dLbls>
          <c:showLegendKey val="0"/>
          <c:showVal val="0"/>
          <c:showCatName val="0"/>
          <c:showSerName val="0"/>
          <c:showPercent val="0"/>
          <c:showBubbleSize val="0"/>
        </c:dLbls>
        <c:marker val="1"/>
        <c:smooth val="0"/>
        <c:axId val="149746048"/>
        <c:axId val="149747584"/>
      </c:lineChart>
      <c:catAx>
        <c:axId val="149746048"/>
        <c:scaling>
          <c:orientation val="minMax"/>
        </c:scaling>
        <c:delete val="0"/>
        <c:axPos val="b"/>
        <c:numFmt formatCode="General" sourceLinked="0"/>
        <c:majorTickMark val="out"/>
        <c:minorTickMark val="none"/>
        <c:tickLblPos val="low"/>
        <c:crossAx val="149747584"/>
        <c:crosses val="autoZero"/>
        <c:auto val="1"/>
        <c:lblAlgn val="ctr"/>
        <c:lblOffset val="100"/>
        <c:noMultiLvlLbl val="0"/>
      </c:catAx>
      <c:valAx>
        <c:axId val="149747584"/>
        <c:scaling>
          <c:orientation val="minMax"/>
        </c:scaling>
        <c:delete val="0"/>
        <c:axPos val="l"/>
        <c:majorGridlines/>
        <c:numFmt formatCode="#,##0" sourceLinked="0"/>
        <c:majorTickMark val="out"/>
        <c:minorTickMark val="none"/>
        <c:tickLblPos val="nextTo"/>
        <c:crossAx val="149746048"/>
        <c:crosses val="autoZero"/>
        <c:crossBetween val="between"/>
        <c:majorUnit val="1"/>
      </c:valAx>
    </c:plotArea>
    <c:legend>
      <c:legendPos val="b"/>
      <c:layout/>
      <c:overlay val="0"/>
    </c:legend>
    <c:plotVisOnly val="1"/>
    <c:dispBlanksAs val="gap"/>
    <c:showDLblsOverMax val="0"/>
  </c:chart>
  <c:spPr>
    <a:ln>
      <a:noFill/>
    </a:ln>
  </c:spPr>
  <c:txPr>
    <a:bodyPr/>
    <a:lstStyle/>
    <a:p>
      <a:pPr>
        <a:defRPr sz="1200">
          <a:latin typeface="Georgia" panose="02040502050405020303" pitchFamily="18" charset="0"/>
        </a:defRPr>
      </a:pPr>
      <a:endParaRPr lang="sv-SE"/>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5"/>
          <c:order val="0"/>
          <c:tx>
            <c:strRef>
              <c:f>'Time series'!$C$88</c:f>
              <c:strCache>
                <c:ptCount val="1"/>
                <c:pt idx="0">
                  <c:v>The Netherlands**</c:v>
                </c:pt>
              </c:strCache>
            </c:strRef>
          </c:tx>
          <c:marker>
            <c:symbol val="none"/>
          </c:marker>
          <c:cat>
            <c:strRef>
              <c:f>'Time series'!$D$82:$L$82</c:f>
              <c:strCache>
                <c:ptCount val="4"/>
                <c:pt idx="0">
                  <c:v>2012Q3</c:v>
                </c:pt>
                <c:pt idx="1">
                  <c:v>2013Q1</c:v>
                </c:pt>
                <c:pt idx="2">
                  <c:v>2013Q3</c:v>
                </c:pt>
                <c:pt idx="3">
                  <c:v>2014Q1</c:v>
                </c:pt>
              </c:strCache>
            </c:strRef>
          </c:cat>
          <c:val>
            <c:numRef>
              <c:f>'Time series'!$D$88:$L$88</c:f>
              <c:numCache>
                <c:formatCode>#,##0</c:formatCode>
                <c:ptCount val="4"/>
                <c:pt idx="0">
                  <c:v>2.9067147453651128</c:v>
                </c:pt>
                <c:pt idx="1">
                  <c:v>-1.3700231569599781</c:v>
                </c:pt>
                <c:pt idx="2">
                  <c:v>-2.1559863005233222</c:v>
                </c:pt>
                <c:pt idx="3">
                  <c:v>-0.77817503272033739</c:v>
                </c:pt>
              </c:numCache>
            </c:numRef>
          </c:val>
          <c:smooth val="0"/>
        </c:ser>
        <c:dLbls>
          <c:showLegendKey val="0"/>
          <c:showVal val="0"/>
          <c:showCatName val="0"/>
          <c:showSerName val="0"/>
          <c:showPercent val="0"/>
          <c:showBubbleSize val="0"/>
        </c:dLbls>
        <c:marker val="1"/>
        <c:smooth val="0"/>
        <c:axId val="149841408"/>
        <c:axId val="149842944"/>
      </c:lineChart>
      <c:catAx>
        <c:axId val="149841408"/>
        <c:scaling>
          <c:orientation val="minMax"/>
        </c:scaling>
        <c:delete val="0"/>
        <c:axPos val="b"/>
        <c:numFmt formatCode="General" sourceLinked="0"/>
        <c:majorTickMark val="out"/>
        <c:minorTickMark val="none"/>
        <c:tickLblPos val="low"/>
        <c:crossAx val="149842944"/>
        <c:crosses val="autoZero"/>
        <c:auto val="1"/>
        <c:lblAlgn val="ctr"/>
        <c:lblOffset val="100"/>
        <c:noMultiLvlLbl val="0"/>
      </c:catAx>
      <c:valAx>
        <c:axId val="149842944"/>
        <c:scaling>
          <c:orientation val="minMax"/>
          <c:max val="10"/>
          <c:min val="-10"/>
        </c:scaling>
        <c:delete val="0"/>
        <c:axPos val="l"/>
        <c:majorGridlines/>
        <c:numFmt formatCode="#,##0" sourceLinked="0"/>
        <c:majorTickMark val="out"/>
        <c:minorTickMark val="none"/>
        <c:tickLblPos val="nextTo"/>
        <c:crossAx val="149841408"/>
        <c:crosses val="autoZero"/>
        <c:crossBetween val="between"/>
        <c:majorUnit val="5"/>
      </c:valAx>
    </c:plotArea>
    <c:plotVisOnly val="1"/>
    <c:dispBlanksAs val="gap"/>
    <c:showDLblsOverMax val="0"/>
  </c:chart>
  <c:spPr>
    <a:solidFill>
      <a:schemeClr val="bg1"/>
    </a:solidFill>
    <a:ln>
      <a:noFill/>
    </a:ln>
  </c:spPr>
  <c:txPr>
    <a:bodyPr/>
    <a:lstStyle/>
    <a:p>
      <a:pPr>
        <a:defRPr sz="1200">
          <a:latin typeface="Georgia" panose="02040502050405020303" pitchFamily="18" charset="0"/>
        </a:defRPr>
      </a:pPr>
      <a:endParaRPr lang="sv-SE"/>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Current</c:v>
          </c:tx>
          <c:marker>
            <c:symbol val="none"/>
          </c:marker>
          <c:cat>
            <c:strRef>
              <c:f>'Time series'!$D$6:$L$6</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series'!$P$7:$X$7</c:f>
              <c:numCache>
                <c:formatCode>#,##0</c:formatCode>
                <c:ptCount val="9"/>
                <c:pt idx="0">
                  <c:v>-14.03776085339314</c:v>
                </c:pt>
                <c:pt idx="1">
                  <c:v>4.0125413073824756</c:v>
                </c:pt>
                <c:pt idx="2">
                  <c:v>0.95504429304328653</c:v>
                </c:pt>
                <c:pt idx="3">
                  <c:v>-10.51838992895893</c:v>
                </c:pt>
                <c:pt idx="4">
                  <c:v>-4.2210826206843759</c:v>
                </c:pt>
                <c:pt idx="5">
                  <c:v>-8.4213254580704433</c:v>
                </c:pt>
                <c:pt idx="6">
                  <c:v>11.189837013689703</c:v>
                </c:pt>
                <c:pt idx="7">
                  <c:v>13.643571419775864</c:v>
                </c:pt>
                <c:pt idx="8">
                  <c:v>7.3975648272155556</c:v>
                </c:pt>
              </c:numCache>
            </c:numRef>
          </c:val>
          <c:smooth val="0"/>
        </c:ser>
        <c:ser>
          <c:idx val="1"/>
          <c:order val="1"/>
          <c:tx>
            <c:v>Future</c:v>
          </c:tx>
          <c:marker>
            <c:symbol val="none"/>
          </c:marker>
          <c:cat>
            <c:strRef>
              <c:f>'Time series'!$D$6:$L$6</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series'!$P$33:$X$33</c:f>
              <c:numCache>
                <c:formatCode>#,##0</c:formatCode>
                <c:ptCount val="9"/>
                <c:pt idx="0">
                  <c:v>1.3428116340928149</c:v>
                </c:pt>
                <c:pt idx="1">
                  <c:v>2.599673983951122</c:v>
                </c:pt>
                <c:pt idx="2">
                  <c:v>2.0994255128499133</c:v>
                </c:pt>
                <c:pt idx="3">
                  <c:v>-9.0121766840715694</c:v>
                </c:pt>
                <c:pt idx="4">
                  <c:v>-6.1322688024727032</c:v>
                </c:pt>
                <c:pt idx="5">
                  <c:v>7.9467186854126552</c:v>
                </c:pt>
                <c:pt idx="6">
                  <c:v>1.5970118492762515</c:v>
                </c:pt>
                <c:pt idx="7">
                  <c:v>4.4287331337434415</c:v>
                </c:pt>
                <c:pt idx="8">
                  <c:v>-4.869929312781923</c:v>
                </c:pt>
              </c:numCache>
            </c:numRef>
          </c:val>
          <c:smooth val="0"/>
        </c:ser>
        <c:dLbls>
          <c:showLegendKey val="0"/>
          <c:showVal val="0"/>
          <c:showCatName val="0"/>
          <c:showSerName val="0"/>
          <c:showPercent val="0"/>
          <c:showBubbleSize val="0"/>
        </c:dLbls>
        <c:marker val="1"/>
        <c:smooth val="0"/>
        <c:axId val="149946368"/>
        <c:axId val="149947904"/>
      </c:lineChart>
      <c:catAx>
        <c:axId val="149946368"/>
        <c:scaling>
          <c:orientation val="minMax"/>
        </c:scaling>
        <c:delete val="0"/>
        <c:axPos val="b"/>
        <c:numFmt formatCode="General" sourceLinked="0"/>
        <c:majorTickMark val="out"/>
        <c:minorTickMark val="none"/>
        <c:tickLblPos val="low"/>
        <c:crossAx val="149947904"/>
        <c:crosses val="autoZero"/>
        <c:auto val="1"/>
        <c:lblAlgn val="ctr"/>
        <c:lblOffset val="100"/>
        <c:noMultiLvlLbl val="0"/>
      </c:catAx>
      <c:valAx>
        <c:axId val="149947904"/>
        <c:scaling>
          <c:orientation val="minMax"/>
          <c:max val="15"/>
          <c:min val="-15"/>
        </c:scaling>
        <c:delete val="0"/>
        <c:axPos val="l"/>
        <c:majorGridlines/>
        <c:numFmt formatCode="#,##0" sourceLinked="1"/>
        <c:majorTickMark val="out"/>
        <c:minorTickMark val="none"/>
        <c:tickLblPos val="nextTo"/>
        <c:crossAx val="149946368"/>
        <c:crosses val="autoZero"/>
        <c:crossBetween val="between"/>
      </c:valAx>
    </c:plotArea>
    <c:legend>
      <c:legendPos val="b"/>
      <c:layout/>
      <c:overlay val="0"/>
    </c:legend>
    <c:plotVisOnly val="1"/>
    <c:dispBlanksAs val="gap"/>
    <c:showDLblsOverMax val="0"/>
  </c:chart>
  <c:spPr>
    <a:ln>
      <a:noFill/>
    </a:ln>
  </c:spPr>
  <c:txPr>
    <a:bodyPr/>
    <a:lstStyle/>
    <a:p>
      <a:pPr>
        <a:defRPr sz="1200">
          <a:latin typeface="Georgia" panose="02040502050405020303" pitchFamily="18" charset="0"/>
        </a:defRPr>
      </a:pPr>
      <a:endParaRPr lang="sv-SE"/>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'Time series'!$C$83</c:f>
              <c:strCache>
                <c:ptCount val="1"/>
                <c:pt idx="0">
                  <c:v>Belgium*</c:v>
                </c:pt>
              </c:strCache>
            </c:strRef>
          </c:tx>
          <c:marker>
            <c:symbol val="none"/>
          </c:marker>
          <c:cat>
            <c:strRef>
              <c:f>'Time series'!$D$82:$L$82</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series'!$D$83:$L$83</c:f>
              <c:numCache>
                <c:formatCode>#,##0</c:formatCode>
                <c:ptCount val="9"/>
                <c:pt idx="0">
                  <c:v>-6.5312451841212615</c:v>
                </c:pt>
                <c:pt idx="1">
                  <c:v>3.770147310407955</c:v>
                </c:pt>
                <c:pt idx="2">
                  <c:v>1.7679340882052685</c:v>
                </c:pt>
                <c:pt idx="3">
                  <c:v>-9.0103859919099545</c:v>
                </c:pt>
                <c:pt idx="4">
                  <c:v>-4.6438817037912976</c:v>
                </c:pt>
                <c:pt idx="5">
                  <c:v>-0.85886779511258526</c:v>
                </c:pt>
                <c:pt idx="6">
                  <c:v>7.2224246697393752</c:v>
                </c:pt>
                <c:pt idx="7">
                  <c:v>10.081745979741976</c:v>
                </c:pt>
                <c:pt idx="8">
                  <c:v>1.6658442082478004</c:v>
                </c:pt>
              </c:numCache>
            </c:numRef>
          </c:val>
          <c:smooth val="0"/>
        </c:ser>
        <c:dLbls>
          <c:showLegendKey val="0"/>
          <c:showVal val="0"/>
          <c:showCatName val="0"/>
          <c:showSerName val="0"/>
          <c:showPercent val="0"/>
          <c:showBubbleSize val="0"/>
        </c:dLbls>
        <c:marker val="1"/>
        <c:smooth val="0"/>
        <c:axId val="149972096"/>
        <c:axId val="149973632"/>
      </c:lineChart>
      <c:catAx>
        <c:axId val="149972096"/>
        <c:scaling>
          <c:orientation val="minMax"/>
        </c:scaling>
        <c:delete val="0"/>
        <c:axPos val="b"/>
        <c:numFmt formatCode="General" sourceLinked="0"/>
        <c:majorTickMark val="out"/>
        <c:minorTickMark val="none"/>
        <c:tickLblPos val="low"/>
        <c:crossAx val="149973632"/>
        <c:crosses val="autoZero"/>
        <c:auto val="1"/>
        <c:lblAlgn val="ctr"/>
        <c:lblOffset val="100"/>
        <c:noMultiLvlLbl val="0"/>
      </c:catAx>
      <c:valAx>
        <c:axId val="149973632"/>
        <c:scaling>
          <c:orientation val="minMax"/>
          <c:max val="15"/>
          <c:min val="-15"/>
        </c:scaling>
        <c:delete val="0"/>
        <c:axPos val="l"/>
        <c:majorGridlines/>
        <c:numFmt formatCode="#,##0" sourceLinked="0"/>
        <c:majorTickMark val="out"/>
        <c:minorTickMark val="none"/>
        <c:tickLblPos val="nextTo"/>
        <c:crossAx val="149972096"/>
        <c:crosses val="autoZero"/>
        <c:crossBetween val="between"/>
      </c:valAx>
    </c:plotArea>
    <c:plotVisOnly val="1"/>
    <c:dispBlanksAs val="gap"/>
    <c:showDLblsOverMax val="0"/>
  </c:chart>
  <c:spPr>
    <a:solidFill>
      <a:schemeClr val="bg1"/>
    </a:solidFill>
    <a:ln>
      <a:noFill/>
    </a:ln>
  </c:spPr>
  <c:txPr>
    <a:bodyPr/>
    <a:lstStyle/>
    <a:p>
      <a:pPr>
        <a:defRPr sz="1200">
          <a:latin typeface="Georgia" panose="02040502050405020303" pitchFamily="18" charset="0"/>
        </a:defRPr>
      </a:pPr>
      <a:endParaRPr lang="sv-SE"/>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Current</c:v>
          </c:tx>
          <c:marker>
            <c:symbol val="none"/>
          </c:marker>
          <c:cat>
            <c:strRef>
              <c:f>'Time series'!$D$6:$L$6</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series'!$P$13:$X$13</c:f>
              <c:numCache>
                <c:formatCode>#,##0</c:formatCode>
                <c:ptCount val="9"/>
                <c:pt idx="0">
                  <c:v>-10.985555555555555</c:v>
                </c:pt>
                <c:pt idx="1">
                  <c:v>-3.5155555555555562</c:v>
                </c:pt>
                <c:pt idx="2">
                  <c:v>-7.0505555555555546</c:v>
                </c:pt>
                <c:pt idx="3">
                  <c:v>2.1494444444444443</c:v>
                </c:pt>
                <c:pt idx="4">
                  <c:v>1.4044444444444442</c:v>
                </c:pt>
                <c:pt idx="5">
                  <c:v>3.6394444444444431</c:v>
                </c:pt>
                <c:pt idx="6">
                  <c:v>9.2844444444444463</c:v>
                </c:pt>
                <c:pt idx="7">
                  <c:v>1.0094444444444455</c:v>
                </c:pt>
                <c:pt idx="8">
                  <c:v>4.064444444444443</c:v>
                </c:pt>
              </c:numCache>
            </c:numRef>
          </c:val>
          <c:smooth val="0"/>
        </c:ser>
        <c:ser>
          <c:idx val="1"/>
          <c:order val="1"/>
          <c:tx>
            <c:v>Future</c:v>
          </c:tx>
          <c:marker>
            <c:symbol val="none"/>
          </c:marker>
          <c:cat>
            <c:strRef>
              <c:f>'Time series'!$D$6:$L$6</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series'!$P$39:$X$39</c:f>
              <c:numCache>
                <c:formatCode>#,##0</c:formatCode>
                <c:ptCount val="9"/>
                <c:pt idx="0">
                  <c:v>3.002222222222223</c:v>
                </c:pt>
                <c:pt idx="1">
                  <c:v>4.3872222222222224</c:v>
                </c:pt>
                <c:pt idx="2">
                  <c:v>-0.81777777777777771</c:v>
                </c:pt>
                <c:pt idx="3">
                  <c:v>4.8822222222222216</c:v>
                </c:pt>
                <c:pt idx="4">
                  <c:v>-8.4277777777777771</c:v>
                </c:pt>
                <c:pt idx="5">
                  <c:v>0.69722222222222197</c:v>
                </c:pt>
                <c:pt idx="6">
                  <c:v>-0.24277777777777665</c:v>
                </c:pt>
                <c:pt idx="7">
                  <c:v>1.0272222222222229</c:v>
                </c:pt>
                <c:pt idx="8">
                  <c:v>-4.5077777777777772</c:v>
                </c:pt>
              </c:numCache>
            </c:numRef>
          </c:val>
          <c:smooth val="0"/>
        </c:ser>
        <c:dLbls>
          <c:showLegendKey val="0"/>
          <c:showVal val="0"/>
          <c:showCatName val="0"/>
          <c:showSerName val="0"/>
          <c:showPercent val="0"/>
          <c:showBubbleSize val="0"/>
        </c:dLbls>
        <c:marker val="1"/>
        <c:smooth val="0"/>
        <c:axId val="150010496"/>
        <c:axId val="150012288"/>
      </c:lineChart>
      <c:catAx>
        <c:axId val="150010496"/>
        <c:scaling>
          <c:orientation val="minMax"/>
        </c:scaling>
        <c:delete val="0"/>
        <c:axPos val="b"/>
        <c:numFmt formatCode="General" sourceLinked="0"/>
        <c:majorTickMark val="out"/>
        <c:minorTickMark val="none"/>
        <c:tickLblPos val="low"/>
        <c:crossAx val="150012288"/>
        <c:crosses val="autoZero"/>
        <c:auto val="1"/>
        <c:lblAlgn val="ctr"/>
        <c:lblOffset val="100"/>
        <c:noMultiLvlLbl val="0"/>
      </c:catAx>
      <c:valAx>
        <c:axId val="150012288"/>
        <c:scaling>
          <c:orientation val="minMax"/>
        </c:scaling>
        <c:delete val="0"/>
        <c:axPos val="l"/>
        <c:majorGridlines/>
        <c:numFmt formatCode="#,##0" sourceLinked="1"/>
        <c:majorTickMark val="out"/>
        <c:minorTickMark val="none"/>
        <c:tickLblPos val="nextTo"/>
        <c:crossAx val="150010496"/>
        <c:crosses val="autoZero"/>
        <c:crossBetween val="between"/>
      </c:valAx>
    </c:plotArea>
    <c:legend>
      <c:legendPos val="b"/>
      <c:layout/>
      <c:overlay val="0"/>
    </c:legend>
    <c:plotVisOnly val="1"/>
    <c:dispBlanksAs val="gap"/>
    <c:showDLblsOverMax val="0"/>
  </c:chart>
  <c:spPr>
    <a:ln>
      <a:noFill/>
    </a:ln>
  </c:spPr>
  <c:txPr>
    <a:bodyPr/>
    <a:lstStyle/>
    <a:p>
      <a:pPr>
        <a:defRPr sz="1200">
          <a:latin typeface="Georgia" panose="02040502050405020303" pitchFamily="18" charset="0"/>
        </a:defRPr>
      </a:pPr>
      <a:endParaRPr lang="sv-SE"/>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6"/>
          <c:order val="0"/>
          <c:tx>
            <c:strRef>
              <c:f>'Time series'!$C$89</c:f>
              <c:strCache>
                <c:ptCount val="1"/>
                <c:pt idx="0">
                  <c:v>Poland</c:v>
                </c:pt>
              </c:strCache>
            </c:strRef>
          </c:tx>
          <c:marker>
            <c:symbol val="none"/>
          </c:marker>
          <c:cat>
            <c:strRef>
              <c:f>'Time series'!$D$82:$L$82</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series'!$D$89:$L$89</c:f>
              <c:numCache>
                <c:formatCode>#,##0</c:formatCode>
                <c:ptCount val="9"/>
                <c:pt idx="0">
                  <c:v>-3.9253554207235246</c:v>
                </c:pt>
                <c:pt idx="1">
                  <c:v>0.51707345618266465</c:v>
                </c:pt>
                <c:pt idx="2">
                  <c:v>-3.7253557670512909</c:v>
                </c:pt>
                <c:pt idx="3">
                  <c:v>3.7393372891605221</c:v>
                </c:pt>
                <c:pt idx="4">
                  <c:v>-3.5162793876912226</c:v>
                </c:pt>
                <c:pt idx="5">
                  <c:v>2.2978672935184501</c:v>
                </c:pt>
                <c:pt idx="6">
                  <c:v>4.5800002184649546</c:v>
                </c:pt>
                <c:pt idx="7">
                  <c:v>1.1411113872107084</c:v>
                </c:pt>
                <c:pt idx="8">
                  <c:v>-0.29010750236060551</c:v>
                </c:pt>
              </c:numCache>
            </c:numRef>
          </c:val>
          <c:smooth val="0"/>
        </c:ser>
        <c:dLbls>
          <c:showLegendKey val="0"/>
          <c:showVal val="0"/>
          <c:showCatName val="0"/>
          <c:showSerName val="0"/>
          <c:showPercent val="0"/>
          <c:showBubbleSize val="0"/>
        </c:dLbls>
        <c:marker val="1"/>
        <c:smooth val="0"/>
        <c:axId val="150061056"/>
        <c:axId val="150062592"/>
      </c:lineChart>
      <c:catAx>
        <c:axId val="150061056"/>
        <c:scaling>
          <c:orientation val="minMax"/>
        </c:scaling>
        <c:delete val="0"/>
        <c:axPos val="b"/>
        <c:numFmt formatCode="General" sourceLinked="0"/>
        <c:majorTickMark val="out"/>
        <c:minorTickMark val="none"/>
        <c:tickLblPos val="low"/>
        <c:crossAx val="150062592"/>
        <c:crosses val="autoZero"/>
        <c:auto val="1"/>
        <c:lblAlgn val="ctr"/>
        <c:lblOffset val="100"/>
        <c:noMultiLvlLbl val="0"/>
      </c:catAx>
      <c:valAx>
        <c:axId val="150062592"/>
        <c:scaling>
          <c:orientation val="minMax"/>
          <c:max val="10"/>
          <c:min val="-10"/>
        </c:scaling>
        <c:delete val="0"/>
        <c:axPos val="l"/>
        <c:majorGridlines/>
        <c:numFmt formatCode="#,##0" sourceLinked="0"/>
        <c:majorTickMark val="out"/>
        <c:minorTickMark val="none"/>
        <c:tickLblPos val="nextTo"/>
        <c:crossAx val="150061056"/>
        <c:crosses val="autoZero"/>
        <c:crossBetween val="between"/>
        <c:majorUnit val="5"/>
      </c:valAx>
    </c:plotArea>
    <c:plotVisOnly val="1"/>
    <c:dispBlanksAs val="gap"/>
    <c:showDLblsOverMax val="0"/>
  </c:chart>
  <c:spPr>
    <a:solidFill>
      <a:schemeClr val="bg1"/>
    </a:solidFill>
    <a:ln>
      <a:noFill/>
    </a:ln>
  </c:spPr>
  <c:txPr>
    <a:bodyPr/>
    <a:lstStyle/>
    <a:p>
      <a:pPr>
        <a:defRPr sz="1200">
          <a:latin typeface="Georgia" panose="02040502050405020303" pitchFamily="18" charset="0"/>
        </a:defRPr>
      </a:pPr>
      <a:endParaRPr lang="sv-SE"/>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Current</c:v>
          </c:tx>
          <c:marker>
            <c:symbol val="none"/>
          </c:marker>
          <c:cat>
            <c:strRef>
              <c:f>'Time series'!$D$6:$L$6</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series'!$P$11:$X$11</c:f>
              <c:numCache>
                <c:formatCode>#,##0</c:formatCode>
                <c:ptCount val="9"/>
                <c:pt idx="0">
                  <c:v>-13.406666666666666</c:v>
                </c:pt>
                <c:pt idx="1">
                  <c:v>-13.431666666666668</c:v>
                </c:pt>
                <c:pt idx="2">
                  <c:v>-4.4566666666666679</c:v>
                </c:pt>
                <c:pt idx="3">
                  <c:v>4.583333333333333</c:v>
                </c:pt>
                <c:pt idx="4">
                  <c:v>9.7283333333333353</c:v>
                </c:pt>
                <c:pt idx="5">
                  <c:v>-1.4466666666666681</c:v>
                </c:pt>
                <c:pt idx="6">
                  <c:v>5.878333333333333</c:v>
                </c:pt>
                <c:pt idx="7">
                  <c:v>4.0133333333333328</c:v>
                </c:pt>
                <c:pt idx="8">
                  <c:v>8.538333333333334</c:v>
                </c:pt>
              </c:numCache>
            </c:numRef>
          </c:val>
          <c:smooth val="0"/>
        </c:ser>
        <c:ser>
          <c:idx val="1"/>
          <c:order val="1"/>
          <c:tx>
            <c:v>Future</c:v>
          </c:tx>
          <c:marker>
            <c:symbol val="none"/>
          </c:marker>
          <c:cat>
            <c:strRef>
              <c:f>'Time series'!$D$6:$L$6</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series'!$P$37:$X$37</c:f>
              <c:numCache>
                <c:formatCode>#,##0</c:formatCode>
                <c:ptCount val="9"/>
                <c:pt idx="0">
                  <c:v>8.5416666666666643</c:v>
                </c:pt>
                <c:pt idx="1">
                  <c:v>9.0066666666666677</c:v>
                </c:pt>
                <c:pt idx="2">
                  <c:v>3.2816666666666681</c:v>
                </c:pt>
                <c:pt idx="3">
                  <c:v>4.1966666666666672</c:v>
                </c:pt>
                <c:pt idx="4">
                  <c:v>-5.9383333333333326</c:v>
                </c:pt>
                <c:pt idx="5">
                  <c:v>1.451666666666668</c:v>
                </c:pt>
                <c:pt idx="6">
                  <c:v>-2.2733333333333334</c:v>
                </c:pt>
                <c:pt idx="7">
                  <c:v>-7.1133333333333333</c:v>
                </c:pt>
                <c:pt idx="8">
                  <c:v>-11.153333333333332</c:v>
                </c:pt>
              </c:numCache>
            </c:numRef>
          </c:val>
          <c:smooth val="0"/>
        </c:ser>
        <c:dLbls>
          <c:showLegendKey val="0"/>
          <c:showVal val="0"/>
          <c:showCatName val="0"/>
          <c:showSerName val="0"/>
          <c:showPercent val="0"/>
          <c:showBubbleSize val="0"/>
        </c:dLbls>
        <c:marker val="1"/>
        <c:smooth val="0"/>
        <c:axId val="150349312"/>
        <c:axId val="150350848"/>
      </c:lineChart>
      <c:catAx>
        <c:axId val="150349312"/>
        <c:scaling>
          <c:orientation val="minMax"/>
        </c:scaling>
        <c:delete val="0"/>
        <c:axPos val="b"/>
        <c:numFmt formatCode="General" sourceLinked="0"/>
        <c:majorTickMark val="out"/>
        <c:minorTickMark val="none"/>
        <c:tickLblPos val="low"/>
        <c:crossAx val="150350848"/>
        <c:crosses val="autoZero"/>
        <c:auto val="1"/>
        <c:lblAlgn val="ctr"/>
        <c:lblOffset val="100"/>
        <c:noMultiLvlLbl val="0"/>
      </c:catAx>
      <c:valAx>
        <c:axId val="150350848"/>
        <c:scaling>
          <c:orientation val="minMax"/>
        </c:scaling>
        <c:delete val="0"/>
        <c:axPos val="l"/>
        <c:majorGridlines/>
        <c:numFmt formatCode="#,##0" sourceLinked="1"/>
        <c:majorTickMark val="out"/>
        <c:minorTickMark val="none"/>
        <c:tickLblPos val="nextTo"/>
        <c:crossAx val="150349312"/>
        <c:crosses val="autoZero"/>
        <c:crossBetween val="between"/>
      </c:valAx>
    </c:plotArea>
    <c:legend>
      <c:legendPos val="b"/>
      <c:layout/>
      <c:overlay val="0"/>
    </c:legend>
    <c:plotVisOnly val="1"/>
    <c:dispBlanksAs val="gap"/>
    <c:showDLblsOverMax val="0"/>
  </c:chart>
  <c:spPr>
    <a:ln>
      <a:noFill/>
    </a:ln>
  </c:spPr>
  <c:txPr>
    <a:bodyPr/>
    <a:lstStyle/>
    <a:p>
      <a:pPr>
        <a:defRPr sz="1200">
          <a:latin typeface="Georgia" panose="02040502050405020303" pitchFamily="18" charset="0"/>
        </a:defRPr>
      </a:pPr>
      <a:endParaRPr lang="sv-SE"/>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4"/>
          <c:order val="0"/>
          <c:tx>
            <c:strRef>
              <c:f>'Time series'!$C$87</c:f>
              <c:strCache>
                <c:ptCount val="1"/>
                <c:pt idx="0">
                  <c:v>Hungary</c:v>
                </c:pt>
              </c:strCache>
            </c:strRef>
          </c:tx>
          <c:marker>
            <c:symbol val="none"/>
          </c:marker>
          <c:cat>
            <c:strRef>
              <c:f>'Time series'!$D$82:$L$82</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series'!$D$87:$L$87</c:f>
              <c:numCache>
                <c:formatCode>#,##0</c:formatCode>
                <c:ptCount val="9"/>
                <c:pt idx="0">
                  <c:v>-3.2003057374355404</c:v>
                </c:pt>
                <c:pt idx="1">
                  <c:v>-2.9957620697194574</c:v>
                </c:pt>
                <c:pt idx="2">
                  <c:v>-0.52107566871219857</c:v>
                </c:pt>
                <c:pt idx="3">
                  <c:v>4.3476451736113439</c:v>
                </c:pt>
                <c:pt idx="4">
                  <c:v>1.884893418383907</c:v>
                </c:pt>
                <c:pt idx="5">
                  <c:v>0.19928763430945923</c:v>
                </c:pt>
                <c:pt idx="6">
                  <c:v>1.9229750243497412</c:v>
                </c:pt>
                <c:pt idx="7">
                  <c:v>-1.4354139257069833</c:v>
                </c:pt>
                <c:pt idx="8">
                  <c:v>-1.4191828470159862</c:v>
                </c:pt>
              </c:numCache>
            </c:numRef>
          </c:val>
          <c:smooth val="0"/>
        </c:ser>
        <c:dLbls>
          <c:showLegendKey val="0"/>
          <c:showVal val="0"/>
          <c:showCatName val="0"/>
          <c:showSerName val="0"/>
          <c:showPercent val="0"/>
          <c:showBubbleSize val="0"/>
        </c:dLbls>
        <c:marker val="1"/>
        <c:smooth val="0"/>
        <c:axId val="150363136"/>
        <c:axId val="150393600"/>
      </c:lineChart>
      <c:catAx>
        <c:axId val="150363136"/>
        <c:scaling>
          <c:orientation val="minMax"/>
        </c:scaling>
        <c:delete val="0"/>
        <c:axPos val="b"/>
        <c:numFmt formatCode="General" sourceLinked="0"/>
        <c:majorTickMark val="out"/>
        <c:minorTickMark val="none"/>
        <c:tickLblPos val="low"/>
        <c:crossAx val="150393600"/>
        <c:crosses val="autoZero"/>
        <c:auto val="1"/>
        <c:lblAlgn val="ctr"/>
        <c:lblOffset val="100"/>
        <c:noMultiLvlLbl val="0"/>
      </c:catAx>
      <c:valAx>
        <c:axId val="150393600"/>
        <c:scaling>
          <c:orientation val="minMax"/>
          <c:max val="10"/>
          <c:min val="-10"/>
        </c:scaling>
        <c:delete val="0"/>
        <c:axPos val="l"/>
        <c:majorGridlines/>
        <c:numFmt formatCode="#,##0" sourceLinked="0"/>
        <c:majorTickMark val="out"/>
        <c:minorTickMark val="none"/>
        <c:tickLblPos val="nextTo"/>
        <c:crossAx val="150363136"/>
        <c:crosses val="autoZero"/>
        <c:crossBetween val="between"/>
        <c:majorUnit val="5"/>
      </c:valAx>
    </c:plotArea>
    <c:plotVisOnly val="1"/>
    <c:dispBlanksAs val="gap"/>
    <c:showDLblsOverMax val="0"/>
  </c:chart>
  <c:spPr>
    <a:solidFill>
      <a:schemeClr val="bg1"/>
    </a:solidFill>
    <a:ln>
      <a:noFill/>
    </a:ln>
  </c:spPr>
  <c:txPr>
    <a:bodyPr/>
    <a:lstStyle/>
    <a:p>
      <a:pPr>
        <a:defRPr sz="1200">
          <a:latin typeface="Georgia" panose="02040502050405020303" pitchFamily="18" charset="0"/>
        </a:defRPr>
      </a:pPr>
      <a:endParaRPr lang="sv-S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Current</c:v>
          </c:tx>
          <c:marker>
            <c:symbol val="none"/>
          </c:marker>
          <c:cat>
            <c:strRef>
              <c:f>'Time series'!$D$6:$L$6</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series'!$P$10:$X$10</c:f>
              <c:numCache>
                <c:formatCode>#,##0</c:formatCode>
                <c:ptCount val="9"/>
                <c:pt idx="0">
                  <c:v>-7.5565391062755616</c:v>
                </c:pt>
                <c:pt idx="1">
                  <c:v>-3.8771391062755605</c:v>
                </c:pt>
                <c:pt idx="2">
                  <c:v>6.4446767361527852</c:v>
                </c:pt>
                <c:pt idx="3">
                  <c:v>5.9163173567205689</c:v>
                </c:pt>
                <c:pt idx="4">
                  <c:v>1.3885327917158854</c:v>
                </c:pt>
                <c:pt idx="5">
                  <c:v>-2.7604262717932677</c:v>
                </c:pt>
                <c:pt idx="6">
                  <c:v>-3.1826264691732824</c:v>
                </c:pt>
                <c:pt idx="7">
                  <c:v>1.149285982258462</c:v>
                </c:pt>
                <c:pt idx="8">
                  <c:v>2.4779180866699768</c:v>
                </c:pt>
              </c:numCache>
            </c:numRef>
          </c:val>
          <c:smooth val="0"/>
        </c:ser>
        <c:ser>
          <c:idx val="1"/>
          <c:order val="1"/>
          <c:tx>
            <c:v>Future</c:v>
          </c:tx>
          <c:marker>
            <c:symbol val="none"/>
          </c:marker>
          <c:cat>
            <c:strRef>
              <c:f>'Time series'!$D$6:$L$6</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series'!$P$36:$X$36</c:f>
              <c:numCache>
                <c:formatCode>#,##0</c:formatCode>
                <c:ptCount val="9"/>
                <c:pt idx="0">
                  <c:v>3.1697437891209925</c:v>
                </c:pt>
                <c:pt idx="1">
                  <c:v>3.1697437891209925</c:v>
                </c:pt>
                <c:pt idx="2">
                  <c:v>2.6594445920553507</c:v>
                </c:pt>
                <c:pt idx="3">
                  <c:v>-4.4027136264185138</c:v>
                </c:pt>
                <c:pt idx="4">
                  <c:v>-4.8806952527993648</c:v>
                </c:pt>
                <c:pt idx="5">
                  <c:v>-0.79078893052563659</c:v>
                </c:pt>
                <c:pt idx="6">
                  <c:v>0.65281046459424674</c:v>
                </c:pt>
                <c:pt idx="7">
                  <c:v>2.1262064673406318</c:v>
                </c:pt>
                <c:pt idx="8">
                  <c:v>4.6357362857532882</c:v>
                </c:pt>
              </c:numCache>
            </c:numRef>
          </c:val>
          <c:smooth val="0"/>
        </c:ser>
        <c:dLbls>
          <c:showLegendKey val="0"/>
          <c:showVal val="0"/>
          <c:showCatName val="0"/>
          <c:showSerName val="0"/>
          <c:showPercent val="0"/>
          <c:showBubbleSize val="0"/>
        </c:dLbls>
        <c:marker val="1"/>
        <c:smooth val="0"/>
        <c:axId val="62088320"/>
        <c:axId val="62089856"/>
      </c:lineChart>
      <c:catAx>
        <c:axId val="62088320"/>
        <c:scaling>
          <c:orientation val="minMax"/>
        </c:scaling>
        <c:delete val="0"/>
        <c:axPos val="b"/>
        <c:numFmt formatCode="General" sourceLinked="0"/>
        <c:majorTickMark val="out"/>
        <c:minorTickMark val="none"/>
        <c:tickLblPos val="low"/>
        <c:crossAx val="62089856"/>
        <c:crosses val="autoZero"/>
        <c:auto val="1"/>
        <c:lblAlgn val="ctr"/>
        <c:lblOffset val="100"/>
        <c:tickLblSkip val="2"/>
        <c:noMultiLvlLbl val="0"/>
      </c:catAx>
      <c:valAx>
        <c:axId val="62089856"/>
        <c:scaling>
          <c:orientation val="minMax"/>
        </c:scaling>
        <c:delete val="0"/>
        <c:axPos val="l"/>
        <c:majorGridlines/>
        <c:numFmt formatCode="#,##0" sourceLinked="1"/>
        <c:majorTickMark val="out"/>
        <c:minorTickMark val="none"/>
        <c:tickLblPos val="nextTo"/>
        <c:crossAx val="62088320"/>
        <c:crosses val="autoZero"/>
        <c:crossBetween val="between"/>
      </c:valAx>
    </c:plotArea>
    <c:legend>
      <c:legendPos val="b"/>
      <c:layout/>
      <c:overlay val="0"/>
    </c:legend>
    <c:plotVisOnly val="1"/>
    <c:dispBlanksAs val="gap"/>
    <c:showDLblsOverMax val="0"/>
  </c:chart>
  <c:spPr>
    <a:ln>
      <a:noFill/>
    </a:ln>
  </c:spPr>
  <c:txPr>
    <a:bodyPr/>
    <a:lstStyle/>
    <a:p>
      <a:pPr>
        <a:defRPr>
          <a:latin typeface="Georgia" panose="02040502050405020303" pitchFamily="18" charset="0"/>
        </a:defRPr>
      </a:pPr>
      <a:endParaRPr lang="sv-SE"/>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3"/>
          <c:order val="0"/>
          <c:tx>
            <c:strRef>
              <c:f>'Time series'!$C$86</c:f>
              <c:strCache>
                <c:ptCount val="1"/>
                <c:pt idx="0">
                  <c:v>Italy</c:v>
                </c:pt>
              </c:strCache>
            </c:strRef>
          </c:tx>
          <c:marker>
            <c:symbol val="none"/>
          </c:marker>
          <c:cat>
            <c:strRef>
              <c:f>'Time series'!$D$82:$L$82</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series'!$D$86:$L$86</c:f>
              <c:numCache>
                <c:formatCode>#,##0</c:formatCode>
                <c:ptCount val="9"/>
                <c:pt idx="0">
                  <c:v>-9.847493032721653</c:v>
                </c:pt>
                <c:pt idx="1">
                  <c:v>-6.5106038062673548</c:v>
                </c:pt>
                <c:pt idx="2">
                  <c:v>7.122799434990573</c:v>
                </c:pt>
                <c:pt idx="3">
                  <c:v>2.9567297149579437</c:v>
                </c:pt>
                <c:pt idx="4">
                  <c:v>0.14116408135432351</c:v>
                </c:pt>
                <c:pt idx="5">
                  <c:v>-8.3562171729158349E-2</c:v>
                </c:pt>
                <c:pt idx="6">
                  <c:v>0.39107546950963934</c:v>
                </c:pt>
                <c:pt idx="7">
                  <c:v>3.7450835244057679</c:v>
                </c:pt>
                <c:pt idx="8">
                  <c:v>5.846151875774261</c:v>
                </c:pt>
              </c:numCache>
            </c:numRef>
          </c:val>
          <c:smooth val="0"/>
        </c:ser>
        <c:dLbls>
          <c:showLegendKey val="0"/>
          <c:showVal val="0"/>
          <c:showCatName val="0"/>
          <c:showSerName val="0"/>
          <c:showPercent val="0"/>
          <c:showBubbleSize val="0"/>
        </c:dLbls>
        <c:marker val="1"/>
        <c:smooth val="0"/>
        <c:axId val="139663616"/>
        <c:axId val="139685888"/>
      </c:lineChart>
      <c:catAx>
        <c:axId val="139663616"/>
        <c:scaling>
          <c:orientation val="minMax"/>
        </c:scaling>
        <c:delete val="0"/>
        <c:axPos val="b"/>
        <c:numFmt formatCode="General" sourceLinked="0"/>
        <c:majorTickMark val="out"/>
        <c:minorTickMark val="none"/>
        <c:tickLblPos val="low"/>
        <c:crossAx val="139685888"/>
        <c:crosses val="autoZero"/>
        <c:auto val="1"/>
        <c:lblAlgn val="ctr"/>
        <c:lblOffset val="100"/>
        <c:noMultiLvlLbl val="0"/>
      </c:catAx>
      <c:valAx>
        <c:axId val="139685888"/>
        <c:scaling>
          <c:orientation val="minMax"/>
          <c:max val="10"/>
          <c:min val="-15"/>
        </c:scaling>
        <c:delete val="0"/>
        <c:axPos val="l"/>
        <c:majorGridlines/>
        <c:numFmt formatCode="#,##0" sourceLinked="0"/>
        <c:majorTickMark val="out"/>
        <c:minorTickMark val="none"/>
        <c:tickLblPos val="nextTo"/>
        <c:crossAx val="139663616"/>
        <c:crosses val="autoZero"/>
        <c:crossBetween val="between"/>
      </c:valAx>
    </c:plotArea>
    <c:plotVisOnly val="1"/>
    <c:dispBlanksAs val="gap"/>
    <c:showDLblsOverMax val="0"/>
  </c:chart>
  <c:spPr>
    <a:solidFill>
      <a:schemeClr val="bg1"/>
    </a:solidFill>
    <a:ln>
      <a:noFill/>
    </a:ln>
  </c:spPr>
  <c:txPr>
    <a:bodyPr/>
    <a:lstStyle/>
    <a:p>
      <a:pPr>
        <a:defRPr sz="1200">
          <a:latin typeface="Georgia" panose="02040502050405020303" pitchFamily="18" charset="0"/>
        </a:defRPr>
      </a:pPr>
      <a:endParaRPr lang="sv-SE"/>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Current</c:v>
          </c:tx>
          <c:marker>
            <c:symbol val="none"/>
          </c:marker>
          <c:cat>
            <c:strRef>
              <c:f>'Time series'!$D$6:$L$6</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series'!$P$9:$X$9</c:f>
              <c:numCache>
                <c:formatCode>#,##0</c:formatCode>
                <c:ptCount val="9"/>
                <c:pt idx="1">
                  <c:v>-11.4375</c:v>
                </c:pt>
                <c:pt idx="2">
                  <c:v>-5.9375</c:v>
                </c:pt>
                <c:pt idx="3">
                  <c:v>-0.4375</c:v>
                </c:pt>
                <c:pt idx="4">
                  <c:v>5.0625</c:v>
                </c:pt>
                <c:pt idx="5">
                  <c:v>7.0625</c:v>
                </c:pt>
                <c:pt idx="6">
                  <c:v>3.0625</c:v>
                </c:pt>
                <c:pt idx="7">
                  <c:v>-2.4375</c:v>
                </c:pt>
                <c:pt idx="8">
                  <c:v>5.0625</c:v>
                </c:pt>
              </c:numCache>
            </c:numRef>
          </c:val>
          <c:smooth val="0"/>
        </c:ser>
        <c:ser>
          <c:idx val="1"/>
          <c:order val="1"/>
          <c:tx>
            <c:v>Future</c:v>
          </c:tx>
          <c:marker>
            <c:symbol val="none"/>
          </c:marker>
          <c:cat>
            <c:strRef>
              <c:f>'Time series'!$D$6:$L$6</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series'!$P$35:$X$35</c:f>
              <c:numCache>
                <c:formatCode>#,##0</c:formatCode>
                <c:ptCount val="9"/>
                <c:pt idx="1">
                  <c:v>-0.625</c:v>
                </c:pt>
                <c:pt idx="2">
                  <c:v>1.875</c:v>
                </c:pt>
                <c:pt idx="3">
                  <c:v>1.375</c:v>
                </c:pt>
                <c:pt idx="4">
                  <c:v>5.875</c:v>
                </c:pt>
                <c:pt idx="5">
                  <c:v>-0.625</c:v>
                </c:pt>
                <c:pt idx="6">
                  <c:v>-2.625</c:v>
                </c:pt>
                <c:pt idx="7">
                  <c:v>-5.625</c:v>
                </c:pt>
                <c:pt idx="8">
                  <c:v>0.375</c:v>
                </c:pt>
              </c:numCache>
            </c:numRef>
          </c:val>
          <c:smooth val="0"/>
        </c:ser>
        <c:dLbls>
          <c:showLegendKey val="0"/>
          <c:showVal val="0"/>
          <c:showCatName val="0"/>
          <c:showSerName val="0"/>
          <c:showPercent val="0"/>
          <c:showBubbleSize val="0"/>
        </c:dLbls>
        <c:marker val="1"/>
        <c:smooth val="0"/>
        <c:axId val="139718656"/>
        <c:axId val="139720192"/>
      </c:lineChart>
      <c:catAx>
        <c:axId val="139718656"/>
        <c:scaling>
          <c:orientation val="minMax"/>
        </c:scaling>
        <c:delete val="0"/>
        <c:axPos val="b"/>
        <c:numFmt formatCode="General" sourceLinked="0"/>
        <c:majorTickMark val="out"/>
        <c:minorTickMark val="none"/>
        <c:tickLblPos val="low"/>
        <c:crossAx val="139720192"/>
        <c:crosses val="autoZero"/>
        <c:auto val="1"/>
        <c:lblAlgn val="ctr"/>
        <c:lblOffset val="100"/>
        <c:noMultiLvlLbl val="0"/>
      </c:catAx>
      <c:valAx>
        <c:axId val="139720192"/>
        <c:scaling>
          <c:orientation val="minMax"/>
        </c:scaling>
        <c:delete val="0"/>
        <c:axPos val="l"/>
        <c:majorGridlines/>
        <c:numFmt formatCode="#,##0" sourceLinked="1"/>
        <c:majorTickMark val="out"/>
        <c:minorTickMark val="none"/>
        <c:tickLblPos val="nextTo"/>
        <c:crossAx val="139718656"/>
        <c:crosses val="autoZero"/>
        <c:crossBetween val="between"/>
      </c:valAx>
    </c:plotArea>
    <c:legend>
      <c:legendPos val="b"/>
      <c:layout/>
      <c:overlay val="0"/>
    </c:legend>
    <c:plotVisOnly val="1"/>
    <c:dispBlanksAs val="gap"/>
    <c:showDLblsOverMax val="0"/>
  </c:chart>
  <c:spPr>
    <a:ln>
      <a:noFill/>
    </a:ln>
  </c:spPr>
  <c:txPr>
    <a:bodyPr/>
    <a:lstStyle/>
    <a:p>
      <a:pPr>
        <a:defRPr sz="1200">
          <a:latin typeface="Georgia" panose="02040502050405020303" pitchFamily="18" charset="0"/>
        </a:defRPr>
      </a:pPr>
      <a:endParaRPr lang="sv-SE"/>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2"/>
          <c:order val="0"/>
          <c:tx>
            <c:strRef>
              <c:f>'Time series'!$C$85</c:f>
              <c:strCache>
                <c:ptCount val="1"/>
                <c:pt idx="0">
                  <c:v>France</c:v>
                </c:pt>
              </c:strCache>
            </c:strRef>
          </c:tx>
          <c:marker>
            <c:symbol val="none"/>
          </c:marker>
          <c:cat>
            <c:strRef>
              <c:f>'Time series'!$D$82:$L$82</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series'!$D$85:$L$85</c:f>
              <c:numCache>
                <c:formatCode>#,##0</c:formatCode>
                <c:ptCount val="9"/>
                <c:pt idx="1">
                  <c:v>-5.419884314300579</c:v>
                </c:pt>
                <c:pt idx="2">
                  <c:v>-1.7494146565331443</c:v>
                </c:pt>
                <c:pt idx="3">
                  <c:v>0.60828061132125721</c:v>
                </c:pt>
                <c:pt idx="4">
                  <c:v>6.1244268603357597</c:v>
                </c:pt>
                <c:pt idx="5">
                  <c:v>3.3772623255738514</c:v>
                </c:pt>
                <c:pt idx="6">
                  <c:v>0.13145060155027549</c:v>
                </c:pt>
                <c:pt idx="7">
                  <c:v>-3.7051844074140119</c:v>
                </c:pt>
                <c:pt idx="8">
                  <c:v>2.9385176631595562</c:v>
                </c:pt>
              </c:numCache>
            </c:numRef>
          </c:val>
          <c:smooth val="0"/>
        </c:ser>
        <c:dLbls>
          <c:showLegendKey val="0"/>
          <c:showVal val="0"/>
          <c:showCatName val="0"/>
          <c:showSerName val="0"/>
          <c:showPercent val="0"/>
          <c:showBubbleSize val="0"/>
        </c:dLbls>
        <c:marker val="1"/>
        <c:smooth val="0"/>
        <c:axId val="149566592"/>
        <c:axId val="149568128"/>
      </c:lineChart>
      <c:catAx>
        <c:axId val="149566592"/>
        <c:scaling>
          <c:orientation val="minMax"/>
        </c:scaling>
        <c:delete val="0"/>
        <c:axPos val="b"/>
        <c:numFmt formatCode="General" sourceLinked="0"/>
        <c:majorTickMark val="out"/>
        <c:minorTickMark val="none"/>
        <c:tickLblPos val="low"/>
        <c:crossAx val="149568128"/>
        <c:crosses val="autoZero"/>
        <c:auto val="1"/>
        <c:lblAlgn val="ctr"/>
        <c:lblOffset val="100"/>
        <c:noMultiLvlLbl val="0"/>
      </c:catAx>
      <c:valAx>
        <c:axId val="149568128"/>
        <c:scaling>
          <c:orientation val="minMax"/>
          <c:max val="10"/>
          <c:min val="-10"/>
        </c:scaling>
        <c:delete val="0"/>
        <c:axPos val="l"/>
        <c:majorGridlines/>
        <c:numFmt formatCode="#,##0" sourceLinked="0"/>
        <c:majorTickMark val="out"/>
        <c:minorTickMark val="none"/>
        <c:tickLblPos val="nextTo"/>
        <c:crossAx val="149566592"/>
        <c:crosses val="autoZero"/>
        <c:crossBetween val="between"/>
        <c:majorUnit val="5"/>
      </c:valAx>
    </c:plotArea>
    <c:plotVisOnly val="1"/>
    <c:dispBlanksAs val="gap"/>
    <c:showDLblsOverMax val="0"/>
  </c:chart>
  <c:spPr>
    <a:solidFill>
      <a:schemeClr val="bg1"/>
    </a:solidFill>
    <a:ln>
      <a:noFill/>
    </a:ln>
  </c:spPr>
  <c:txPr>
    <a:bodyPr/>
    <a:lstStyle/>
    <a:p>
      <a:pPr>
        <a:defRPr sz="1200">
          <a:latin typeface="Georgia" panose="02040502050405020303" pitchFamily="18" charset="0"/>
        </a:defRPr>
      </a:pPr>
      <a:endParaRPr lang="sv-SE"/>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Current</c:v>
          </c:tx>
          <c:marker>
            <c:symbol val="none"/>
          </c:marker>
          <c:cat>
            <c:strRef>
              <c:f>'Time series'!$D$6:$L$6</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series'!$P$14:$X$14</c:f>
              <c:numCache>
                <c:formatCode>#,##0</c:formatCode>
                <c:ptCount val="9"/>
                <c:pt idx="0">
                  <c:v>-13.702222222222222</c:v>
                </c:pt>
                <c:pt idx="1">
                  <c:v>-5.5572222222222187</c:v>
                </c:pt>
                <c:pt idx="2">
                  <c:v>2.4077777777777776</c:v>
                </c:pt>
                <c:pt idx="3">
                  <c:v>3.6827777777777797</c:v>
                </c:pt>
                <c:pt idx="4">
                  <c:v>8.2527777777777764</c:v>
                </c:pt>
                <c:pt idx="5">
                  <c:v>-3.7672222222222196</c:v>
                </c:pt>
                <c:pt idx="6">
                  <c:v>0.80777777777777615</c:v>
                </c:pt>
                <c:pt idx="7">
                  <c:v>-4.1172222222222246</c:v>
                </c:pt>
                <c:pt idx="8">
                  <c:v>11.992777777777775</c:v>
                </c:pt>
              </c:numCache>
            </c:numRef>
          </c:val>
          <c:smooth val="0"/>
        </c:ser>
        <c:ser>
          <c:idx val="1"/>
          <c:order val="1"/>
          <c:tx>
            <c:v>Future</c:v>
          </c:tx>
          <c:marker>
            <c:symbol val="none"/>
          </c:marker>
          <c:cat>
            <c:strRef>
              <c:f>'Time series'!$D$6:$L$6</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series'!$P$40:$X$40</c:f>
              <c:numCache>
                <c:formatCode>#,##0</c:formatCode>
                <c:ptCount val="9"/>
                <c:pt idx="0">
                  <c:v>-9.3444444444444414</c:v>
                </c:pt>
                <c:pt idx="1">
                  <c:v>-3.699444444444449</c:v>
                </c:pt>
                <c:pt idx="2">
                  <c:v>11.355555555555554</c:v>
                </c:pt>
                <c:pt idx="3">
                  <c:v>1.315555555555548</c:v>
                </c:pt>
                <c:pt idx="4">
                  <c:v>1.7505555555555503</c:v>
                </c:pt>
                <c:pt idx="5">
                  <c:v>-1.7194444444444485</c:v>
                </c:pt>
                <c:pt idx="6">
                  <c:v>1.0655555555555516</c:v>
                </c:pt>
                <c:pt idx="7">
                  <c:v>-6.1094444444444456</c:v>
                </c:pt>
                <c:pt idx="8">
                  <c:v>5.3855555555555554</c:v>
                </c:pt>
              </c:numCache>
            </c:numRef>
          </c:val>
          <c:smooth val="0"/>
        </c:ser>
        <c:dLbls>
          <c:showLegendKey val="0"/>
          <c:showVal val="0"/>
          <c:showCatName val="0"/>
          <c:showSerName val="0"/>
          <c:showPercent val="0"/>
          <c:showBubbleSize val="0"/>
        </c:dLbls>
        <c:marker val="1"/>
        <c:smooth val="0"/>
        <c:axId val="149597568"/>
        <c:axId val="149603456"/>
      </c:lineChart>
      <c:catAx>
        <c:axId val="149597568"/>
        <c:scaling>
          <c:orientation val="minMax"/>
        </c:scaling>
        <c:delete val="0"/>
        <c:axPos val="b"/>
        <c:numFmt formatCode="General" sourceLinked="0"/>
        <c:majorTickMark val="out"/>
        <c:minorTickMark val="none"/>
        <c:tickLblPos val="low"/>
        <c:crossAx val="149603456"/>
        <c:crosses val="autoZero"/>
        <c:auto val="1"/>
        <c:lblAlgn val="ctr"/>
        <c:lblOffset val="100"/>
        <c:noMultiLvlLbl val="0"/>
      </c:catAx>
      <c:valAx>
        <c:axId val="149603456"/>
        <c:scaling>
          <c:orientation val="minMax"/>
        </c:scaling>
        <c:delete val="0"/>
        <c:axPos val="l"/>
        <c:majorGridlines/>
        <c:numFmt formatCode="#,##0" sourceLinked="1"/>
        <c:majorTickMark val="out"/>
        <c:minorTickMark val="none"/>
        <c:tickLblPos val="nextTo"/>
        <c:crossAx val="149597568"/>
        <c:crosses val="autoZero"/>
        <c:crossBetween val="between"/>
      </c:valAx>
    </c:plotArea>
    <c:legend>
      <c:legendPos val="b"/>
      <c:layout/>
      <c:overlay val="0"/>
    </c:legend>
    <c:plotVisOnly val="1"/>
    <c:dispBlanksAs val="gap"/>
    <c:showDLblsOverMax val="0"/>
  </c:chart>
  <c:spPr>
    <a:ln>
      <a:noFill/>
    </a:ln>
  </c:spPr>
  <c:txPr>
    <a:bodyPr/>
    <a:lstStyle/>
    <a:p>
      <a:pPr>
        <a:defRPr sz="1200">
          <a:latin typeface="Georgia" panose="02040502050405020303" pitchFamily="18" charset="0"/>
        </a:defRPr>
      </a:pPr>
      <a:endParaRPr lang="sv-SE"/>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7"/>
          <c:order val="0"/>
          <c:tx>
            <c:strRef>
              <c:f>'Time series'!$C$90</c:f>
              <c:strCache>
                <c:ptCount val="1"/>
                <c:pt idx="0">
                  <c:v>Romania</c:v>
                </c:pt>
              </c:strCache>
            </c:strRef>
          </c:tx>
          <c:marker>
            <c:symbol val="none"/>
          </c:marker>
          <c:cat>
            <c:strRef>
              <c:f>'Time series'!$D$82:$L$82</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series'!$D$90:$L$90</c:f>
              <c:numCache>
                <c:formatCode>#,##0</c:formatCode>
                <c:ptCount val="9"/>
                <c:pt idx="0">
                  <c:v>-14.58164294773144</c:v>
                </c:pt>
                <c:pt idx="1">
                  <c:v>-5.8319148120306572</c:v>
                </c:pt>
                <c:pt idx="2">
                  <c:v>5.5573015131443979</c:v>
                </c:pt>
                <c:pt idx="3">
                  <c:v>2.1240569006723686</c:v>
                </c:pt>
                <c:pt idx="4">
                  <c:v>4.2272465883233616</c:v>
                </c:pt>
                <c:pt idx="5">
                  <c:v>-3.4668782607491262</c:v>
                </c:pt>
                <c:pt idx="6">
                  <c:v>0.79491733667094977</c:v>
                </c:pt>
                <c:pt idx="7">
                  <c:v>-6.3589911111325597</c:v>
                </c:pt>
                <c:pt idx="8">
                  <c:v>7.2903438023565688</c:v>
                </c:pt>
              </c:numCache>
            </c:numRef>
          </c:val>
          <c:smooth val="0"/>
        </c:ser>
        <c:dLbls>
          <c:showLegendKey val="0"/>
          <c:showVal val="0"/>
          <c:showCatName val="0"/>
          <c:showSerName val="0"/>
          <c:showPercent val="0"/>
          <c:showBubbleSize val="0"/>
        </c:dLbls>
        <c:marker val="1"/>
        <c:smooth val="0"/>
        <c:axId val="149885312"/>
        <c:axId val="149886848"/>
      </c:lineChart>
      <c:catAx>
        <c:axId val="149885312"/>
        <c:scaling>
          <c:orientation val="minMax"/>
        </c:scaling>
        <c:delete val="0"/>
        <c:axPos val="b"/>
        <c:numFmt formatCode="General" sourceLinked="0"/>
        <c:majorTickMark val="out"/>
        <c:minorTickMark val="none"/>
        <c:tickLblPos val="low"/>
        <c:crossAx val="149886848"/>
        <c:crosses val="autoZero"/>
        <c:auto val="1"/>
        <c:lblAlgn val="ctr"/>
        <c:lblOffset val="100"/>
        <c:noMultiLvlLbl val="0"/>
      </c:catAx>
      <c:valAx>
        <c:axId val="149886848"/>
        <c:scaling>
          <c:orientation val="minMax"/>
          <c:max val="10"/>
          <c:min val="-15"/>
        </c:scaling>
        <c:delete val="0"/>
        <c:axPos val="l"/>
        <c:majorGridlines/>
        <c:numFmt formatCode="#,##0" sourceLinked="0"/>
        <c:majorTickMark val="out"/>
        <c:minorTickMark val="none"/>
        <c:tickLblPos val="nextTo"/>
        <c:crossAx val="149885312"/>
        <c:crosses val="autoZero"/>
        <c:crossBetween val="between"/>
      </c:valAx>
    </c:plotArea>
    <c:plotVisOnly val="1"/>
    <c:dispBlanksAs val="gap"/>
    <c:showDLblsOverMax val="0"/>
  </c:chart>
  <c:spPr>
    <a:solidFill>
      <a:schemeClr val="bg1"/>
    </a:solidFill>
    <a:ln>
      <a:noFill/>
    </a:ln>
  </c:spPr>
  <c:txPr>
    <a:bodyPr/>
    <a:lstStyle/>
    <a:p>
      <a:pPr>
        <a:defRPr sz="1200">
          <a:latin typeface="Georgia" panose="02040502050405020303" pitchFamily="18" charset="0"/>
        </a:defRPr>
      </a:pPr>
      <a:endParaRPr lang="sv-SE"/>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Current</c:v>
          </c:tx>
          <c:marker>
            <c:symbol val="none"/>
          </c:marker>
          <c:cat>
            <c:strRef>
              <c:f>'Time series'!$D$6:$L$6</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series'!$P$8:$X$8</c:f>
              <c:numCache>
                <c:formatCode>#,##0</c:formatCode>
                <c:ptCount val="9"/>
                <c:pt idx="0">
                  <c:v>-27.533333333333331</c:v>
                </c:pt>
                <c:pt idx="1">
                  <c:v>-8.2833333333333314</c:v>
                </c:pt>
                <c:pt idx="2">
                  <c:v>1.5666666666666664</c:v>
                </c:pt>
                <c:pt idx="3">
                  <c:v>-1.8833333333333329</c:v>
                </c:pt>
                <c:pt idx="4">
                  <c:v>5.7666666666666675</c:v>
                </c:pt>
                <c:pt idx="5">
                  <c:v>1.0166666666666657</c:v>
                </c:pt>
                <c:pt idx="6">
                  <c:v>9.2666666666666639</c:v>
                </c:pt>
                <c:pt idx="7">
                  <c:v>7.2166666666666668</c:v>
                </c:pt>
                <c:pt idx="8">
                  <c:v>12.866666666666665</c:v>
                </c:pt>
              </c:numCache>
            </c:numRef>
          </c:val>
          <c:smooth val="0"/>
        </c:ser>
        <c:ser>
          <c:idx val="1"/>
          <c:order val="1"/>
          <c:tx>
            <c:v>Future</c:v>
          </c:tx>
          <c:marker>
            <c:symbol val="none"/>
          </c:marker>
          <c:cat>
            <c:strRef>
              <c:f>'Time series'!$D$6:$L$6</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series'!$P$34:$X$34</c:f>
              <c:numCache>
                <c:formatCode>#,##0</c:formatCode>
                <c:ptCount val="9"/>
                <c:pt idx="0">
                  <c:v>-0.50555555555555554</c:v>
                </c:pt>
                <c:pt idx="1">
                  <c:v>2.6444444444444444</c:v>
                </c:pt>
                <c:pt idx="2">
                  <c:v>3.7944444444444456</c:v>
                </c:pt>
                <c:pt idx="3">
                  <c:v>0.44444444444444536</c:v>
                </c:pt>
                <c:pt idx="4">
                  <c:v>-0.15555555555555656</c:v>
                </c:pt>
                <c:pt idx="5">
                  <c:v>1.7444444444444454</c:v>
                </c:pt>
                <c:pt idx="6">
                  <c:v>-2.3055555555555558</c:v>
                </c:pt>
                <c:pt idx="7">
                  <c:v>-1.3055555555555562</c:v>
                </c:pt>
                <c:pt idx="8">
                  <c:v>-4.3555555555555561</c:v>
                </c:pt>
              </c:numCache>
            </c:numRef>
          </c:val>
          <c:smooth val="0"/>
        </c:ser>
        <c:dLbls>
          <c:showLegendKey val="0"/>
          <c:showVal val="0"/>
          <c:showCatName val="0"/>
          <c:showSerName val="0"/>
          <c:showPercent val="0"/>
          <c:showBubbleSize val="0"/>
        </c:dLbls>
        <c:marker val="1"/>
        <c:smooth val="0"/>
        <c:axId val="149943808"/>
        <c:axId val="149945344"/>
      </c:lineChart>
      <c:catAx>
        <c:axId val="149943808"/>
        <c:scaling>
          <c:orientation val="minMax"/>
        </c:scaling>
        <c:delete val="0"/>
        <c:axPos val="b"/>
        <c:numFmt formatCode="General" sourceLinked="0"/>
        <c:majorTickMark val="out"/>
        <c:minorTickMark val="none"/>
        <c:tickLblPos val="low"/>
        <c:crossAx val="149945344"/>
        <c:crosses val="autoZero"/>
        <c:auto val="1"/>
        <c:lblAlgn val="ctr"/>
        <c:lblOffset val="100"/>
        <c:tickLblSkip val="2"/>
        <c:noMultiLvlLbl val="0"/>
      </c:catAx>
      <c:valAx>
        <c:axId val="149945344"/>
        <c:scaling>
          <c:orientation val="minMax"/>
        </c:scaling>
        <c:delete val="0"/>
        <c:axPos val="l"/>
        <c:majorGridlines/>
        <c:numFmt formatCode="#,##0" sourceLinked="1"/>
        <c:majorTickMark val="out"/>
        <c:minorTickMark val="none"/>
        <c:tickLblPos val="nextTo"/>
        <c:crossAx val="149943808"/>
        <c:crosses val="autoZero"/>
        <c:crossBetween val="between"/>
      </c:valAx>
    </c:plotArea>
    <c:legend>
      <c:legendPos val="b"/>
      <c:layout/>
      <c:overlay val="0"/>
    </c:legend>
    <c:plotVisOnly val="1"/>
    <c:dispBlanksAs val="gap"/>
    <c:showDLblsOverMax val="0"/>
  </c:chart>
  <c:spPr>
    <a:ln>
      <a:noFill/>
    </a:ln>
  </c:spPr>
  <c:txPr>
    <a:bodyPr/>
    <a:lstStyle/>
    <a:p>
      <a:pPr>
        <a:defRPr>
          <a:latin typeface="Georgia" panose="02040502050405020303" pitchFamily="18" charset="0"/>
        </a:defRPr>
      </a:pPr>
      <a:endParaRPr lang="sv-SE"/>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'Time series'!$C$84</c:f>
              <c:strCache>
                <c:ptCount val="1"/>
                <c:pt idx="0">
                  <c:v>Germany</c:v>
                </c:pt>
              </c:strCache>
            </c:strRef>
          </c:tx>
          <c:spPr>
            <a:ln>
              <a:solidFill>
                <a:schemeClr val="accent3"/>
              </a:solidFill>
            </a:ln>
          </c:spPr>
          <c:marker>
            <c:symbol val="none"/>
          </c:marker>
          <c:cat>
            <c:strRef>
              <c:f>'Time series'!$D$82:$L$82</c:f>
              <c:strCache>
                <c:ptCount val="9"/>
                <c:pt idx="0">
                  <c:v>2010Q1</c:v>
                </c:pt>
                <c:pt idx="1">
                  <c:v>2010Q3</c:v>
                </c:pt>
                <c:pt idx="2">
                  <c:v>2011Q1</c:v>
                </c:pt>
                <c:pt idx="3">
                  <c:v>2011Q3</c:v>
                </c:pt>
                <c:pt idx="4">
                  <c:v>2012Q1</c:v>
                </c:pt>
                <c:pt idx="5">
                  <c:v>2012Q3</c:v>
                </c:pt>
                <c:pt idx="6">
                  <c:v>2013Q1</c:v>
                </c:pt>
                <c:pt idx="7">
                  <c:v>2013Q3</c:v>
                </c:pt>
                <c:pt idx="8">
                  <c:v>2014Q1</c:v>
                </c:pt>
              </c:strCache>
            </c:strRef>
          </c:cat>
          <c:val>
            <c:numRef>
              <c:f>'Time series'!$D$84:$L$84</c:f>
              <c:numCache>
                <c:formatCode>#,##0</c:formatCode>
                <c:ptCount val="9"/>
                <c:pt idx="0">
                  <c:v>-14.83922148282713</c:v>
                </c:pt>
                <c:pt idx="1">
                  <c:v>-2.626714852067336</c:v>
                </c:pt>
                <c:pt idx="2">
                  <c:v>2.7606167577451703</c:v>
                </c:pt>
                <c:pt idx="3">
                  <c:v>-0.51178519257387534</c:v>
                </c:pt>
                <c:pt idx="4">
                  <c:v>2.63638424690058</c:v>
                </c:pt>
                <c:pt idx="5">
                  <c:v>1.4955963869806717</c:v>
                </c:pt>
                <c:pt idx="6">
                  <c:v>3.0248936087310292</c:v>
                </c:pt>
                <c:pt idx="7">
                  <c:v>2.6708956490685569</c:v>
                </c:pt>
                <c:pt idx="8">
                  <c:v>3.442239407963029</c:v>
                </c:pt>
              </c:numCache>
            </c:numRef>
          </c:val>
          <c:smooth val="0"/>
        </c:ser>
        <c:dLbls>
          <c:showLegendKey val="0"/>
          <c:showVal val="0"/>
          <c:showCatName val="0"/>
          <c:showSerName val="0"/>
          <c:showPercent val="0"/>
          <c:showBubbleSize val="0"/>
        </c:dLbls>
        <c:marker val="1"/>
        <c:smooth val="0"/>
        <c:axId val="149638144"/>
        <c:axId val="149648128"/>
      </c:lineChart>
      <c:catAx>
        <c:axId val="149638144"/>
        <c:scaling>
          <c:orientation val="minMax"/>
        </c:scaling>
        <c:delete val="0"/>
        <c:axPos val="b"/>
        <c:numFmt formatCode="General" sourceLinked="0"/>
        <c:majorTickMark val="out"/>
        <c:minorTickMark val="none"/>
        <c:tickLblPos val="low"/>
        <c:crossAx val="149648128"/>
        <c:crosses val="autoZero"/>
        <c:auto val="1"/>
        <c:lblAlgn val="ctr"/>
        <c:lblOffset val="100"/>
        <c:tickLblSkip val="2"/>
        <c:noMultiLvlLbl val="0"/>
      </c:catAx>
      <c:valAx>
        <c:axId val="149648128"/>
        <c:scaling>
          <c:orientation val="minMax"/>
          <c:max val="10"/>
          <c:min val="-20"/>
        </c:scaling>
        <c:delete val="0"/>
        <c:axPos val="l"/>
        <c:majorGridlines/>
        <c:numFmt formatCode="#,##0" sourceLinked="0"/>
        <c:majorTickMark val="out"/>
        <c:minorTickMark val="none"/>
        <c:tickLblPos val="nextTo"/>
        <c:crossAx val="149638144"/>
        <c:crosses val="autoZero"/>
        <c:crossBetween val="between"/>
      </c:valAx>
    </c:plotArea>
    <c:plotVisOnly val="1"/>
    <c:dispBlanksAs val="gap"/>
    <c:showDLblsOverMax val="0"/>
  </c:chart>
  <c:spPr>
    <a:solidFill>
      <a:schemeClr val="bg1"/>
    </a:solidFill>
    <a:ln>
      <a:noFill/>
    </a:ln>
  </c:spPr>
  <c:txPr>
    <a:bodyPr/>
    <a:lstStyle/>
    <a:p>
      <a:pPr>
        <a:defRPr>
          <a:latin typeface="Georgia" panose="02040502050405020303" pitchFamily="18" charset="0"/>
        </a:defRPr>
      </a:pPr>
      <a:endParaRPr lang="sv-SE"/>
    </a:p>
  </c:txPr>
  <c:externalData r:id="rId2">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FB4B0-992A-4C6D-955A-AB86AF19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2362</Words>
  <Characters>12521</Characters>
  <Application>Microsoft Office Word</Application>
  <DocSecurity>4</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LRF</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Dyrendahl</dc:creator>
  <cp:lastModifiedBy>Linda  Ternstedt</cp:lastModifiedBy>
  <cp:revision>2</cp:revision>
  <cp:lastPrinted>2014-08-13T10:18:00Z</cp:lastPrinted>
  <dcterms:created xsi:type="dcterms:W3CDTF">2014-08-21T08:27:00Z</dcterms:created>
  <dcterms:modified xsi:type="dcterms:W3CDTF">2014-08-21T08:27:00Z</dcterms:modified>
</cp:coreProperties>
</file>