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7F" w:rsidRPr="00217BC8" w:rsidRDefault="00CA480D" w:rsidP="00217BC8">
      <w:pPr>
        <w:shd w:val="clear" w:color="auto" w:fill="FFFFFF"/>
        <w:spacing w:after="270" w:line="240" w:lineRule="auto"/>
        <w:outlineLvl w:val="0"/>
        <w:rPr>
          <w:rFonts w:ascii="AgencyFB-Bold" w:eastAsia="Times New Roman" w:hAnsi="AgencyFB-Bold" w:cs="Helvetica"/>
          <w:bCs/>
          <w:caps/>
          <w:color w:val="FF0000"/>
          <w:kern w:val="36"/>
          <w:sz w:val="20"/>
          <w:szCs w:val="20"/>
        </w:rPr>
      </w:pPr>
      <w:r w:rsidRPr="00D1296E">
        <w:rPr>
          <w:rFonts w:ascii="AkzidenzGroteskBQ-Reg" w:hAnsi="AkzidenzGroteskBQ-Reg"/>
          <w:noProof/>
          <w:sz w:val="33"/>
          <w:szCs w:val="33"/>
        </w:rPr>
        <w:drawing>
          <wp:anchor distT="0" distB="0" distL="114300" distR="114300" simplePos="0" relativeHeight="251658240" behindDoc="0" locked="0" layoutInCell="1" allowOverlap="1" wp14:anchorId="5DE44CA3" wp14:editId="1A5CF74A">
            <wp:simplePos x="0" y="0"/>
            <wp:positionH relativeFrom="column">
              <wp:posOffset>4860925</wp:posOffset>
            </wp:positionH>
            <wp:positionV relativeFrom="page">
              <wp:posOffset>540385</wp:posOffset>
            </wp:positionV>
            <wp:extent cx="1188000" cy="30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scha_small.jpg"/>
                    <pic:cNvPicPr/>
                  </pic:nvPicPr>
                  <pic:blipFill>
                    <a:blip r:embed="rId6">
                      <a:extLst>
                        <a:ext uri="{28A0092B-C50C-407E-A947-70E740481C1C}">
                          <a14:useLocalDpi xmlns:a14="http://schemas.microsoft.com/office/drawing/2010/main" val="0"/>
                        </a:ext>
                      </a:extLst>
                    </a:blip>
                    <a:stretch>
                      <a:fillRect/>
                    </a:stretch>
                  </pic:blipFill>
                  <pic:spPr>
                    <a:xfrm>
                      <a:off x="0" y="0"/>
                      <a:ext cx="1188000" cy="306000"/>
                    </a:xfrm>
                    <a:prstGeom prst="rect">
                      <a:avLst/>
                    </a:prstGeom>
                  </pic:spPr>
                </pic:pic>
              </a:graphicData>
            </a:graphic>
            <wp14:sizeRelH relativeFrom="margin">
              <wp14:pctWidth>0</wp14:pctWidth>
            </wp14:sizeRelH>
            <wp14:sizeRelV relativeFrom="margin">
              <wp14:pctHeight>0</wp14:pctHeight>
            </wp14:sizeRelV>
          </wp:anchor>
        </w:drawing>
      </w:r>
      <w:r w:rsidR="00217BC8">
        <w:rPr>
          <w:rFonts w:ascii="AgencyFB-Bold" w:eastAsia="Times New Roman" w:hAnsi="AgencyFB-Bold" w:cs="Helvetica"/>
          <w:bCs/>
          <w:caps/>
          <w:color w:val="FF0000"/>
          <w:kern w:val="36"/>
          <w:sz w:val="20"/>
          <w:szCs w:val="20"/>
        </w:rPr>
        <w:t>press release 2016-03-08</w:t>
      </w:r>
      <w:r w:rsidR="00217BC8">
        <w:rPr>
          <w:rFonts w:ascii="AgencyFB-Bold" w:eastAsia="Times New Roman" w:hAnsi="AgencyFB-Bold" w:cs="Helvetica"/>
          <w:bCs/>
          <w:caps/>
          <w:color w:val="FF0000"/>
          <w:kern w:val="36"/>
          <w:sz w:val="20"/>
          <w:szCs w:val="20"/>
        </w:rPr>
        <w:br/>
      </w:r>
      <w:r w:rsidR="00E3107F" w:rsidRPr="00217BC8">
        <w:rPr>
          <w:rFonts w:ascii="AgencyFB-Bold" w:hAnsi="AgencyFB-Bold"/>
          <w:bCs/>
          <w:caps/>
          <w:sz w:val="32"/>
          <w:szCs w:val="32"/>
        </w:rPr>
        <w:t>Datscha launches in UK and appoints former COSTAR head</w:t>
      </w:r>
    </w:p>
    <w:p w:rsidR="00217BC8" w:rsidRPr="00372136" w:rsidRDefault="00E3107F" w:rsidP="00E3107F">
      <w:pPr>
        <w:rPr>
          <w:rFonts w:ascii="AkzidenzGroteskBQ-Bold" w:hAnsi="AkzidenzGroteskBQ-Bold"/>
          <w:bCs/>
          <w:i/>
          <w:sz w:val="20"/>
          <w:szCs w:val="20"/>
        </w:rPr>
      </w:pPr>
      <w:r w:rsidRPr="00372136">
        <w:rPr>
          <w:rFonts w:ascii="AkzidenzGroteskBQ-Bold" w:hAnsi="AkzidenzGroteskBQ-Bold"/>
          <w:bCs/>
          <w:i/>
          <w:sz w:val="20"/>
          <w:szCs w:val="20"/>
        </w:rPr>
        <w:t xml:space="preserve">Datscha, the Swedish </w:t>
      </w:r>
      <w:proofErr w:type="spellStart"/>
      <w:r w:rsidRPr="00372136">
        <w:rPr>
          <w:rFonts w:ascii="AkzidenzGroteskBQ-Bold" w:hAnsi="AkzidenzGroteskBQ-Bold"/>
          <w:bCs/>
          <w:i/>
          <w:sz w:val="20"/>
          <w:szCs w:val="20"/>
        </w:rPr>
        <w:t>proptech</w:t>
      </w:r>
      <w:proofErr w:type="spellEnd"/>
      <w:r w:rsidRPr="00372136">
        <w:rPr>
          <w:rFonts w:ascii="AkzidenzGroteskBQ-Bold" w:hAnsi="AkzidenzGroteskBQ-Bold"/>
          <w:bCs/>
          <w:i/>
          <w:sz w:val="20"/>
          <w:szCs w:val="20"/>
        </w:rPr>
        <w:t xml:space="preserve"> business, has formally launched its property analysis platform in the UK and, at the same time, has appointed Paul </w:t>
      </w:r>
      <w:proofErr w:type="spellStart"/>
      <w:r w:rsidRPr="00372136">
        <w:rPr>
          <w:rFonts w:ascii="AkzidenzGroteskBQ-Bold" w:hAnsi="AkzidenzGroteskBQ-Bold"/>
          <w:bCs/>
          <w:i/>
          <w:sz w:val="20"/>
          <w:szCs w:val="20"/>
        </w:rPr>
        <w:t>Marples</w:t>
      </w:r>
      <w:proofErr w:type="spellEnd"/>
      <w:r w:rsidRPr="00372136">
        <w:rPr>
          <w:rFonts w:ascii="AkzidenzGroteskBQ-Bold" w:hAnsi="AkzidenzGroteskBQ-Bold"/>
          <w:bCs/>
          <w:i/>
          <w:sz w:val="20"/>
          <w:szCs w:val="20"/>
        </w:rPr>
        <w:t xml:space="preserve">, the former managing director of rival </w:t>
      </w:r>
      <w:r w:rsidR="00217BC8" w:rsidRPr="00372136">
        <w:rPr>
          <w:rFonts w:ascii="AkzidenzGroteskBQ-Bold" w:hAnsi="AkzidenzGroteskBQ-Bold"/>
          <w:bCs/>
          <w:i/>
          <w:sz w:val="20"/>
          <w:szCs w:val="20"/>
        </w:rPr>
        <w:t xml:space="preserve">business Costar, as an </w:t>
      </w:r>
      <w:proofErr w:type="spellStart"/>
      <w:r w:rsidR="00217BC8" w:rsidRPr="00372136">
        <w:rPr>
          <w:rFonts w:ascii="AkzidenzGroteskBQ-Bold" w:hAnsi="AkzidenzGroteskBQ-Bold"/>
          <w:bCs/>
          <w:i/>
          <w:sz w:val="20"/>
          <w:szCs w:val="20"/>
        </w:rPr>
        <w:t>adviser.</w:t>
      </w:r>
      <w:proofErr w:type="spellEnd"/>
    </w:p>
    <w:p w:rsidR="00E3107F" w:rsidRPr="00372136" w:rsidRDefault="00E3107F" w:rsidP="00E3107F">
      <w:pPr>
        <w:rPr>
          <w:rFonts w:ascii="AkzidenzGroteskBQ-Reg" w:hAnsi="AkzidenzGroteskBQ-Reg"/>
          <w:bCs/>
          <w:sz w:val="20"/>
          <w:szCs w:val="20"/>
        </w:rPr>
      </w:pPr>
      <w:proofErr w:type="spellStart"/>
      <w:r w:rsidRPr="00372136">
        <w:rPr>
          <w:rFonts w:ascii="AkzidenzGroteskBQ-Reg" w:hAnsi="AkzidenzGroteskBQ-Reg"/>
          <w:bCs/>
          <w:sz w:val="20"/>
          <w:szCs w:val="20"/>
        </w:rPr>
        <w:t>Marples</w:t>
      </w:r>
      <w:proofErr w:type="spellEnd"/>
      <w:r w:rsidRPr="00372136">
        <w:rPr>
          <w:rFonts w:ascii="AkzidenzGroteskBQ-Reg" w:hAnsi="AkzidenzGroteskBQ-Reg"/>
          <w:bCs/>
          <w:sz w:val="20"/>
          <w:szCs w:val="20"/>
        </w:rPr>
        <w:t xml:space="preserve"> sold Property Investment Exchange Ltd to Costar in 2007. He was formerly a partner at Brown Cooper </w:t>
      </w:r>
      <w:proofErr w:type="spellStart"/>
      <w:r w:rsidRPr="00372136">
        <w:rPr>
          <w:rFonts w:ascii="AkzidenzGroteskBQ-Reg" w:hAnsi="AkzidenzGroteskBQ-Reg"/>
          <w:bCs/>
          <w:sz w:val="20"/>
          <w:szCs w:val="20"/>
        </w:rPr>
        <w:t>Marples</w:t>
      </w:r>
      <w:proofErr w:type="spellEnd"/>
      <w:r w:rsidRPr="00372136">
        <w:rPr>
          <w:rFonts w:ascii="AkzidenzGroteskBQ-Reg" w:hAnsi="AkzidenzGroteskBQ-Reg"/>
          <w:bCs/>
          <w:sz w:val="20"/>
          <w:szCs w:val="20"/>
        </w:rPr>
        <w:t xml:space="preserve"> and </w:t>
      </w:r>
      <w:proofErr w:type="spellStart"/>
      <w:r w:rsidRPr="00372136">
        <w:rPr>
          <w:rFonts w:ascii="AkzidenzGroteskBQ-Reg" w:hAnsi="AkzidenzGroteskBQ-Reg"/>
          <w:bCs/>
          <w:sz w:val="20"/>
          <w:szCs w:val="20"/>
        </w:rPr>
        <w:t>Weatherall</w:t>
      </w:r>
      <w:proofErr w:type="spellEnd"/>
      <w:r w:rsidRPr="00372136">
        <w:rPr>
          <w:rFonts w:ascii="AkzidenzGroteskBQ-Reg" w:hAnsi="AkzidenzGroteskBQ-Reg"/>
          <w:bCs/>
          <w:sz w:val="20"/>
          <w:szCs w:val="20"/>
        </w:rPr>
        <w:t xml:space="preserve"> Green &amp; Smith.</w:t>
      </w:r>
    </w:p>
    <w:p w:rsidR="00217BC8" w:rsidRPr="00217BC8" w:rsidRDefault="00E3107F" w:rsidP="00E3107F">
      <w:pPr>
        <w:rPr>
          <w:rFonts w:ascii="AkzidenzGroteskBQ-Reg" w:hAnsi="AkzidenzGroteskBQ-Reg"/>
          <w:bCs/>
          <w:sz w:val="20"/>
          <w:szCs w:val="20"/>
        </w:rPr>
      </w:pPr>
      <w:r w:rsidRPr="00217BC8">
        <w:rPr>
          <w:rFonts w:ascii="AkzidenzGroteskBQ-Reg" w:hAnsi="AkzidenzGroteskBQ-Reg"/>
          <w:bCs/>
          <w:sz w:val="20"/>
          <w:szCs w:val="20"/>
        </w:rPr>
        <w:t xml:space="preserve">Jacob Philipson, CEO of Datscha said: </w:t>
      </w:r>
      <w:r w:rsidRPr="00217BC8">
        <w:rPr>
          <w:rFonts w:ascii="AkzidenzGroteskBQ-Reg" w:hAnsi="AkzidenzGroteskBQ-Reg"/>
          <w:bCs/>
          <w:i/>
          <w:sz w:val="20"/>
          <w:szCs w:val="20"/>
        </w:rPr>
        <w:t xml:space="preserve">“The appointment of Paul, coinciding as it does with the launch of Datscha in the UK, is of huge significance to our clients, coming at a time where more and more commercial property professionals are harnessing the power of digital technology to research, </w:t>
      </w:r>
      <w:proofErr w:type="spellStart"/>
      <w:r w:rsidR="00961FE8">
        <w:rPr>
          <w:rFonts w:ascii="AkzidenzGroteskBQ-Reg" w:hAnsi="AkzidenzGroteskBQ-Reg"/>
          <w:bCs/>
          <w:i/>
          <w:sz w:val="20"/>
          <w:szCs w:val="20"/>
        </w:rPr>
        <w:t>analy</w:t>
      </w:r>
      <w:r w:rsidR="002031C0">
        <w:rPr>
          <w:rFonts w:ascii="AkzidenzGroteskBQ-Reg" w:hAnsi="AkzidenzGroteskBQ-Reg"/>
          <w:bCs/>
          <w:i/>
          <w:sz w:val="20"/>
          <w:szCs w:val="20"/>
        </w:rPr>
        <w:t>s</w:t>
      </w:r>
      <w:r w:rsidR="00217BC8" w:rsidRPr="00217BC8">
        <w:rPr>
          <w:rFonts w:ascii="AkzidenzGroteskBQ-Reg" w:hAnsi="AkzidenzGroteskBQ-Reg"/>
          <w:bCs/>
          <w:i/>
          <w:sz w:val="20"/>
          <w:szCs w:val="20"/>
        </w:rPr>
        <w:t>e</w:t>
      </w:r>
      <w:proofErr w:type="spellEnd"/>
      <w:r w:rsidRPr="00217BC8">
        <w:rPr>
          <w:rFonts w:ascii="AkzidenzGroteskBQ-Reg" w:hAnsi="AkzidenzGroteskBQ-Reg"/>
          <w:bCs/>
          <w:i/>
          <w:sz w:val="20"/>
          <w:szCs w:val="20"/>
        </w:rPr>
        <w:t xml:space="preserve"> and share real estate data.</w:t>
      </w:r>
      <w:r w:rsidR="00217BC8" w:rsidRPr="00217BC8">
        <w:rPr>
          <w:rFonts w:ascii="AkzidenzGroteskBQ-Reg" w:hAnsi="AkzidenzGroteskBQ-Reg"/>
          <w:bCs/>
          <w:sz w:val="20"/>
          <w:szCs w:val="20"/>
        </w:rPr>
        <w:t xml:space="preserve"> </w:t>
      </w:r>
    </w:p>
    <w:p w:rsidR="00217BC8" w:rsidRPr="00217BC8" w:rsidRDefault="00E3107F" w:rsidP="00E3107F">
      <w:pPr>
        <w:rPr>
          <w:rFonts w:ascii="AkzidenzGroteskBQ-Reg" w:hAnsi="AkzidenzGroteskBQ-Reg"/>
          <w:bCs/>
          <w:i/>
          <w:sz w:val="20"/>
          <w:szCs w:val="20"/>
        </w:rPr>
      </w:pPr>
      <w:r w:rsidRPr="00217BC8">
        <w:rPr>
          <w:rFonts w:ascii="AkzidenzGroteskBQ-Reg" w:hAnsi="AkzidenzGroteskBQ-Reg"/>
          <w:bCs/>
          <w:i/>
          <w:sz w:val="20"/>
          <w:szCs w:val="20"/>
        </w:rPr>
        <w:t>For the first time in the UK businesses can now access highly valuable information regarding millions of properties at the click of a button. We have tied together all the public information sources, and added additional data from other sources, to enable users to examine market information down to individual properties and owners and make the most informed decisions possible.</w:t>
      </w:r>
      <w:r w:rsidR="00217BC8" w:rsidRPr="00217BC8">
        <w:rPr>
          <w:rFonts w:ascii="AkzidenzGroteskBQ-Reg" w:hAnsi="AkzidenzGroteskBQ-Reg"/>
          <w:bCs/>
          <w:i/>
          <w:sz w:val="20"/>
          <w:szCs w:val="20"/>
        </w:rPr>
        <w:t xml:space="preserve"> </w:t>
      </w:r>
    </w:p>
    <w:p w:rsidR="00E3107F" w:rsidRPr="00217BC8" w:rsidRDefault="00E3107F" w:rsidP="00E3107F">
      <w:pPr>
        <w:rPr>
          <w:rFonts w:ascii="AkzidenzGroteskBQ-Reg" w:hAnsi="AkzidenzGroteskBQ-Reg"/>
          <w:bCs/>
          <w:sz w:val="20"/>
          <w:szCs w:val="20"/>
        </w:rPr>
      </w:pPr>
      <w:r w:rsidRPr="00217BC8">
        <w:rPr>
          <w:rFonts w:ascii="AkzidenzGroteskBQ-Reg" w:hAnsi="AkzidenzGroteskBQ-Reg"/>
          <w:bCs/>
          <w:i/>
          <w:sz w:val="20"/>
          <w:szCs w:val="20"/>
        </w:rPr>
        <w:t>We believe that the availability of such detailed property intelligence will disrupt the UK market in the same way that it has in Sweden.”</w:t>
      </w:r>
    </w:p>
    <w:p w:rsidR="00E3107F" w:rsidRPr="00217BC8" w:rsidRDefault="00E3107F" w:rsidP="00E3107F">
      <w:pPr>
        <w:rPr>
          <w:rFonts w:ascii="AkzidenzGroteskBQ-Reg" w:hAnsi="AkzidenzGroteskBQ-Reg"/>
          <w:bCs/>
          <w:i/>
          <w:sz w:val="20"/>
          <w:szCs w:val="20"/>
        </w:rPr>
      </w:pPr>
      <w:r w:rsidRPr="00217BC8">
        <w:rPr>
          <w:rFonts w:ascii="AkzidenzGroteskBQ-Reg" w:hAnsi="AkzidenzGroteskBQ-Reg"/>
          <w:bCs/>
          <w:sz w:val="20"/>
          <w:szCs w:val="20"/>
        </w:rPr>
        <w:t xml:space="preserve">Paul </w:t>
      </w:r>
      <w:proofErr w:type="spellStart"/>
      <w:r w:rsidRPr="00217BC8">
        <w:rPr>
          <w:rFonts w:ascii="AkzidenzGroteskBQ-Reg" w:hAnsi="AkzidenzGroteskBQ-Reg"/>
          <w:bCs/>
          <w:sz w:val="20"/>
          <w:szCs w:val="20"/>
        </w:rPr>
        <w:t>Marples</w:t>
      </w:r>
      <w:proofErr w:type="spellEnd"/>
      <w:r w:rsidRPr="00217BC8">
        <w:rPr>
          <w:rFonts w:ascii="AkzidenzGroteskBQ-Reg" w:hAnsi="AkzidenzGroteskBQ-Reg"/>
          <w:bCs/>
          <w:sz w:val="20"/>
          <w:szCs w:val="20"/>
        </w:rPr>
        <w:t xml:space="preserve"> said: </w:t>
      </w:r>
      <w:r w:rsidRPr="00217BC8">
        <w:rPr>
          <w:rFonts w:ascii="AkzidenzGroteskBQ-Reg" w:hAnsi="AkzidenzGroteskBQ-Reg"/>
          <w:bCs/>
          <w:i/>
          <w:sz w:val="20"/>
          <w:szCs w:val="20"/>
        </w:rPr>
        <w:t xml:space="preserve">“By drawing together data from the Land Registry, Ordnance Survey, Environment Agency, Valuation Office Agency, Companies House and MSCI (formerly IPD), and by combining it with the records of over 7 million properties in England and Wales, Datscha now provides the market with an incredibly powerful commercial property intelligence and research tool. </w:t>
      </w:r>
    </w:p>
    <w:p w:rsidR="00E3107F" w:rsidRPr="00217BC8" w:rsidRDefault="00E3107F" w:rsidP="00E3107F">
      <w:pPr>
        <w:rPr>
          <w:rFonts w:ascii="AkzidenzGroteskBQ-Reg" w:hAnsi="AkzidenzGroteskBQ-Reg"/>
          <w:bCs/>
          <w:i/>
          <w:sz w:val="20"/>
          <w:szCs w:val="20"/>
        </w:rPr>
      </w:pPr>
      <w:r w:rsidRPr="00217BC8">
        <w:rPr>
          <w:rFonts w:ascii="AkzidenzGroteskBQ-Reg" w:hAnsi="AkzidenzGroteskBQ-Reg"/>
          <w:bCs/>
          <w:i/>
          <w:sz w:val="20"/>
          <w:szCs w:val="20"/>
        </w:rPr>
        <w:t>“Combining all this data together brings a new level of transparency to the market.”</w:t>
      </w:r>
    </w:p>
    <w:p w:rsidR="00E3107F" w:rsidRPr="00217BC8" w:rsidRDefault="00E3107F" w:rsidP="00E3107F">
      <w:pPr>
        <w:rPr>
          <w:rFonts w:ascii="AkzidenzGroteskBQ-Reg" w:hAnsi="AkzidenzGroteskBQ-Reg"/>
          <w:bCs/>
          <w:i/>
          <w:sz w:val="20"/>
          <w:szCs w:val="20"/>
        </w:rPr>
      </w:pPr>
      <w:r w:rsidRPr="00217BC8">
        <w:rPr>
          <w:rFonts w:ascii="AkzidenzGroteskBQ-Reg" w:hAnsi="AkzidenzGroteskBQ-Reg"/>
          <w:bCs/>
          <w:sz w:val="20"/>
          <w:szCs w:val="20"/>
        </w:rPr>
        <w:t xml:space="preserve">Mark Bruno, MD of Datscha UK added: </w:t>
      </w:r>
      <w:r w:rsidRPr="00217BC8">
        <w:rPr>
          <w:rFonts w:ascii="AkzidenzGroteskBQ-Reg" w:hAnsi="AkzidenzGroteskBQ-Reg"/>
          <w:bCs/>
          <w:i/>
          <w:sz w:val="20"/>
          <w:szCs w:val="20"/>
        </w:rPr>
        <w:t xml:space="preserve">“Since Datscha was launched in Sweden 16 years ago it has become the commercial property research service of choice for the vast majority of the market. It has introduced a new way of working to thousands of property professionals from the smallest to the largest firms. With this launch we are now ushering in these changes to the UK. </w:t>
      </w:r>
    </w:p>
    <w:p w:rsidR="00E3107F" w:rsidRPr="00217BC8" w:rsidRDefault="00E3107F" w:rsidP="00E3107F">
      <w:pPr>
        <w:rPr>
          <w:rFonts w:ascii="AkzidenzGroteskBQ-Reg" w:hAnsi="AkzidenzGroteskBQ-Reg"/>
          <w:bCs/>
          <w:i/>
          <w:sz w:val="20"/>
          <w:szCs w:val="20"/>
        </w:rPr>
      </w:pPr>
      <w:r w:rsidRPr="00217BC8">
        <w:rPr>
          <w:rFonts w:ascii="AkzidenzGroteskBQ-Reg" w:hAnsi="AkzidenzGroteskBQ-Reg"/>
          <w:bCs/>
          <w:i/>
          <w:sz w:val="20"/>
          <w:szCs w:val="20"/>
        </w:rPr>
        <w:t xml:space="preserve">“The true innovation comes from how the data from all our suppliers is merged and visualized, giving our customers much better support for their decision-making. We provide them with a massive competitive advantage by making it possible to search, map and </w:t>
      </w:r>
      <w:proofErr w:type="spellStart"/>
      <w:r w:rsidR="002031C0">
        <w:rPr>
          <w:rFonts w:ascii="AkzidenzGroteskBQ-Reg" w:hAnsi="AkzidenzGroteskBQ-Reg"/>
          <w:bCs/>
          <w:i/>
          <w:sz w:val="20"/>
          <w:szCs w:val="20"/>
        </w:rPr>
        <w:t>analys</w:t>
      </w:r>
      <w:r w:rsidR="00217BC8" w:rsidRPr="00217BC8">
        <w:rPr>
          <w:rFonts w:ascii="AkzidenzGroteskBQ-Reg" w:hAnsi="AkzidenzGroteskBQ-Reg"/>
          <w:bCs/>
          <w:i/>
          <w:sz w:val="20"/>
          <w:szCs w:val="20"/>
        </w:rPr>
        <w:t>e</w:t>
      </w:r>
      <w:proofErr w:type="spellEnd"/>
      <w:r w:rsidRPr="00217BC8">
        <w:rPr>
          <w:rFonts w:ascii="AkzidenzGroteskBQ-Reg" w:hAnsi="AkzidenzGroteskBQ-Reg"/>
          <w:bCs/>
          <w:i/>
          <w:sz w:val="20"/>
          <w:szCs w:val="20"/>
        </w:rPr>
        <w:t xml:space="preserve"> huge amounts of property information and ownership data.  Users tell us that after a few minutes using Datscha they’re already two days into their research. They really appreciate the speed and ease of use of the interface and the depth of data that is available to them, often using Datscha as the main information source when doing first cut market analysis.</w:t>
      </w:r>
    </w:p>
    <w:p w:rsidR="00E3107F" w:rsidRPr="00217BC8" w:rsidRDefault="00E3107F" w:rsidP="00E3107F">
      <w:pPr>
        <w:rPr>
          <w:rFonts w:ascii="AkzidenzGroteskBQ-Reg" w:hAnsi="AkzidenzGroteskBQ-Reg"/>
          <w:bCs/>
          <w:i/>
          <w:sz w:val="20"/>
          <w:szCs w:val="20"/>
        </w:rPr>
      </w:pPr>
      <w:r w:rsidRPr="00217BC8">
        <w:rPr>
          <w:rFonts w:ascii="AkzidenzGroteskBQ-Reg" w:hAnsi="AkzidenzGroteskBQ-Reg"/>
          <w:bCs/>
          <w:i/>
          <w:sz w:val="20"/>
          <w:szCs w:val="20"/>
        </w:rPr>
        <w:t>“This is the future of property research intelligence and we are excited to be bringing this digital disruption to the UK property market.”</w:t>
      </w:r>
    </w:p>
    <w:p w:rsidR="00E3107F" w:rsidRPr="00217BC8" w:rsidRDefault="00217BC8" w:rsidP="00217BC8">
      <w:pPr>
        <w:pStyle w:val="ListParagraph"/>
        <w:numPr>
          <w:ilvl w:val="0"/>
          <w:numId w:val="2"/>
        </w:numPr>
        <w:rPr>
          <w:rFonts w:ascii="AkzidenzGroteskBQ-Bold" w:hAnsi="AkzidenzGroteskBQ-Bold"/>
          <w:bCs/>
          <w:sz w:val="20"/>
          <w:szCs w:val="20"/>
        </w:rPr>
      </w:pPr>
      <w:r w:rsidRPr="00217BC8">
        <w:rPr>
          <w:rFonts w:ascii="AkzidenzGroteskBQ-Bold" w:hAnsi="AkzidenzGroteskBQ-Bold"/>
          <w:bCs/>
          <w:sz w:val="20"/>
          <w:szCs w:val="20"/>
        </w:rPr>
        <w:t>E</w:t>
      </w:r>
      <w:r w:rsidR="00E3107F" w:rsidRPr="00217BC8">
        <w:rPr>
          <w:rFonts w:ascii="AkzidenzGroteskBQ-Bold" w:hAnsi="AkzidenzGroteskBQ-Bold"/>
          <w:bCs/>
          <w:sz w:val="20"/>
          <w:szCs w:val="20"/>
        </w:rPr>
        <w:t>nds</w:t>
      </w:r>
      <w:r>
        <w:rPr>
          <w:rFonts w:ascii="AkzidenzGroteskBQ-Bold" w:hAnsi="AkzidenzGroteskBQ-Bold"/>
          <w:bCs/>
          <w:sz w:val="20"/>
          <w:szCs w:val="20"/>
        </w:rPr>
        <w:t xml:space="preserve"> </w:t>
      </w:r>
      <w:r w:rsidR="00E3107F" w:rsidRPr="00217BC8">
        <w:rPr>
          <w:rFonts w:ascii="AkzidenzGroteskBQ-Bold" w:hAnsi="AkzidenzGroteskBQ-Bold"/>
          <w:bCs/>
          <w:sz w:val="20"/>
          <w:szCs w:val="20"/>
        </w:rPr>
        <w:t>-</w:t>
      </w:r>
    </w:p>
    <w:p w:rsidR="00E3107F" w:rsidRPr="00217BC8" w:rsidRDefault="00E3107F" w:rsidP="00E3107F">
      <w:pPr>
        <w:rPr>
          <w:rFonts w:ascii="AkzidenzGroteskBQ-Reg" w:hAnsi="AkzidenzGroteskBQ-Reg"/>
          <w:bCs/>
          <w:sz w:val="20"/>
          <w:szCs w:val="20"/>
        </w:rPr>
      </w:pPr>
    </w:p>
    <w:p w:rsidR="00217BC8" w:rsidRPr="00217BC8" w:rsidRDefault="00217BC8" w:rsidP="00E3107F">
      <w:pPr>
        <w:rPr>
          <w:rFonts w:ascii="AkzidenzGroteskBQ-Reg" w:hAnsi="AkzidenzGroteskBQ-Reg"/>
          <w:bCs/>
          <w:sz w:val="20"/>
          <w:szCs w:val="20"/>
        </w:rPr>
      </w:pPr>
      <w:r w:rsidRPr="00217BC8">
        <w:rPr>
          <w:rFonts w:ascii="AgencyFB-Bold" w:hAnsi="AgencyFB-Bold"/>
          <w:bCs/>
          <w:caps/>
          <w:color w:val="FF0000"/>
          <w:sz w:val="20"/>
          <w:szCs w:val="20"/>
        </w:rPr>
        <w:lastRenderedPageBreak/>
        <w:t>Notes for editors</w:t>
      </w:r>
      <w:bookmarkStart w:id="0" w:name="_GoBack"/>
      <w:bookmarkEnd w:id="0"/>
      <w:r w:rsidR="00372136" w:rsidRPr="00D1296E">
        <w:rPr>
          <w:rFonts w:ascii="AkzidenzGroteskBQ-Reg" w:hAnsi="AkzidenzGroteskBQ-Reg"/>
          <w:noProof/>
          <w:sz w:val="33"/>
          <w:szCs w:val="33"/>
        </w:rPr>
        <w:drawing>
          <wp:anchor distT="0" distB="0" distL="114300" distR="114300" simplePos="0" relativeHeight="251660288" behindDoc="0" locked="0" layoutInCell="1" allowOverlap="1" wp14:anchorId="44DFB1C7" wp14:editId="54B3F84F">
            <wp:simplePos x="0" y="0"/>
            <wp:positionH relativeFrom="column">
              <wp:posOffset>4860925</wp:posOffset>
            </wp:positionH>
            <wp:positionV relativeFrom="page">
              <wp:posOffset>540385</wp:posOffset>
            </wp:positionV>
            <wp:extent cx="1188000" cy="30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scha_small.jpg"/>
                    <pic:cNvPicPr/>
                  </pic:nvPicPr>
                  <pic:blipFill>
                    <a:blip r:embed="rId6">
                      <a:extLst>
                        <a:ext uri="{28A0092B-C50C-407E-A947-70E740481C1C}">
                          <a14:useLocalDpi xmlns:a14="http://schemas.microsoft.com/office/drawing/2010/main" val="0"/>
                        </a:ext>
                      </a:extLst>
                    </a:blip>
                    <a:stretch>
                      <a:fillRect/>
                    </a:stretch>
                  </pic:blipFill>
                  <pic:spPr>
                    <a:xfrm>
                      <a:off x="0" y="0"/>
                      <a:ext cx="1188000" cy="306000"/>
                    </a:xfrm>
                    <a:prstGeom prst="rect">
                      <a:avLst/>
                    </a:prstGeom>
                  </pic:spPr>
                </pic:pic>
              </a:graphicData>
            </a:graphic>
            <wp14:sizeRelH relativeFrom="margin">
              <wp14:pctWidth>0</wp14:pctWidth>
            </wp14:sizeRelH>
            <wp14:sizeRelV relativeFrom="margin">
              <wp14:pctHeight>0</wp14:pctHeight>
            </wp14:sizeRelV>
          </wp:anchor>
        </w:drawing>
      </w:r>
      <w:r w:rsidRPr="00217BC8">
        <w:rPr>
          <w:rFonts w:ascii="AkzidenzGroteskBQ-Reg" w:hAnsi="AkzidenzGroteskBQ-Reg"/>
          <w:bCs/>
          <w:sz w:val="20"/>
          <w:szCs w:val="20"/>
        </w:rPr>
        <w:br/>
      </w:r>
      <w:r w:rsidR="00E3107F" w:rsidRPr="00217BC8">
        <w:rPr>
          <w:rFonts w:ascii="AgencyFB-Bold" w:hAnsi="AgencyFB-Bold"/>
          <w:bCs/>
          <w:caps/>
          <w:sz w:val="20"/>
          <w:szCs w:val="20"/>
        </w:rPr>
        <w:t>Datscha – the future of</w:t>
      </w:r>
      <w:r w:rsidRPr="00217BC8">
        <w:rPr>
          <w:rFonts w:ascii="AgencyFB-Bold" w:hAnsi="AgencyFB-Bold"/>
          <w:bCs/>
          <w:caps/>
          <w:sz w:val="20"/>
          <w:szCs w:val="20"/>
        </w:rPr>
        <w:t xml:space="preserve"> property research intelligence</w:t>
      </w:r>
      <w:r w:rsidRPr="00217BC8">
        <w:rPr>
          <w:rFonts w:ascii="AgencyFB-Bold" w:hAnsi="AgencyFB-Bold"/>
          <w:bCs/>
          <w:caps/>
          <w:sz w:val="20"/>
          <w:szCs w:val="20"/>
        </w:rPr>
        <w:br/>
      </w:r>
      <w:proofErr w:type="spellStart"/>
      <w:r w:rsidR="00E3107F" w:rsidRPr="00217BC8">
        <w:rPr>
          <w:rFonts w:ascii="AkzidenzGroteskBQ-Reg" w:hAnsi="AkzidenzGroteskBQ-Reg"/>
          <w:bCs/>
          <w:sz w:val="20"/>
          <w:szCs w:val="20"/>
        </w:rPr>
        <w:t>Datscha’s</w:t>
      </w:r>
      <w:proofErr w:type="spellEnd"/>
      <w:r w:rsidR="00E3107F" w:rsidRPr="00217BC8">
        <w:rPr>
          <w:rFonts w:ascii="AkzidenzGroteskBQ-Reg" w:hAnsi="AkzidenzGroteskBQ-Reg"/>
          <w:bCs/>
          <w:sz w:val="20"/>
          <w:szCs w:val="20"/>
        </w:rPr>
        <w:t xml:space="preserve"> clients receive instant web access to information about all commercial properties in the UK, Sweden and Finland and an efficient tool for </w:t>
      </w:r>
      <w:proofErr w:type="spellStart"/>
      <w:r w:rsidR="00E3107F" w:rsidRPr="00217BC8">
        <w:rPr>
          <w:rFonts w:ascii="AkzidenzGroteskBQ-Reg" w:hAnsi="AkzidenzGroteskBQ-Reg"/>
          <w:bCs/>
          <w:sz w:val="20"/>
          <w:szCs w:val="20"/>
        </w:rPr>
        <w:t>analysing</w:t>
      </w:r>
      <w:proofErr w:type="spellEnd"/>
      <w:r w:rsidR="00E3107F" w:rsidRPr="00217BC8">
        <w:rPr>
          <w:rFonts w:ascii="AkzidenzGroteskBQ-Reg" w:hAnsi="AkzidenzGroteskBQ-Reg"/>
          <w:bCs/>
          <w:sz w:val="20"/>
          <w:szCs w:val="20"/>
        </w:rPr>
        <w:t xml:space="preserve"> the information. Datscha has more than 2000 users in over 600 companies in seven countries, most of which operate within the financial</w:t>
      </w:r>
      <w:r w:rsidRPr="00217BC8">
        <w:rPr>
          <w:rFonts w:ascii="AkzidenzGroteskBQ-Reg" w:hAnsi="AkzidenzGroteskBQ-Reg"/>
          <w:bCs/>
          <w:sz w:val="20"/>
          <w:szCs w:val="20"/>
        </w:rPr>
        <w:t xml:space="preserve"> or property market. </w:t>
      </w:r>
    </w:p>
    <w:p w:rsidR="00E3107F" w:rsidRPr="00217BC8" w:rsidRDefault="00E3107F" w:rsidP="00E3107F">
      <w:pPr>
        <w:rPr>
          <w:rFonts w:ascii="AkzidenzGroteskBQ-Reg" w:hAnsi="AkzidenzGroteskBQ-Reg"/>
          <w:bCs/>
          <w:sz w:val="20"/>
          <w:szCs w:val="20"/>
        </w:rPr>
      </w:pPr>
      <w:r w:rsidRPr="00217BC8">
        <w:rPr>
          <w:rFonts w:ascii="AkzidenzGroteskBQ-Reg" w:hAnsi="AkzidenzGroteskBQ-Reg"/>
          <w:bCs/>
          <w:sz w:val="20"/>
          <w:szCs w:val="20"/>
        </w:rPr>
        <w:t>The Datscha Property module includes data for just over 7 million commercial freehold and leasehold interests in England and Wales. As we continuously collect and match data from a variety of public and private sources the information provided is both up to date and accurate. Investment is made to ensure that the most accurate data in the real estate industry is gathered from the leading providers that include: Land Registry, Ordnance Survey, Valuation Office Agency, Companies House, Environment Agency, CBRE, Oxford Economics, Bing and MSCI (former IPD).</w:t>
      </w:r>
    </w:p>
    <w:p w:rsidR="00E3107F" w:rsidRPr="00217BC8" w:rsidRDefault="00E3107F" w:rsidP="00E3107F">
      <w:pPr>
        <w:rPr>
          <w:rFonts w:ascii="AkzidenzGroteskBQ-Reg" w:hAnsi="AkzidenzGroteskBQ-Reg"/>
          <w:bCs/>
          <w:sz w:val="20"/>
          <w:szCs w:val="20"/>
        </w:rPr>
      </w:pPr>
      <w:r w:rsidRPr="00217BC8">
        <w:rPr>
          <w:rFonts w:ascii="AkzidenzGroteskBQ-Reg" w:hAnsi="AkzidenzGroteskBQ-Reg"/>
          <w:bCs/>
          <w:sz w:val="20"/>
          <w:szCs w:val="20"/>
        </w:rPr>
        <w:t>The data is brought together in an innovative platform with an intuitive interface to provide users with the ability to make faster and more accurate decisions Datscha turns data from the best public and private sources into insight and knowledge enabling property professionals to focus on decision making.</w:t>
      </w:r>
    </w:p>
    <w:p w:rsidR="00E3107F" w:rsidRPr="00217BC8" w:rsidRDefault="00E3107F" w:rsidP="00E3107F">
      <w:pPr>
        <w:rPr>
          <w:rFonts w:ascii="AkzidenzGroteskBQ-Reg" w:hAnsi="AkzidenzGroteskBQ-Reg"/>
          <w:bCs/>
          <w:sz w:val="20"/>
          <w:szCs w:val="20"/>
        </w:rPr>
      </w:pPr>
      <w:r w:rsidRPr="00217BC8">
        <w:rPr>
          <w:rFonts w:ascii="AkzidenzGroteskBQ-Reg" w:hAnsi="AkzidenzGroteskBQ-Reg"/>
          <w:bCs/>
          <w:sz w:val="20"/>
          <w:szCs w:val="20"/>
        </w:rPr>
        <w:t>Founded in 2000 Datscha is a part of the Stronghold Group. The Stronghold Group consists of Stronghold Invest AB, Newsec and NIAM private equity real estate firm.</w:t>
      </w:r>
    </w:p>
    <w:p w:rsidR="00217BC8" w:rsidRPr="00217BC8" w:rsidRDefault="00217BC8" w:rsidP="00E87DAF">
      <w:pPr>
        <w:rPr>
          <w:rFonts w:ascii="AgencyFB-Bold" w:hAnsi="AgencyFB-Bold"/>
          <w:bCs/>
          <w:caps/>
          <w:sz w:val="20"/>
          <w:szCs w:val="20"/>
        </w:rPr>
      </w:pPr>
      <w:r w:rsidRPr="00217BC8">
        <w:rPr>
          <w:rFonts w:ascii="AgencyFB-Bold" w:hAnsi="AgencyFB-Bold"/>
          <w:bCs/>
          <w:caps/>
          <w:sz w:val="20"/>
          <w:szCs w:val="20"/>
        </w:rPr>
        <w:t>Datscha at MIPIM 2016</w:t>
      </w:r>
      <w:r w:rsidRPr="00217BC8">
        <w:rPr>
          <w:rFonts w:ascii="AgencyFB-Bold" w:hAnsi="AgencyFB-Bold"/>
          <w:bCs/>
          <w:caps/>
          <w:sz w:val="20"/>
          <w:szCs w:val="20"/>
        </w:rPr>
        <w:br/>
      </w:r>
      <w:r w:rsidR="00E3107F" w:rsidRPr="00217BC8">
        <w:rPr>
          <w:rFonts w:ascii="AkzidenzGroteskBQ-Reg" w:hAnsi="AkzidenzGroteskBQ-Reg"/>
          <w:bCs/>
          <w:sz w:val="20"/>
          <w:szCs w:val="20"/>
        </w:rPr>
        <w:t xml:space="preserve">Datscha will be present at the MIPIM conference in Cannes 15-18 March, giving visitors a sneak </w:t>
      </w:r>
      <w:proofErr w:type="spellStart"/>
      <w:r w:rsidR="00E3107F" w:rsidRPr="00217BC8">
        <w:rPr>
          <w:rFonts w:ascii="AkzidenzGroteskBQ-Reg" w:hAnsi="AkzidenzGroteskBQ-Reg"/>
          <w:bCs/>
          <w:sz w:val="20"/>
          <w:szCs w:val="20"/>
        </w:rPr>
        <w:t>peak</w:t>
      </w:r>
      <w:proofErr w:type="spellEnd"/>
      <w:r w:rsidR="00E3107F" w:rsidRPr="00217BC8">
        <w:rPr>
          <w:rFonts w:ascii="AkzidenzGroteskBQ-Reg" w:hAnsi="AkzidenzGroteskBQ-Reg"/>
          <w:bCs/>
          <w:sz w:val="20"/>
          <w:szCs w:val="20"/>
        </w:rPr>
        <w:t xml:space="preserve"> into the heart of the digital disruption in the commercial real estate. Visit us at the London Stand, </w:t>
      </w:r>
      <w:proofErr w:type="spellStart"/>
      <w:r w:rsidR="00E3107F" w:rsidRPr="00217BC8">
        <w:rPr>
          <w:rFonts w:ascii="AkzidenzGroteskBQ-Reg" w:hAnsi="AkzidenzGroteskBQ-Reg"/>
          <w:bCs/>
          <w:sz w:val="20"/>
          <w:szCs w:val="20"/>
        </w:rPr>
        <w:t>Croisette</w:t>
      </w:r>
      <w:proofErr w:type="spellEnd"/>
      <w:r w:rsidR="00E3107F" w:rsidRPr="00217BC8">
        <w:rPr>
          <w:rFonts w:ascii="AkzidenzGroteskBQ-Reg" w:hAnsi="AkzidenzGroteskBQ-Reg"/>
          <w:bCs/>
          <w:sz w:val="20"/>
          <w:szCs w:val="20"/>
        </w:rPr>
        <w:t xml:space="preserve"> Hall, </w:t>
      </w:r>
      <w:proofErr w:type="gramStart"/>
      <w:r w:rsidR="00E3107F" w:rsidRPr="00217BC8">
        <w:rPr>
          <w:rFonts w:ascii="AkzidenzGroteskBQ-Reg" w:hAnsi="AkzidenzGroteskBQ-Reg"/>
          <w:bCs/>
          <w:sz w:val="20"/>
          <w:szCs w:val="20"/>
        </w:rPr>
        <w:t>C15</w:t>
      </w:r>
      <w:proofErr w:type="gramEnd"/>
    </w:p>
    <w:p w:rsidR="00CE0EC7" w:rsidRDefault="00217BC8" w:rsidP="00E87DAF">
      <w:pPr>
        <w:rPr>
          <w:rFonts w:ascii="AkzidenzGroteskBQ-Reg" w:hAnsi="AkzidenzGroteskBQ-Reg"/>
          <w:sz w:val="20"/>
          <w:szCs w:val="20"/>
        </w:rPr>
      </w:pPr>
      <w:r w:rsidRPr="00217BC8">
        <w:rPr>
          <w:rFonts w:ascii="AkzidenzGroteskBQ-Bold" w:hAnsi="AkzidenzGroteskBQ-Bold"/>
          <w:bCs/>
          <w:sz w:val="20"/>
          <w:szCs w:val="20"/>
        </w:rPr>
        <w:t>F</w:t>
      </w:r>
      <w:r w:rsidR="00CE0EC7" w:rsidRPr="00217BC8">
        <w:rPr>
          <w:rFonts w:ascii="AkzidenzGroteskBQ-Bold" w:hAnsi="AkzidenzGroteskBQ-Bold"/>
          <w:bCs/>
          <w:sz w:val="20"/>
          <w:szCs w:val="20"/>
        </w:rPr>
        <w:t>or furth</w:t>
      </w:r>
      <w:r w:rsidRPr="00217BC8">
        <w:rPr>
          <w:rFonts w:ascii="AkzidenzGroteskBQ-Bold" w:hAnsi="AkzidenzGroteskBQ-Bold"/>
          <w:bCs/>
          <w:sz w:val="20"/>
          <w:szCs w:val="20"/>
        </w:rPr>
        <w:t>er information, please contact</w:t>
      </w:r>
      <w:proofErr w:type="gramStart"/>
      <w:r w:rsidRPr="00217BC8">
        <w:rPr>
          <w:rFonts w:ascii="AkzidenzGroteskBQ-Bold" w:hAnsi="AkzidenzGroteskBQ-Bold"/>
          <w:bCs/>
          <w:sz w:val="20"/>
          <w:szCs w:val="20"/>
        </w:rPr>
        <w:t>:</w:t>
      </w:r>
      <w:proofErr w:type="gramEnd"/>
      <w:r w:rsidRPr="00217BC8">
        <w:rPr>
          <w:rFonts w:ascii="AkzidenzGroteskBQ-Bold" w:hAnsi="AkzidenzGroteskBQ-Bold"/>
          <w:bCs/>
          <w:sz w:val="20"/>
          <w:szCs w:val="20"/>
        </w:rPr>
        <w:br/>
      </w:r>
      <w:r w:rsidR="00CE0EC7" w:rsidRPr="00217BC8">
        <w:rPr>
          <w:rFonts w:ascii="AkzidenzGroteskBQ-Reg" w:hAnsi="AkzidenzGroteskBQ-Reg"/>
          <w:sz w:val="20"/>
          <w:szCs w:val="20"/>
        </w:rPr>
        <w:t>Mark Bruno</w:t>
      </w:r>
      <w:r w:rsidR="00CA480D" w:rsidRPr="00217BC8">
        <w:rPr>
          <w:rFonts w:ascii="AkzidenzGroteskBQ-Reg" w:hAnsi="AkzidenzGroteskBQ-Reg"/>
          <w:sz w:val="20"/>
          <w:szCs w:val="20"/>
        </w:rPr>
        <w:t>,</w:t>
      </w:r>
      <w:r w:rsidR="00CE0EC7" w:rsidRPr="00217BC8">
        <w:rPr>
          <w:rFonts w:ascii="AkzidenzGroteskBQ-Reg" w:hAnsi="AkzidenzGroteskBQ-Reg"/>
          <w:sz w:val="20"/>
          <w:szCs w:val="20"/>
        </w:rPr>
        <w:t xml:space="preserve"> Managing Director UK</w:t>
      </w:r>
      <w:r w:rsidR="00CA480D" w:rsidRPr="00217BC8">
        <w:rPr>
          <w:rFonts w:ascii="AkzidenzGroteskBQ-Reg" w:hAnsi="AkzidenzGroteskBQ-Reg"/>
          <w:sz w:val="20"/>
          <w:szCs w:val="20"/>
        </w:rPr>
        <w:t>, +44 (0) 7726 876771</w:t>
      </w:r>
      <w:r w:rsidR="00CE0EC7" w:rsidRPr="00217BC8">
        <w:rPr>
          <w:rFonts w:ascii="AkzidenzGroteskBQ-Reg" w:hAnsi="AkzidenzGroteskBQ-Reg"/>
          <w:sz w:val="20"/>
          <w:szCs w:val="20"/>
        </w:rPr>
        <w:br/>
      </w:r>
      <w:hyperlink r:id="rId7" w:history="1">
        <w:r w:rsidR="00CE0EC7" w:rsidRPr="00217BC8">
          <w:rPr>
            <w:rStyle w:val="Hyperlink"/>
            <w:rFonts w:ascii="AkzidenzGroteskBQ-Reg" w:hAnsi="AkzidenzGroteskBQ-Reg"/>
            <w:sz w:val="20"/>
            <w:szCs w:val="20"/>
          </w:rPr>
          <w:t>mark.bruno@datscha.com</w:t>
        </w:r>
      </w:hyperlink>
      <w:r w:rsidR="00CE0EC7" w:rsidRPr="00217BC8">
        <w:rPr>
          <w:rFonts w:ascii="AkzidenzGroteskBQ-Reg" w:hAnsi="AkzidenzGroteskBQ-Reg"/>
          <w:sz w:val="20"/>
          <w:szCs w:val="20"/>
        </w:rPr>
        <w:t xml:space="preserve"> </w:t>
      </w:r>
      <w:r w:rsidR="00CE0EC7" w:rsidRPr="00217BC8">
        <w:rPr>
          <w:rFonts w:ascii="AkzidenzGroteskBQ-Reg" w:hAnsi="AkzidenzGroteskBQ-Reg"/>
          <w:sz w:val="20"/>
          <w:szCs w:val="20"/>
        </w:rPr>
        <w:br/>
      </w:r>
      <w:hyperlink r:id="rId8" w:history="1">
        <w:r w:rsidRPr="00217BC8">
          <w:rPr>
            <w:rStyle w:val="Hyperlink"/>
            <w:rFonts w:ascii="AkzidenzGroteskBQ-Reg" w:hAnsi="AkzidenzGroteskBQ-Reg"/>
            <w:sz w:val="20"/>
            <w:szCs w:val="20"/>
          </w:rPr>
          <w:t>www.datscha.co.uk</w:t>
        </w:r>
      </w:hyperlink>
    </w:p>
    <w:p w:rsidR="00217BC8" w:rsidRDefault="00217BC8" w:rsidP="00E87DAF">
      <w:pPr>
        <w:rPr>
          <w:rFonts w:ascii="AkzidenzGroteskBQ-Reg" w:hAnsi="AkzidenzGroteskBQ-Reg"/>
          <w:bCs/>
          <w:sz w:val="20"/>
          <w:szCs w:val="20"/>
        </w:rPr>
      </w:pPr>
      <w:r w:rsidRPr="00217BC8">
        <w:rPr>
          <w:rFonts w:ascii="AkzidenzGroteskBQ-Reg" w:hAnsi="AkzidenzGroteskBQ-Reg"/>
          <w:bCs/>
          <w:sz w:val="20"/>
          <w:szCs w:val="20"/>
        </w:rPr>
        <w:t>Andrew Barber, Flashbulb +44 (0) 7989 553903</w:t>
      </w:r>
      <w:r w:rsidRPr="00217BC8">
        <w:rPr>
          <w:rFonts w:ascii="AkzidenzGroteskBQ-Reg" w:hAnsi="AkzidenzGroteskBQ-Reg"/>
          <w:bCs/>
          <w:sz w:val="20"/>
          <w:szCs w:val="20"/>
        </w:rPr>
        <w:br/>
      </w:r>
      <w:hyperlink r:id="rId9" w:history="1">
        <w:r w:rsidRPr="00217BC8">
          <w:rPr>
            <w:rStyle w:val="Hyperlink"/>
            <w:rFonts w:ascii="AkzidenzGroteskBQ-Reg" w:hAnsi="AkzidenzGroteskBQ-Reg"/>
            <w:bCs/>
            <w:sz w:val="20"/>
            <w:szCs w:val="20"/>
          </w:rPr>
          <w:t>andrew@the-flashbulb.com</w:t>
        </w:r>
      </w:hyperlink>
      <w:r w:rsidRPr="00217BC8">
        <w:rPr>
          <w:rFonts w:ascii="AkzidenzGroteskBQ-Reg" w:hAnsi="AkzidenzGroteskBQ-Reg"/>
          <w:bCs/>
          <w:sz w:val="20"/>
          <w:szCs w:val="20"/>
        </w:rPr>
        <w:br/>
      </w:r>
      <w:hyperlink r:id="rId10" w:history="1">
        <w:r w:rsidR="00372136" w:rsidRPr="00324B20">
          <w:rPr>
            <w:rStyle w:val="Hyperlink"/>
            <w:rFonts w:ascii="AkzidenzGroteskBQ-Reg" w:hAnsi="AkzidenzGroteskBQ-Reg"/>
            <w:bCs/>
            <w:sz w:val="20"/>
            <w:szCs w:val="20"/>
          </w:rPr>
          <w:t>www.the-flashbulb.com</w:t>
        </w:r>
      </w:hyperlink>
    </w:p>
    <w:p w:rsidR="00372136" w:rsidRPr="00372136" w:rsidRDefault="00372136" w:rsidP="00E87DAF">
      <w:pPr>
        <w:rPr>
          <w:rFonts w:ascii="AkzidenzGroteskBQ-Bold" w:hAnsi="AkzidenzGroteskBQ-Bold"/>
          <w:bCs/>
          <w:sz w:val="20"/>
          <w:szCs w:val="20"/>
        </w:rPr>
      </w:pPr>
      <w:r>
        <w:rPr>
          <w:rFonts w:ascii="AkzidenzGroteskBQ-Reg" w:hAnsi="AkzidenzGroteskBQ-Reg"/>
          <w:sz w:val="20"/>
          <w:szCs w:val="20"/>
        </w:rPr>
        <w:t>Johan Hopstadius</w:t>
      </w:r>
      <w:r w:rsidRPr="00217BC8">
        <w:rPr>
          <w:rFonts w:ascii="AkzidenzGroteskBQ-Reg" w:hAnsi="AkzidenzGroteskBQ-Reg"/>
          <w:sz w:val="20"/>
          <w:szCs w:val="20"/>
        </w:rPr>
        <w:t xml:space="preserve">, </w:t>
      </w:r>
      <w:r>
        <w:rPr>
          <w:rFonts w:ascii="AkzidenzGroteskBQ-Reg" w:hAnsi="AkzidenzGroteskBQ-Reg"/>
          <w:sz w:val="20"/>
          <w:szCs w:val="20"/>
        </w:rPr>
        <w:t>Head of Marketing, +46</w:t>
      </w:r>
      <w:r w:rsidRPr="00217BC8">
        <w:rPr>
          <w:rFonts w:ascii="AkzidenzGroteskBQ-Reg" w:hAnsi="AkzidenzGroteskBQ-Reg"/>
          <w:sz w:val="20"/>
          <w:szCs w:val="20"/>
        </w:rPr>
        <w:t xml:space="preserve"> (0) </w:t>
      </w:r>
      <w:r>
        <w:rPr>
          <w:rFonts w:ascii="AkzidenzGroteskBQ-Reg" w:hAnsi="AkzidenzGroteskBQ-Reg"/>
          <w:sz w:val="20"/>
          <w:szCs w:val="20"/>
        </w:rPr>
        <w:t>76 634 20 05</w:t>
      </w:r>
      <w:r w:rsidRPr="00217BC8">
        <w:rPr>
          <w:rFonts w:ascii="AkzidenzGroteskBQ-Reg" w:hAnsi="AkzidenzGroteskBQ-Reg"/>
          <w:sz w:val="20"/>
          <w:szCs w:val="20"/>
        </w:rPr>
        <w:br/>
      </w:r>
      <w:hyperlink r:id="rId11" w:history="1">
        <w:r w:rsidRPr="00324B20">
          <w:rPr>
            <w:rStyle w:val="Hyperlink"/>
            <w:rFonts w:ascii="AkzidenzGroteskBQ-Reg" w:hAnsi="AkzidenzGroteskBQ-Reg"/>
            <w:sz w:val="20"/>
            <w:szCs w:val="20"/>
          </w:rPr>
          <w:t>johan.hopstadius@datscha.com</w:t>
        </w:r>
      </w:hyperlink>
      <w:r w:rsidRPr="00217BC8">
        <w:rPr>
          <w:rFonts w:ascii="AkzidenzGroteskBQ-Reg" w:hAnsi="AkzidenzGroteskBQ-Reg"/>
          <w:sz w:val="20"/>
          <w:szCs w:val="20"/>
        </w:rPr>
        <w:t xml:space="preserve"> </w:t>
      </w:r>
      <w:r w:rsidRPr="00217BC8">
        <w:rPr>
          <w:rFonts w:ascii="AkzidenzGroteskBQ-Reg" w:hAnsi="AkzidenzGroteskBQ-Reg"/>
          <w:sz w:val="20"/>
          <w:szCs w:val="20"/>
        </w:rPr>
        <w:br/>
      </w:r>
      <w:r>
        <w:rPr>
          <w:rFonts w:ascii="AkzidenzGroteskBQ-Reg" w:hAnsi="AkzidenzGroteskBQ-Reg"/>
          <w:sz w:val="20"/>
          <w:szCs w:val="20"/>
        </w:rPr>
        <w:t>www.datscha.se</w:t>
      </w:r>
    </w:p>
    <w:p w:rsidR="00CE0EC7" w:rsidRPr="00217BC8" w:rsidRDefault="00CE0EC7" w:rsidP="00E87DAF">
      <w:pPr>
        <w:rPr>
          <w:rFonts w:ascii="AkzidenzGroteskBQ-Reg" w:hAnsi="AkzidenzGroteskBQ-Reg"/>
          <w:sz w:val="20"/>
          <w:szCs w:val="20"/>
        </w:rPr>
      </w:pPr>
      <w:r w:rsidRPr="00217BC8">
        <w:rPr>
          <w:rFonts w:ascii="AkzidenzGroteskBQ-Bold" w:hAnsi="AkzidenzGroteskBQ-Bold"/>
          <w:bCs/>
          <w:sz w:val="20"/>
          <w:szCs w:val="20"/>
        </w:rPr>
        <w:t>Datscha at MIPIM</w:t>
      </w:r>
      <w:r w:rsidR="00CA480D" w:rsidRPr="00217BC8">
        <w:rPr>
          <w:rFonts w:ascii="AkzidenzGroteskBQ-Bold" w:hAnsi="AkzidenzGroteskBQ-Bold"/>
          <w:bCs/>
          <w:sz w:val="20"/>
          <w:szCs w:val="20"/>
        </w:rPr>
        <w:t xml:space="preserve"> 2016</w:t>
      </w:r>
      <w:r w:rsidRPr="00217BC8">
        <w:rPr>
          <w:rFonts w:ascii="AkzidenzGroteskBQ-Reg" w:hAnsi="AkzidenzGroteskBQ-Reg"/>
          <w:b/>
          <w:bCs/>
          <w:sz w:val="20"/>
          <w:szCs w:val="20"/>
        </w:rPr>
        <w:br/>
      </w:r>
      <w:r w:rsidRPr="00217BC8">
        <w:rPr>
          <w:rFonts w:ascii="AkzidenzGroteskBQ-Reg" w:hAnsi="AkzidenzGroteskBQ-Reg"/>
          <w:sz w:val="20"/>
          <w:szCs w:val="20"/>
        </w:rPr>
        <w:t>Datscha will be present at the MIPIM conference in Cannes 15</w:t>
      </w:r>
      <w:r w:rsidR="00CA480D" w:rsidRPr="00217BC8">
        <w:rPr>
          <w:rFonts w:ascii="AkzidenzGroteskBQ-Reg" w:hAnsi="AkzidenzGroteskBQ-Reg"/>
          <w:sz w:val="20"/>
          <w:szCs w:val="20"/>
        </w:rPr>
        <w:t>-</w:t>
      </w:r>
      <w:r w:rsidRPr="00217BC8">
        <w:rPr>
          <w:rFonts w:ascii="AkzidenzGroteskBQ-Reg" w:hAnsi="AkzidenzGroteskBQ-Reg"/>
          <w:sz w:val="20"/>
          <w:szCs w:val="20"/>
        </w:rPr>
        <w:t xml:space="preserve">18 March, giving visitors a sneak </w:t>
      </w:r>
      <w:proofErr w:type="spellStart"/>
      <w:r w:rsidRPr="00217BC8">
        <w:rPr>
          <w:rFonts w:ascii="AkzidenzGroteskBQ-Reg" w:hAnsi="AkzidenzGroteskBQ-Reg"/>
          <w:sz w:val="20"/>
          <w:szCs w:val="20"/>
        </w:rPr>
        <w:t>peak</w:t>
      </w:r>
      <w:proofErr w:type="spellEnd"/>
      <w:r w:rsidRPr="00217BC8">
        <w:rPr>
          <w:rFonts w:ascii="AkzidenzGroteskBQ-Reg" w:hAnsi="AkzidenzGroteskBQ-Reg"/>
          <w:sz w:val="20"/>
          <w:szCs w:val="20"/>
        </w:rPr>
        <w:t xml:space="preserve"> into the heart of the digital disruption in the commercial real estate</w:t>
      </w:r>
      <w:r w:rsidR="00CA480D" w:rsidRPr="00217BC8">
        <w:rPr>
          <w:rFonts w:ascii="AkzidenzGroteskBQ-Reg" w:hAnsi="AkzidenzGroteskBQ-Reg"/>
          <w:sz w:val="20"/>
          <w:szCs w:val="20"/>
        </w:rPr>
        <w:t>.</w:t>
      </w:r>
      <w:r w:rsidR="00F12FBA" w:rsidRPr="00217BC8">
        <w:rPr>
          <w:rFonts w:ascii="AkzidenzGroteskBQ-Reg" w:hAnsi="AkzidenzGroteskBQ-Reg"/>
          <w:sz w:val="20"/>
          <w:szCs w:val="20"/>
        </w:rPr>
        <w:t xml:space="preserve"> Visit us at</w:t>
      </w:r>
      <w:r w:rsidR="00E87DAF" w:rsidRPr="00217BC8">
        <w:rPr>
          <w:rFonts w:ascii="AkzidenzGroteskBQ-Reg" w:hAnsi="AkzidenzGroteskBQ-Reg"/>
          <w:sz w:val="20"/>
          <w:szCs w:val="20"/>
        </w:rPr>
        <w:t xml:space="preserve"> the</w:t>
      </w:r>
      <w:r w:rsidR="00F12FBA" w:rsidRPr="00217BC8">
        <w:rPr>
          <w:rFonts w:ascii="AkzidenzGroteskBQ-Reg" w:hAnsi="AkzidenzGroteskBQ-Reg"/>
          <w:sz w:val="20"/>
          <w:szCs w:val="20"/>
        </w:rPr>
        <w:t xml:space="preserve"> London Stand</w:t>
      </w:r>
      <w:r w:rsidR="00E87DAF" w:rsidRPr="00217BC8">
        <w:rPr>
          <w:rFonts w:ascii="AkzidenzGroteskBQ-Reg" w:hAnsi="AkzidenzGroteskBQ-Reg"/>
          <w:sz w:val="20"/>
          <w:szCs w:val="20"/>
        </w:rPr>
        <w:t xml:space="preserve">, </w:t>
      </w:r>
      <w:proofErr w:type="spellStart"/>
      <w:r w:rsidR="00F12FBA" w:rsidRPr="00217BC8">
        <w:rPr>
          <w:rFonts w:ascii="AkzidenzGroteskBQ-Reg" w:hAnsi="AkzidenzGroteskBQ-Reg"/>
          <w:sz w:val="20"/>
          <w:szCs w:val="20"/>
        </w:rPr>
        <w:t>Croisette</w:t>
      </w:r>
      <w:proofErr w:type="spellEnd"/>
      <w:r w:rsidR="00F12FBA" w:rsidRPr="00217BC8">
        <w:rPr>
          <w:rFonts w:ascii="AkzidenzGroteskBQ-Reg" w:hAnsi="AkzidenzGroteskBQ-Reg"/>
          <w:sz w:val="20"/>
          <w:szCs w:val="20"/>
        </w:rPr>
        <w:t xml:space="preserve"> Hall, </w:t>
      </w:r>
      <w:proofErr w:type="gramStart"/>
      <w:r w:rsidR="00F12FBA" w:rsidRPr="00217BC8">
        <w:rPr>
          <w:rFonts w:ascii="AkzidenzGroteskBQ-Reg" w:hAnsi="AkzidenzGroteskBQ-Reg"/>
          <w:sz w:val="20"/>
          <w:szCs w:val="20"/>
        </w:rPr>
        <w:t>C15</w:t>
      </w:r>
      <w:proofErr w:type="gramEnd"/>
    </w:p>
    <w:p w:rsidR="00D1296E" w:rsidRPr="00E87DAF" w:rsidRDefault="00D1296E" w:rsidP="00BD6261">
      <w:pPr>
        <w:rPr>
          <w:rStyle w:val="Hyperlink"/>
          <w:rFonts w:ascii="AkzidenzGroteskBQ-Reg" w:hAnsi="AkzidenzGroteskBQ-Reg"/>
          <w:sz w:val="6"/>
          <w:szCs w:val="21"/>
        </w:rPr>
      </w:pPr>
    </w:p>
    <w:p w:rsidR="00AE65DA" w:rsidRPr="00217BC8" w:rsidRDefault="00AE65DA" w:rsidP="00F412DF">
      <w:pPr>
        <w:rPr>
          <w:rFonts w:ascii="AkzidenzGroteskBQ-Reg" w:hAnsi="AkzidenzGroteskBQ-Reg"/>
          <w:b/>
          <w:bCs/>
          <w:caps/>
          <w:sz w:val="16"/>
          <w:szCs w:val="18"/>
        </w:rPr>
      </w:pPr>
      <w:r w:rsidRPr="00372136">
        <w:rPr>
          <w:rFonts w:ascii="AgencyFB-Bold" w:hAnsi="AgencyFB-Bold"/>
          <w:bCs/>
          <w:caps/>
          <w:sz w:val="16"/>
          <w:szCs w:val="18"/>
        </w:rPr>
        <w:t>Datscha – The future of property research intelligence</w:t>
      </w:r>
      <w:r w:rsidR="00217EC9" w:rsidRPr="00217BC8">
        <w:rPr>
          <w:rFonts w:ascii="AkzidenzGroteskBQ-Reg" w:hAnsi="AkzidenzGroteskBQ-Reg"/>
          <w:b/>
          <w:bCs/>
          <w:caps/>
          <w:sz w:val="16"/>
          <w:szCs w:val="18"/>
        </w:rPr>
        <w:br/>
      </w:r>
      <w:r w:rsidR="00F412DF" w:rsidRPr="00217BC8">
        <w:rPr>
          <w:rFonts w:ascii="AkzidenzGroteskBQ-Reg" w:hAnsi="AkzidenzGroteskBQ-Reg"/>
          <w:sz w:val="16"/>
          <w:szCs w:val="18"/>
        </w:rPr>
        <w:t>Our clients receive instant web access to information about all commercial properties in the UK, Sweden and Finland and an</w:t>
      </w:r>
      <w:r w:rsidR="00E87DAF" w:rsidRPr="00217BC8">
        <w:rPr>
          <w:rFonts w:ascii="AkzidenzGroteskBQ-Reg" w:hAnsi="AkzidenzGroteskBQ-Reg"/>
          <w:sz w:val="16"/>
          <w:szCs w:val="18"/>
        </w:rPr>
        <w:t xml:space="preserve"> </w:t>
      </w:r>
      <w:r w:rsidR="00F412DF" w:rsidRPr="00217BC8">
        <w:rPr>
          <w:rFonts w:ascii="AkzidenzGroteskBQ-Reg" w:hAnsi="AkzidenzGroteskBQ-Reg"/>
          <w:sz w:val="16"/>
          <w:szCs w:val="18"/>
        </w:rPr>
        <w:t>efficient tool for analyzing the information. Datscha has more than 2000 users in over 600 companies in seven countries, most of which operate within the financial or property market. Datscha was founded in 2000 and is the leading provider of services for information and analysis of commercial properties. Datscha is a part of the Stronghold Group. The Stronghold Group consists of Stronghold Invest AB, Newsec and NIAM private equity real estate firm.</w:t>
      </w:r>
    </w:p>
    <w:sectPr w:rsidR="00AE65DA" w:rsidRPr="00217BC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GroteskBQ-Bol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Light">
    <w:altName w:val="Arial"/>
    <w:panose1 w:val="00000000000000000000"/>
    <w:charset w:val="00"/>
    <w:family w:val="swiss"/>
    <w:notTrueType/>
    <w:pitch w:val="variable"/>
    <w:sig w:usb0="00000001" w:usb1="5000207B" w:usb2="00000000" w:usb3="00000000" w:csb0="00000093" w:csb1="00000000"/>
  </w:font>
  <w:font w:name="CamingoDos Bold">
    <w:altName w:val="Arial"/>
    <w:panose1 w:val="00000000000000000000"/>
    <w:charset w:val="00"/>
    <w:family w:val="swiss"/>
    <w:notTrueType/>
    <w:pitch w:val="variable"/>
    <w:sig w:usb0="00000001"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gencyFB-Bold">
    <w:altName w:val="Times New Roman"/>
    <w:panose1 w:val="00000000000000000000"/>
    <w:charset w:val="00"/>
    <w:family w:val="auto"/>
    <w:notTrueType/>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AkzidenzGroteskBQ-Reg">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5C8B"/>
    <w:multiLevelType w:val="hybridMultilevel"/>
    <w:tmpl w:val="CB0AED9E"/>
    <w:lvl w:ilvl="0" w:tplc="20221E96">
      <w:numFmt w:val="bullet"/>
      <w:lvlText w:val="-"/>
      <w:lvlJc w:val="left"/>
      <w:pPr>
        <w:ind w:left="1080" w:hanging="360"/>
      </w:pPr>
      <w:rPr>
        <w:rFonts w:ascii="AkzidenzGroteskBQ-Bold" w:eastAsiaTheme="minorHAnsi" w:hAnsi="AkzidenzGroteskBQ-Bol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5435970"/>
    <w:multiLevelType w:val="hybridMultilevel"/>
    <w:tmpl w:val="D938BE18"/>
    <w:lvl w:ilvl="0" w:tplc="9418CEEC">
      <w:numFmt w:val="bullet"/>
      <w:lvlText w:val="-"/>
      <w:lvlJc w:val="left"/>
      <w:pPr>
        <w:ind w:left="720" w:hanging="360"/>
      </w:pPr>
      <w:rPr>
        <w:rFonts w:ascii="AkzidenzGroteskBQ-Bold" w:eastAsiaTheme="minorHAnsi" w:hAnsi="AkzidenzGroteskBQ-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61"/>
    <w:rsid w:val="000001E9"/>
    <w:rsid w:val="0004211C"/>
    <w:rsid w:val="00125315"/>
    <w:rsid w:val="00142B6C"/>
    <w:rsid w:val="002031C0"/>
    <w:rsid w:val="00217BC8"/>
    <w:rsid w:val="00217EC9"/>
    <w:rsid w:val="00244B4C"/>
    <w:rsid w:val="002D55BE"/>
    <w:rsid w:val="00372136"/>
    <w:rsid w:val="00471414"/>
    <w:rsid w:val="004B43B3"/>
    <w:rsid w:val="005F7EF9"/>
    <w:rsid w:val="006B1F6B"/>
    <w:rsid w:val="00777F14"/>
    <w:rsid w:val="007B4589"/>
    <w:rsid w:val="00834872"/>
    <w:rsid w:val="00871B9F"/>
    <w:rsid w:val="008B33D5"/>
    <w:rsid w:val="0094343B"/>
    <w:rsid w:val="00961FE8"/>
    <w:rsid w:val="009E53BF"/>
    <w:rsid w:val="00A45AC3"/>
    <w:rsid w:val="00A60C44"/>
    <w:rsid w:val="00AD4108"/>
    <w:rsid w:val="00AE65DA"/>
    <w:rsid w:val="00B471AB"/>
    <w:rsid w:val="00BD6261"/>
    <w:rsid w:val="00C21E8B"/>
    <w:rsid w:val="00C70246"/>
    <w:rsid w:val="00C871FC"/>
    <w:rsid w:val="00CA480D"/>
    <w:rsid w:val="00CC5CE5"/>
    <w:rsid w:val="00CE0EC7"/>
    <w:rsid w:val="00D1296E"/>
    <w:rsid w:val="00D77340"/>
    <w:rsid w:val="00DB7654"/>
    <w:rsid w:val="00E01A49"/>
    <w:rsid w:val="00E3107F"/>
    <w:rsid w:val="00E87DAF"/>
    <w:rsid w:val="00EE03D0"/>
    <w:rsid w:val="00EE0A8F"/>
    <w:rsid w:val="00F12FBA"/>
    <w:rsid w:val="00F412DF"/>
    <w:rsid w:val="00F54870"/>
    <w:rsid w:val="00F77055"/>
    <w:rsid w:val="00FD4C93"/>
    <w:rsid w:val="00FF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62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E65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26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D6261"/>
    <w:rPr>
      <w:color w:val="0563C1"/>
      <w:u w:val="single"/>
    </w:rPr>
  </w:style>
  <w:style w:type="character" w:customStyle="1" w:styleId="Stycke10ptChar">
    <w:name w:val="Stycke: 10pt Char"/>
    <w:basedOn w:val="DefaultParagraphFont"/>
    <w:link w:val="Stycke10pt"/>
    <w:locked/>
    <w:rsid w:val="00BD6261"/>
    <w:rPr>
      <w:rFonts w:ascii="CamingoDos Light" w:hAnsi="CamingoDos Light"/>
    </w:rPr>
  </w:style>
  <w:style w:type="paragraph" w:customStyle="1" w:styleId="Stycke10pt">
    <w:name w:val="Stycke: 10pt"/>
    <w:basedOn w:val="Normal"/>
    <w:link w:val="Stycke10ptChar"/>
    <w:qFormat/>
    <w:rsid w:val="00BD6261"/>
    <w:pPr>
      <w:spacing w:after="270" w:line="240" w:lineRule="auto"/>
    </w:pPr>
    <w:rPr>
      <w:rFonts w:ascii="CamingoDos Light" w:hAnsi="CamingoDos Light"/>
    </w:rPr>
  </w:style>
  <w:style w:type="paragraph" w:customStyle="1" w:styleId="Mellanrubrik">
    <w:name w:val="Mellanrubrik"/>
    <w:basedOn w:val="Normal"/>
    <w:link w:val="MellanrubrikChar"/>
    <w:qFormat/>
    <w:rsid w:val="0004211C"/>
    <w:pPr>
      <w:spacing w:after="60" w:line="240" w:lineRule="auto"/>
    </w:pPr>
    <w:rPr>
      <w:rFonts w:ascii="CamingoDos Bold" w:eastAsiaTheme="minorEastAsia" w:hAnsi="CamingoDos Bold"/>
      <w:sz w:val="24"/>
      <w:szCs w:val="24"/>
      <w:lang w:eastAsia="sv-SE"/>
    </w:rPr>
  </w:style>
  <w:style w:type="character" w:customStyle="1" w:styleId="MellanrubrikChar">
    <w:name w:val="Mellanrubrik Char"/>
    <w:basedOn w:val="DefaultParagraphFont"/>
    <w:link w:val="Mellanrubrik"/>
    <w:rsid w:val="0004211C"/>
    <w:rPr>
      <w:rFonts w:ascii="CamingoDos Bold" w:eastAsiaTheme="minorEastAsia" w:hAnsi="CamingoDos Bold"/>
      <w:sz w:val="24"/>
      <w:szCs w:val="24"/>
      <w:lang w:eastAsia="sv-SE"/>
    </w:rPr>
  </w:style>
  <w:style w:type="character" w:customStyle="1" w:styleId="Heading3Char">
    <w:name w:val="Heading 3 Char"/>
    <w:basedOn w:val="DefaultParagraphFont"/>
    <w:link w:val="Heading3"/>
    <w:uiPriority w:val="9"/>
    <w:semiHidden/>
    <w:rsid w:val="00AE65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1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6E"/>
    <w:rPr>
      <w:rFonts w:ascii="Tahoma" w:hAnsi="Tahoma" w:cs="Tahoma"/>
      <w:sz w:val="16"/>
      <w:szCs w:val="16"/>
    </w:rPr>
  </w:style>
  <w:style w:type="paragraph" w:styleId="ListParagraph">
    <w:name w:val="List Paragraph"/>
    <w:basedOn w:val="Normal"/>
    <w:uiPriority w:val="34"/>
    <w:qFormat/>
    <w:rsid w:val="00217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62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E65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26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D6261"/>
    <w:rPr>
      <w:color w:val="0563C1"/>
      <w:u w:val="single"/>
    </w:rPr>
  </w:style>
  <w:style w:type="character" w:customStyle="1" w:styleId="Stycke10ptChar">
    <w:name w:val="Stycke: 10pt Char"/>
    <w:basedOn w:val="DefaultParagraphFont"/>
    <w:link w:val="Stycke10pt"/>
    <w:locked/>
    <w:rsid w:val="00BD6261"/>
    <w:rPr>
      <w:rFonts w:ascii="CamingoDos Light" w:hAnsi="CamingoDos Light"/>
    </w:rPr>
  </w:style>
  <w:style w:type="paragraph" w:customStyle="1" w:styleId="Stycke10pt">
    <w:name w:val="Stycke: 10pt"/>
    <w:basedOn w:val="Normal"/>
    <w:link w:val="Stycke10ptChar"/>
    <w:qFormat/>
    <w:rsid w:val="00BD6261"/>
    <w:pPr>
      <w:spacing w:after="270" w:line="240" w:lineRule="auto"/>
    </w:pPr>
    <w:rPr>
      <w:rFonts w:ascii="CamingoDos Light" w:hAnsi="CamingoDos Light"/>
    </w:rPr>
  </w:style>
  <w:style w:type="paragraph" w:customStyle="1" w:styleId="Mellanrubrik">
    <w:name w:val="Mellanrubrik"/>
    <w:basedOn w:val="Normal"/>
    <w:link w:val="MellanrubrikChar"/>
    <w:qFormat/>
    <w:rsid w:val="0004211C"/>
    <w:pPr>
      <w:spacing w:after="60" w:line="240" w:lineRule="auto"/>
    </w:pPr>
    <w:rPr>
      <w:rFonts w:ascii="CamingoDos Bold" w:eastAsiaTheme="minorEastAsia" w:hAnsi="CamingoDos Bold"/>
      <w:sz w:val="24"/>
      <w:szCs w:val="24"/>
      <w:lang w:eastAsia="sv-SE"/>
    </w:rPr>
  </w:style>
  <w:style w:type="character" w:customStyle="1" w:styleId="MellanrubrikChar">
    <w:name w:val="Mellanrubrik Char"/>
    <w:basedOn w:val="DefaultParagraphFont"/>
    <w:link w:val="Mellanrubrik"/>
    <w:rsid w:val="0004211C"/>
    <w:rPr>
      <w:rFonts w:ascii="CamingoDos Bold" w:eastAsiaTheme="minorEastAsia" w:hAnsi="CamingoDos Bold"/>
      <w:sz w:val="24"/>
      <w:szCs w:val="24"/>
      <w:lang w:eastAsia="sv-SE"/>
    </w:rPr>
  </w:style>
  <w:style w:type="character" w:customStyle="1" w:styleId="Heading3Char">
    <w:name w:val="Heading 3 Char"/>
    <w:basedOn w:val="DefaultParagraphFont"/>
    <w:link w:val="Heading3"/>
    <w:uiPriority w:val="9"/>
    <w:semiHidden/>
    <w:rsid w:val="00AE65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1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6E"/>
    <w:rPr>
      <w:rFonts w:ascii="Tahoma" w:hAnsi="Tahoma" w:cs="Tahoma"/>
      <w:sz w:val="16"/>
      <w:szCs w:val="16"/>
    </w:rPr>
  </w:style>
  <w:style w:type="paragraph" w:styleId="ListParagraph">
    <w:name w:val="List Paragraph"/>
    <w:basedOn w:val="Normal"/>
    <w:uiPriority w:val="34"/>
    <w:qFormat/>
    <w:rsid w:val="0021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18">
      <w:bodyDiv w:val="1"/>
      <w:marLeft w:val="0"/>
      <w:marRight w:val="0"/>
      <w:marTop w:val="0"/>
      <w:marBottom w:val="0"/>
      <w:divBdr>
        <w:top w:val="none" w:sz="0" w:space="0" w:color="auto"/>
        <w:left w:val="none" w:sz="0" w:space="0" w:color="auto"/>
        <w:bottom w:val="none" w:sz="0" w:space="0" w:color="auto"/>
        <w:right w:val="none" w:sz="0" w:space="0" w:color="auto"/>
      </w:divBdr>
    </w:div>
    <w:div w:id="293678998">
      <w:bodyDiv w:val="1"/>
      <w:marLeft w:val="0"/>
      <w:marRight w:val="0"/>
      <w:marTop w:val="0"/>
      <w:marBottom w:val="0"/>
      <w:divBdr>
        <w:top w:val="none" w:sz="0" w:space="0" w:color="auto"/>
        <w:left w:val="none" w:sz="0" w:space="0" w:color="auto"/>
        <w:bottom w:val="none" w:sz="0" w:space="0" w:color="auto"/>
        <w:right w:val="none" w:sz="0" w:space="0" w:color="auto"/>
      </w:divBdr>
    </w:div>
    <w:div w:id="583414814">
      <w:bodyDiv w:val="1"/>
      <w:marLeft w:val="0"/>
      <w:marRight w:val="0"/>
      <w:marTop w:val="0"/>
      <w:marBottom w:val="0"/>
      <w:divBdr>
        <w:top w:val="none" w:sz="0" w:space="0" w:color="auto"/>
        <w:left w:val="none" w:sz="0" w:space="0" w:color="auto"/>
        <w:bottom w:val="none" w:sz="0" w:space="0" w:color="auto"/>
        <w:right w:val="none" w:sz="0" w:space="0" w:color="auto"/>
      </w:divBdr>
      <w:divsChild>
        <w:div w:id="1830317908">
          <w:marLeft w:val="0"/>
          <w:marRight w:val="0"/>
          <w:marTop w:val="0"/>
          <w:marBottom w:val="0"/>
          <w:divBdr>
            <w:top w:val="none" w:sz="0" w:space="0" w:color="auto"/>
            <w:left w:val="none" w:sz="0" w:space="0" w:color="auto"/>
            <w:bottom w:val="none" w:sz="0" w:space="0" w:color="auto"/>
            <w:right w:val="none" w:sz="0" w:space="0" w:color="auto"/>
          </w:divBdr>
        </w:div>
      </w:divsChild>
    </w:div>
    <w:div w:id="1212225342">
      <w:bodyDiv w:val="1"/>
      <w:marLeft w:val="0"/>
      <w:marRight w:val="0"/>
      <w:marTop w:val="0"/>
      <w:marBottom w:val="0"/>
      <w:divBdr>
        <w:top w:val="none" w:sz="0" w:space="0" w:color="auto"/>
        <w:left w:val="none" w:sz="0" w:space="0" w:color="auto"/>
        <w:bottom w:val="none" w:sz="0" w:space="0" w:color="auto"/>
        <w:right w:val="none" w:sz="0" w:space="0" w:color="auto"/>
      </w:divBdr>
      <w:divsChild>
        <w:div w:id="1298878832">
          <w:marLeft w:val="0"/>
          <w:marRight w:val="0"/>
          <w:marTop w:val="0"/>
          <w:marBottom w:val="0"/>
          <w:divBdr>
            <w:top w:val="none" w:sz="0" w:space="0" w:color="auto"/>
            <w:left w:val="none" w:sz="0" w:space="0" w:color="auto"/>
            <w:bottom w:val="none" w:sz="0" w:space="0" w:color="auto"/>
            <w:right w:val="none" w:sz="0" w:space="0" w:color="auto"/>
          </w:divBdr>
        </w:div>
      </w:divsChild>
    </w:div>
    <w:div w:id="13380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scha.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rk.bruno@datsch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johan.hopstadius@datscha.com" TargetMode="External"/><Relationship Id="rId5" Type="http://schemas.openxmlformats.org/officeDocument/2006/relationships/webSettings" Target="webSettings.xml"/><Relationship Id="rId10" Type="http://schemas.openxmlformats.org/officeDocument/2006/relationships/hyperlink" Target="http://www.the-flashbulb.com" TargetMode="External"/><Relationship Id="rId4" Type="http://schemas.openxmlformats.org/officeDocument/2006/relationships/settings" Target="settings.xml"/><Relationship Id="rId9" Type="http://schemas.openxmlformats.org/officeDocument/2006/relationships/hyperlink" Target="mailto:andrew@the-flashbul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Stronghold Invest AB</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Hopstadius</dc:creator>
  <cp:lastModifiedBy>Johan Hopstadius</cp:lastModifiedBy>
  <cp:revision>5</cp:revision>
  <cp:lastPrinted>2016-03-08T10:05:00Z</cp:lastPrinted>
  <dcterms:created xsi:type="dcterms:W3CDTF">2016-03-08T10:04:00Z</dcterms:created>
  <dcterms:modified xsi:type="dcterms:W3CDTF">2016-03-08T10:07:00Z</dcterms:modified>
</cp:coreProperties>
</file>