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7F" w:rsidRPr="00EA11D8" w:rsidRDefault="00130E7F" w:rsidP="007D5E18">
      <w:pPr>
        <w:spacing w:line="360" w:lineRule="auto"/>
        <w:rPr>
          <w:rFonts w:asciiTheme="minorHAnsi" w:hAnsiTheme="minorHAnsi"/>
          <w:b/>
          <w:sz w:val="28"/>
        </w:rPr>
      </w:pPr>
      <w:r w:rsidRPr="00EA11D8">
        <w:rPr>
          <w:rFonts w:asciiTheme="minorHAnsi" w:hAnsiTheme="minorHAnsi"/>
          <w:b/>
          <w:sz w:val="28"/>
        </w:rPr>
        <w:t>Pressemelding</w:t>
      </w:r>
    </w:p>
    <w:p w:rsidR="00130E7F" w:rsidRPr="00EA11D8" w:rsidRDefault="00C466AA" w:rsidP="007D5E18">
      <w:pPr>
        <w:spacing w:line="360" w:lineRule="auto"/>
        <w:rPr>
          <w:rFonts w:asciiTheme="minorHAnsi" w:hAnsiTheme="minorHAnsi"/>
          <w:sz w:val="22"/>
          <w:szCs w:val="20"/>
        </w:rPr>
      </w:pPr>
      <w:r w:rsidRPr="00C466AA">
        <w:rPr>
          <w:rFonts w:asciiTheme="minorHAnsi" w:hAnsiTheme="minorHAnsi"/>
          <w:color w:val="000000" w:themeColor="text1"/>
          <w:sz w:val="22"/>
          <w:szCs w:val="20"/>
        </w:rPr>
        <w:t>2</w:t>
      </w:r>
      <w:r w:rsidR="00B412D1" w:rsidRPr="00C466AA">
        <w:rPr>
          <w:rFonts w:asciiTheme="minorHAnsi" w:hAnsiTheme="minorHAnsi"/>
          <w:color w:val="000000" w:themeColor="text1"/>
          <w:sz w:val="22"/>
          <w:szCs w:val="20"/>
        </w:rPr>
        <w:t xml:space="preserve">. </w:t>
      </w:r>
      <w:r w:rsidR="00DF54E5" w:rsidRPr="00C466AA">
        <w:rPr>
          <w:rFonts w:asciiTheme="minorHAnsi" w:hAnsiTheme="minorHAnsi"/>
          <w:color w:val="000000" w:themeColor="text1"/>
          <w:sz w:val="22"/>
          <w:szCs w:val="20"/>
        </w:rPr>
        <w:t>mars</w:t>
      </w:r>
      <w:r w:rsidR="00B412D1" w:rsidRPr="00C466AA">
        <w:rPr>
          <w:rFonts w:asciiTheme="minorHAnsi" w:hAnsiTheme="minorHAnsi"/>
          <w:color w:val="000000" w:themeColor="text1"/>
          <w:sz w:val="22"/>
          <w:szCs w:val="20"/>
        </w:rPr>
        <w:t xml:space="preserve"> </w:t>
      </w:r>
      <w:r w:rsidR="008B039B">
        <w:rPr>
          <w:rFonts w:asciiTheme="minorHAnsi" w:hAnsiTheme="minorHAnsi"/>
          <w:sz w:val="22"/>
          <w:szCs w:val="20"/>
        </w:rPr>
        <w:t>2016</w:t>
      </w:r>
      <w:bookmarkStart w:id="0" w:name="_GoBack"/>
      <w:bookmarkEnd w:id="0"/>
    </w:p>
    <w:p w:rsidR="00BC769D" w:rsidRDefault="00BC769D" w:rsidP="007D5E18">
      <w:pPr>
        <w:spacing w:line="360" w:lineRule="auto"/>
        <w:rPr>
          <w:rFonts w:asciiTheme="minorHAnsi" w:hAnsiTheme="minorHAnsi"/>
          <w:b/>
          <w:sz w:val="32"/>
          <w:szCs w:val="28"/>
        </w:rPr>
      </w:pPr>
    </w:p>
    <w:p w:rsidR="00797AFD" w:rsidRPr="004D7E49" w:rsidRDefault="00661563" w:rsidP="00AD2835">
      <w:pPr>
        <w:spacing w:line="336" w:lineRule="auto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Solid</w:t>
      </w:r>
      <w:r w:rsidR="00FB1B5A">
        <w:rPr>
          <w:rFonts w:asciiTheme="minorHAnsi" w:hAnsiTheme="minorHAnsi"/>
          <w:b/>
          <w:sz w:val="32"/>
          <w:szCs w:val="28"/>
        </w:rPr>
        <w:t xml:space="preserve"> vekst for Komplett</w:t>
      </w:r>
      <w:r w:rsidR="00445935">
        <w:rPr>
          <w:rFonts w:asciiTheme="minorHAnsi" w:hAnsiTheme="minorHAnsi"/>
          <w:b/>
          <w:sz w:val="32"/>
          <w:szCs w:val="28"/>
        </w:rPr>
        <w:br/>
      </w:r>
      <w:r w:rsidR="004D7E49">
        <w:rPr>
          <w:rFonts w:asciiTheme="minorHAnsi" w:hAnsiTheme="minorHAnsi"/>
          <w:b/>
          <w:szCs w:val="22"/>
        </w:rPr>
        <w:br/>
      </w:r>
      <w:r w:rsidR="00FB1B5A" w:rsidRPr="00FA25D4">
        <w:rPr>
          <w:rFonts w:asciiTheme="minorHAnsi" w:hAnsiTheme="minorHAnsi"/>
          <w:b/>
          <w:szCs w:val="22"/>
        </w:rPr>
        <w:t>Nordens største netthandelskonsern, Komplett Group</w:t>
      </w:r>
      <w:r w:rsidR="00D42D41">
        <w:rPr>
          <w:rFonts w:asciiTheme="minorHAnsi" w:hAnsiTheme="minorHAnsi"/>
          <w:b/>
          <w:szCs w:val="22"/>
        </w:rPr>
        <w:t>,</w:t>
      </w:r>
      <w:r w:rsidR="00FB1B5A" w:rsidRPr="00FA25D4">
        <w:rPr>
          <w:rFonts w:asciiTheme="minorHAnsi" w:hAnsiTheme="minorHAnsi"/>
          <w:b/>
          <w:szCs w:val="22"/>
        </w:rPr>
        <w:t xml:space="preserve"> hadde en omsetning på 7</w:t>
      </w:r>
      <w:r w:rsidR="009C14B6" w:rsidRPr="00FA25D4">
        <w:rPr>
          <w:rFonts w:asciiTheme="minorHAnsi" w:hAnsiTheme="minorHAnsi"/>
          <w:b/>
          <w:szCs w:val="22"/>
        </w:rPr>
        <w:t>,</w:t>
      </w:r>
      <w:r w:rsidR="00FB1B5A" w:rsidRPr="00FA25D4">
        <w:rPr>
          <w:rFonts w:asciiTheme="minorHAnsi" w:hAnsiTheme="minorHAnsi"/>
          <w:b/>
          <w:szCs w:val="22"/>
        </w:rPr>
        <w:t>2</w:t>
      </w:r>
      <w:r w:rsidR="009C14B6" w:rsidRPr="00FA25D4">
        <w:rPr>
          <w:rFonts w:asciiTheme="minorHAnsi" w:hAnsiTheme="minorHAnsi"/>
          <w:b/>
          <w:szCs w:val="22"/>
        </w:rPr>
        <w:t>9</w:t>
      </w:r>
      <w:r w:rsidR="00FB1B5A" w:rsidRPr="00FA25D4">
        <w:rPr>
          <w:rFonts w:asciiTheme="minorHAnsi" w:hAnsiTheme="minorHAnsi"/>
          <w:b/>
          <w:szCs w:val="22"/>
        </w:rPr>
        <w:t xml:space="preserve"> </w:t>
      </w:r>
      <w:r w:rsidR="009C14B6" w:rsidRPr="00FA25D4">
        <w:rPr>
          <w:rFonts w:asciiTheme="minorHAnsi" w:hAnsiTheme="minorHAnsi"/>
          <w:b/>
          <w:szCs w:val="22"/>
        </w:rPr>
        <w:t>milliarder</w:t>
      </w:r>
      <w:r w:rsidR="00FB1B5A" w:rsidRPr="00FA25D4">
        <w:rPr>
          <w:rFonts w:asciiTheme="minorHAnsi" w:hAnsiTheme="minorHAnsi"/>
          <w:b/>
          <w:szCs w:val="22"/>
        </w:rPr>
        <w:t xml:space="preserve"> kroner i 2015, en vekst på hele </w:t>
      </w:r>
      <w:r w:rsidR="009C14B6" w:rsidRPr="00FA25D4">
        <w:rPr>
          <w:rFonts w:asciiTheme="minorHAnsi" w:hAnsiTheme="minorHAnsi"/>
          <w:b/>
          <w:szCs w:val="22"/>
        </w:rPr>
        <w:t>25,2 prosent</w:t>
      </w:r>
      <w:r w:rsidR="00FB1B5A" w:rsidRPr="00FA25D4">
        <w:rPr>
          <w:rFonts w:asciiTheme="minorHAnsi" w:hAnsiTheme="minorHAnsi"/>
          <w:b/>
          <w:szCs w:val="22"/>
        </w:rPr>
        <w:t xml:space="preserve"> sammenlignet med 2014.</w:t>
      </w:r>
    </w:p>
    <w:p w:rsidR="00797AFD" w:rsidRPr="00FA25D4" w:rsidRDefault="00797AFD" w:rsidP="00AD2835">
      <w:pPr>
        <w:spacing w:line="336" w:lineRule="auto"/>
        <w:rPr>
          <w:rFonts w:asciiTheme="minorHAnsi" w:hAnsiTheme="minorHAnsi"/>
          <w:b/>
          <w:szCs w:val="22"/>
        </w:rPr>
      </w:pPr>
    </w:p>
    <w:p w:rsidR="008E6CA8" w:rsidRDefault="00B57B58" w:rsidP="00AD2835">
      <w:pPr>
        <w:pStyle w:val="ListParagraph"/>
        <w:numPr>
          <w:ilvl w:val="0"/>
          <w:numId w:val="30"/>
        </w:numPr>
        <w:spacing w:line="336" w:lineRule="auto"/>
        <w:rPr>
          <w:rFonts w:asciiTheme="minorHAnsi" w:hAnsiTheme="minorHAnsi"/>
        </w:rPr>
      </w:pPr>
      <w:r w:rsidRPr="00B272EE">
        <w:rPr>
          <w:rFonts w:asciiTheme="minorHAnsi" w:hAnsiTheme="minorHAnsi"/>
        </w:rPr>
        <w:t>Veksten i netthandel</w:t>
      </w:r>
      <w:r w:rsidR="00411AC5">
        <w:rPr>
          <w:rFonts w:asciiTheme="minorHAnsi" w:hAnsiTheme="minorHAnsi"/>
        </w:rPr>
        <w:t xml:space="preserve"> fortsetter med</w:t>
      </w:r>
      <w:r w:rsidRPr="00B272EE">
        <w:rPr>
          <w:rFonts w:asciiTheme="minorHAnsi" w:hAnsiTheme="minorHAnsi"/>
        </w:rPr>
        <w:t xml:space="preserve"> samme styrke o</w:t>
      </w:r>
      <w:r w:rsidR="00411AC5">
        <w:rPr>
          <w:rFonts w:asciiTheme="minorHAnsi" w:hAnsiTheme="minorHAnsi"/>
        </w:rPr>
        <w:t>g stadig flere kategorier er interessante for oss</w:t>
      </w:r>
      <w:r w:rsidRPr="00B272EE">
        <w:rPr>
          <w:rFonts w:asciiTheme="minorHAnsi" w:hAnsiTheme="minorHAnsi"/>
        </w:rPr>
        <w:t>, sier Ole Vinje, konsernsjef i Komplett Group. Vi legger bak oss e</w:t>
      </w:r>
      <w:r w:rsidR="008E6CA8" w:rsidRPr="00B272EE">
        <w:rPr>
          <w:rFonts w:asciiTheme="minorHAnsi" w:hAnsiTheme="minorHAnsi"/>
        </w:rPr>
        <w:t xml:space="preserve">t </w:t>
      </w:r>
      <w:r w:rsidR="00D42D41">
        <w:rPr>
          <w:rFonts w:asciiTheme="minorHAnsi" w:hAnsiTheme="minorHAnsi"/>
        </w:rPr>
        <w:t>rekord</w:t>
      </w:r>
      <w:r w:rsidR="008E6CA8" w:rsidRPr="00B272EE">
        <w:rPr>
          <w:rFonts w:asciiTheme="minorHAnsi" w:hAnsiTheme="minorHAnsi"/>
        </w:rPr>
        <w:t>år med oppkjøp</w:t>
      </w:r>
      <w:r w:rsidR="00D42D41">
        <w:rPr>
          <w:rFonts w:asciiTheme="minorHAnsi" w:hAnsiTheme="minorHAnsi"/>
        </w:rPr>
        <w:t xml:space="preserve"> og</w:t>
      </w:r>
      <w:r w:rsidR="00445935">
        <w:rPr>
          <w:rFonts w:asciiTheme="minorHAnsi" w:hAnsiTheme="minorHAnsi"/>
        </w:rPr>
        <w:t xml:space="preserve"> </w:t>
      </w:r>
      <w:r w:rsidR="00AA1AD9">
        <w:rPr>
          <w:rFonts w:asciiTheme="minorHAnsi" w:hAnsiTheme="minorHAnsi"/>
        </w:rPr>
        <w:t xml:space="preserve">lansering av </w:t>
      </w:r>
      <w:r w:rsidR="00445935">
        <w:rPr>
          <w:rFonts w:asciiTheme="minorHAnsi" w:hAnsiTheme="minorHAnsi"/>
        </w:rPr>
        <w:t>nye kategorier</w:t>
      </w:r>
      <w:r w:rsidRPr="00B272EE">
        <w:rPr>
          <w:rFonts w:asciiTheme="minorHAnsi" w:hAnsiTheme="minorHAnsi"/>
        </w:rPr>
        <w:t xml:space="preserve">. </w:t>
      </w:r>
    </w:p>
    <w:p w:rsidR="00B272EE" w:rsidRPr="00B272EE" w:rsidRDefault="00B272EE" w:rsidP="00AD2835">
      <w:pPr>
        <w:pStyle w:val="ListParagraph"/>
        <w:spacing w:line="336" w:lineRule="auto"/>
        <w:rPr>
          <w:rFonts w:asciiTheme="minorHAnsi" w:hAnsiTheme="minorHAnsi"/>
        </w:rPr>
      </w:pPr>
    </w:p>
    <w:p w:rsidR="00AA1AD9" w:rsidRDefault="008E6CA8" w:rsidP="00AD2835">
      <w:pPr>
        <w:spacing w:line="336" w:lineRule="auto"/>
        <w:rPr>
          <w:rFonts w:asciiTheme="minorHAnsi" w:hAnsiTheme="minorHAnsi"/>
          <w:sz w:val="22"/>
          <w:szCs w:val="22"/>
        </w:rPr>
      </w:pPr>
      <w:r w:rsidRPr="008E6CA8">
        <w:rPr>
          <w:rFonts w:asciiTheme="minorHAnsi" w:hAnsiTheme="minorHAnsi"/>
          <w:sz w:val="22"/>
          <w:szCs w:val="22"/>
        </w:rPr>
        <w:t>I februar</w:t>
      </w:r>
      <w:r w:rsidR="00AA1AD9">
        <w:rPr>
          <w:rFonts w:asciiTheme="minorHAnsi" w:hAnsiTheme="minorHAnsi"/>
          <w:sz w:val="22"/>
          <w:szCs w:val="22"/>
        </w:rPr>
        <w:t xml:space="preserve"> 2015 </w:t>
      </w:r>
      <w:r w:rsidRPr="008E6CA8">
        <w:rPr>
          <w:rFonts w:asciiTheme="minorHAnsi" w:hAnsiTheme="minorHAnsi"/>
          <w:sz w:val="22"/>
          <w:szCs w:val="22"/>
        </w:rPr>
        <w:t xml:space="preserve">kjøpte Komplett Group aksjemajoriteten i den tyske netthandelsaktøren Comtech. </w:t>
      </w:r>
      <w:r w:rsidR="00AA1AD9">
        <w:rPr>
          <w:rFonts w:asciiTheme="minorHAnsi" w:hAnsiTheme="minorHAnsi"/>
          <w:sz w:val="22"/>
          <w:szCs w:val="22"/>
        </w:rPr>
        <w:t xml:space="preserve"> Investeringen markerer </w:t>
      </w:r>
      <w:r w:rsidRPr="008E6CA8">
        <w:rPr>
          <w:rFonts w:asciiTheme="minorHAnsi" w:hAnsiTheme="minorHAnsi"/>
          <w:sz w:val="22"/>
          <w:szCs w:val="22"/>
        </w:rPr>
        <w:t xml:space="preserve">en </w:t>
      </w:r>
      <w:r w:rsidR="00AA1AD9">
        <w:rPr>
          <w:rFonts w:asciiTheme="minorHAnsi" w:hAnsiTheme="minorHAnsi"/>
          <w:sz w:val="22"/>
          <w:szCs w:val="22"/>
        </w:rPr>
        <w:t xml:space="preserve">ny </w:t>
      </w:r>
      <w:r w:rsidRPr="008E6CA8">
        <w:rPr>
          <w:rFonts w:asciiTheme="minorHAnsi" w:hAnsiTheme="minorHAnsi"/>
          <w:sz w:val="22"/>
          <w:szCs w:val="22"/>
        </w:rPr>
        <w:t>satsning utenfor Norden, økte volumer og større innkjøpskraft.</w:t>
      </w:r>
      <w:r w:rsidR="00411AC5">
        <w:rPr>
          <w:rFonts w:asciiTheme="minorHAnsi" w:hAnsiTheme="minorHAnsi"/>
          <w:sz w:val="22"/>
          <w:szCs w:val="22"/>
        </w:rPr>
        <w:t xml:space="preserve"> I november ble Komplett Apotek lansert</w:t>
      </w:r>
      <w:r w:rsidR="00D42D41">
        <w:rPr>
          <w:rFonts w:asciiTheme="minorHAnsi" w:hAnsiTheme="minorHAnsi"/>
          <w:sz w:val="22"/>
          <w:szCs w:val="22"/>
        </w:rPr>
        <w:t xml:space="preserve"> i Norge</w:t>
      </w:r>
      <w:r w:rsidR="00AA1AD9">
        <w:rPr>
          <w:rFonts w:asciiTheme="minorHAnsi" w:hAnsiTheme="minorHAnsi"/>
          <w:sz w:val="22"/>
          <w:szCs w:val="22"/>
        </w:rPr>
        <w:t>. Ambisjonen</w:t>
      </w:r>
      <w:r w:rsidR="00411AC5">
        <w:rPr>
          <w:rFonts w:asciiTheme="minorHAnsi" w:hAnsiTheme="minorHAnsi"/>
          <w:sz w:val="22"/>
          <w:szCs w:val="22"/>
        </w:rPr>
        <w:t xml:space="preserve"> </w:t>
      </w:r>
      <w:r w:rsidR="00AA1AD9">
        <w:rPr>
          <w:rFonts w:asciiTheme="minorHAnsi" w:hAnsiTheme="minorHAnsi"/>
          <w:sz w:val="22"/>
          <w:szCs w:val="22"/>
        </w:rPr>
        <w:t xml:space="preserve">er </w:t>
      </w:r>
      <w:r w:rsidR="00411AC5">
        <w:rPr>
          <w:rFonts w:asciiTheme="minorHAnsi" w:hAnsiTheme="minorHAnsi"/>
          <w:sz w:val="22"/>
          <w:szCs w:val="22"/>
        </w:rPr>
        <w:t xml:space="preserve">å </w:t>
      </w:r>
      <w:r w:rsidR="00AA1AD9">
        <w:rPr>
          <w:rFonts w:asciiTheme="minorHAnsi" w:hAnsiTheme="minorHAnsi"/>
          <w:sz w:val="22"/>
          <w:szCs w:val="22"/>
        </w:rPr>
        <w:t>bli landets største nettapotek, og ikke minst utfordre en stor, etablert bransje.</w:t>
      </w:r>
    </w:p>
    <w:p w:rsidR="003B565F" w:rsidRDefault="003B565F" w:rsidP="00AD2835">
      <w:pPr>
        <w:spacing w:line="336" w:lineRule="auto"/>
        <w:rPr>
          <w:rFonts w:asciiTheme="minorHAnsi" w:hAnsiTheme="minorHAnsi"/>
          <w:sz w:val="22"/>
          <w:szCs w:val="22"/>
        </w:rPr>
      </w:pPr>
    </w:p>
    <w:p w:rsidR="00AD2835" w:rsidRDefault="00411AC5" w:rsidP="00AD2835">
      <w:pPr>
        <w:pStyle w:val="ListParagraph"/>
        <w:numPr>
          <w:ilvl w:val="0"/>
          <w:numId w:val="30"/>
        </w:numPr>
        <w:spacing w:line="336" w:lineRule="auto"/>
        <w:rPr>
          <w:rFonts w:asciiTheme="minorHAnsi" w:hAnsiTheme="minorHAnsi"/>
        </w:rPr>
      </w:pPr>
      <w:r>
        <w:rPr>
          <w:rFonts w:asciiTheme="minorHAnsi" w:hAnsiTheme="minorHAnsi"/>
        </w:rPr>
        <w:t>Vår strategi er å utvikle konsernet fra elektronikk til</w:t>
      </w:r>
      <w:r w:rsidR="003B565F">
        <w:rPr>
          <w:rFonts w:asciiTheme="minorHAnsi" w:hAnsiTheme="minorHAnsi"/>
        </w:rPr>
        <w:t xml:space="preserve"> et shoppingeldorado</w:t>
      </w:r>
      <w:r>
        <w:rPr>
          <w:rFonts w:asciiTheme="minorHAnsi" w:hAnsiTheme="minorHAnsi"/>
        </w:rPr>
        <w:t xml:space="preserve">. Vi er kontinuerlig på jakt etter spennende </w:t>
      </w:r>
      <w:r w:rsidR="003B565F">
        <w:rPr>
          <w:rFonts w:asciiTheme="minorHAnsi" w:hAnsiTheme="minorHAnsi"/>
        </w:rPr>
        <w:t>vekstbransjer</w:t>
      </w:r>
      <w:r>
        <w:rPr>
          <w:rFonts w:asciiTheme="minorHAnsi" w:hAnsiTheme="minorHAnsi"/>
        </w:rPr>
        <w:t xml:space="preserve">, og erfarer at riktig </w:t>
      </w:r>
      <w:r w:rsidR="00DD692E">
        <w:rPr>
          <w:rFonts w:asciiTheme="minorHAnsi" w:hAnsiTheme="minorHAnsi"/>
        </w:rPr>
        <w:t>spiss</w:t>
      </w:r>
      <w:r>
        <w:rPr>
          <w:rFonts w:asciiTheme="minorHAnsi" w:hAnsiTheme="minorHAnsi"/>
        </w:rPr>
        <w:t xml:space="preserve">kompetanse og kontaktnett er </w:t>
      </w:r>
      <w:r w:rsidR="003B565F">
        <w:rPr>
          <w:rFonts w:asciiTheme="minorHAnsi" w:hAnsiTheme="minorHAnsi"/>
        </w:rPr>
        <w:t>avgjørende suksesskriterier</w:t>
      </w:r>
      <w:r>
        <w:rPr>
          <w:rFonts w:asciiTheme="minorHAnsi" w:hAnsiTheme="minorHAnsi"/>
        </w:rPr>
        <w:t xml:space="preserve">. </w:t>
      </w:r>
      <w:r w:rsidR="00AD2835">
        <w:rPr>
          <w:rFonts w:asciiTheme="minorHAnsi" w:hAnsiTheme="minorHAnsi"/>
        </w:rPr>
        <w:t xml:space="preserve">Babybanden hvor vi gikk inn på eiersiden i 2014 er et godt eksempel på det. I fjor </w:t>
      </w:r>
      <w:r w:rsidR="00D42D41">
        <w:rPr>
          <w:rFonts w:asciiTheme="minorHAnsi" w:hAnsiTheme="minorHAnsi"/>
        </w:rPr>
        <w:t>tredoblet de omsetningen, sier Vinje</w:t>
      </w:r>
      <w:r w:rsidR="00AD2835">
        <w:rPr>
          <w:rFonts w:asciiTheme="minorHAnsi" w:hAnsiTheme="minorHAnsi"/>
        </w:rPr>
        <w:t>.</w:t>
      </w:r>
    </w:p>
    <w:p w:rsidR="00313DAD" w:rsidRPr="00313DAD" w:rsidRDefault="00313DAD" w:rsidP="00AD2835">
      <w:pPr>
        <w:pStyle w:val="ListParagraph"/>
        <w:spacing w:line="336" w:lineRule="auto"/>
        <w:rPr>
          <w:rFonts w:asciiTheme="minorHAnsi" w:hAnsiTheme="minorHAnsi"/>
        </w:rPr>
      </w:pPr>
    </w:p>
    <w:p w:rsidR="00906623" w:rsidRDefault="00F25C18" w:rsidP="00AD2835">
      <w:pPr>
        <w:spacing w:line="336" w:lineRule="auto"/>
        <w:rPr>
          <w:rFonts w:asciiTheme="minorHAnsi" w:hAnsiTheme="minorHAnsi"/>
          <w:sz w:val="22"/>
        </w:rPr>
      </w:pPr>
      <w:r w:rsidRPr="007F7C34">
        <w:rPr>
          <w:rFonts w:asciiTheme="minorHAnsi" w:hAnsiTheme="minorHAnsi"/>
          <w:sz w:val="22"/>
        </w:rPr>
        <w:t>Ambisjonene til Komplett i 2016 er store, og målet er å passere 8 milliarder ved årsskiftet.</w:t>
      </w:r>
      <w:r w:rsidR="00313DAD" w:rsidRPr="007F7C34">
        <w:rPr>
          <w:rFonts w:asciiTheme="minorHAnsi" w:hAnsiTheme="minorHAnsi"/>
          <w:sz w:val="22"/>
        </w:rPr>
        <w:t xml:space="preserve"> </w:t>
      </w:r>
      <w:r w:rsidR="00AD2835">
        <w:rPr>
          <w:rFonts w:asciiTheme="minorHAnsi" w:hAnsiTheme="minorHAnsi"/>
          <w:sz w:val="22"/>
        </w:rPr>
        <w:t>Komplett</w:t>
      </w:r>
      <w:r w:rsidR="00074E1E">
        <w:rPr>
          <w:rFonts w:asciiTheme="minorHAnsi" w:hAnsiTheme="minorHAnsi"/>
          <w:sz w:val="22"/>
        </w:rPr>
        <w:t xml:space="preserve"> sin nye markedsplass </w:t>
      </w:r>
      <w:r w:rsidR="00D42D41">
        <w:rPr>
          <w:rFonts w:asciiTheme="minorHAnsi" w:hAnsiTheme="minorHAnsi"/>
          <w:sz w:val="22"/>
        </w:rPr>
        <w:t xml:space="preserve">der eksterne aktører kan selge </w:t>
      </w:r>
      <w:r w:rsidR="00181971">
        <w:rPr>
          <w:rFonts w:asciiTheme="minorHAnsi" w:hAnsiTheme="minorHAnsi"/>
          <w:sz w:val="22"/>
        </w:rPr>
        <w:t>produkter</w:t>
      </w:r>
      <w:r w:rsidR="00D42D41">
        <w:rPr>
          <w:rFonts w:asciiTheme="minorHAnsi" w:hAnsiTheme="minorHAnsi"/>
          <w:sz w:val="22"/>
        </w:rPr>
        <w:t xml:space="preserve"> </w:t>
      </w:r>
      <w:r w:rsidR="00074E1E">
        <w:rPr>
          <w:rFonts w:asciiTheme="minorHAnsi" w:hAnsiTheme="minorHAnsi"/>
          <w:sz w:val="22"/>
        </w:rPr>
        <w:t>er</w:t>
      </w:r>
      <w:r w:rsidR="00906623">
        <w:rPr>
          <w:rFonts w:asciiTheme="minorHAnsi" w:hAnsiTheme="minorHAnsi"/>
          <w:sz w:val="22"/>
        </w:rPr>
        <w:t xml:space="preserve"> under utvikling.</w:t>
      </w:r>
    </w:p>
    <w:p w:rsidR="00906623" w:rsidRDefault="00906623" w:rsidP="00AD2835">
      <w:pPr>
        <w:spacing w:line="336" w:lineRule="auto"/>
        <w:rPr>
          <w:rFonts w:asciiTheme="minorHAnsi" w:hAnsiTheme="minorHAnsi"/>
          <w:sz w:val="22"/>
        </w:rPr>
      </w:pPr>
    </w:p>
    <w:p w:rsidR="00AD2835" w:rsidRPr="00906623" w:rsidRDefault="00906623" w:rsidP="00906623">
      <w:pPr>
        <w:pStyle w:val="ListParagraph"/>
        <w:numPr>
          <w:ilvl w:val="0"/>
          <w:numId w:val="30"/>
        </w:numPr>
        <w:spacing w:line="336" w:lineRule="auto"/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AD2835" w:rsidRPr="00906623">
        <w:rPr>
          <w:rFonts w:asciiTheme="minorHAnsi" w:hAnsiTheme="minorHAnsi"/>
        </w:rPr>
        <w:t xml:space="preserve">jennom løsningen vil </w:t>
      </w:r>
      <w:r>
        <w:rPr>
          <w:rFonts w:asciiTheme="minorHAnsi" w:hAnsiTheme="minorHAnsi"/>
        </w:rPr>
        <w:t>vi</w:t>
      </w:r>
      <w:r w:rsidR="00AD2835" w:rsidRPr="00906623">
        <w:rPr>
          <w:rFonts w:asciiTheme="minorHAnsi" w:hAnsiTheme="minorHAnsi"/>
        </w:rPr>
        <w:t xml:space="preserve"> la andre nettselskaper selge sine produkter via </w:t>
      </w:r>
      <w:r w:rsidR="00346423">
        <w:rPr>
          <w:rFonts w:asciiTheme="minorHAnsi" w:hAnsiTheme="minorHAnsi"/>
        </w:rPr>
        <w:t xml:space="preserve">våre </w:t>
      </w:r>
      <w:r w:rsidR="00AD2835" w:rsidRPr="00906623">
        <w:rPr>
          <w:rFonts w:asciiTheme="minorHAnsi" w:hAnsiTheme="minorHAnsi"/>
        </w:rPr>
        <w:t>nettbutikker.</w:t>
      </w:r>
      <w:r w:rsidR="00074E1E" w:rsidRPr="00906623">
        <w:rPr>
          <w:rFonts w:asciiTheme="minorHAnsi" w:hAnsiTheme="minorHAnsi"/>
        </w:rPr>
        <w:t xml:space="preserve"> </w:t>
      </w:r>
      <w:r w:rsidR="00AD2835" w:rsidRPr="00906623">
        <w:rPr>
          <w:rFonts w:asciiTheme="minorHAnsi" w:hAnsiTheme="minorHAnsi"/>
        </w:rPr>
        <w:t>Vi skal løfte shoppingopplevelsen til et nytt nivå, avslutter Ole Vinje.</w:t>
      </w:r>
    </w:p>
    <w:p w:rsidR="00313DAD" w:rsidRPr="00313DAD" w:rsidRDefault="00313DAD" w:rsidP="00AD2835">
      <w:pPr>
        <w:pStyle w:val="ListParagraph"/>
        <w:spacing w:line="336" w:lineRule="auto"/>
        <w:rPr>
          <w:rFonts w:asciiTheme="minorHAnsi" w:hAnsiTheme="minorHAnsi"/>
        </w:rPr>
      </w:pPr>
    </w:p>
    <w:p w:rsidR="00F25C18" w:rsidRPr="00CA389E" w:rsidRDefault="00F25C18" w:rsidP="00AD2835">
      <w:pPr>
        <w:spacing w:line="336" w:lineRule="auto"/>
        <w:rPr>
          <w:rFonts w:asciiTheme="minorHAnsi" w:hAnsiTheme="minorHAnsi"/>
          <w:b/>
          <w:sz w:val="22"/>
        </w:rPr>
      </w:pPr>
      <w:r w:rsidRPr="00CA389E">
        <w:rPr>
          <w:rFonts w:asciiTheme="minorHAnsi" w:hAnsiTheme="minorHAnsi"/>
          <w:b/>
          <w:sz w:val="22"/>
        </w:rPr>
        <w:t>For mer informasjon kontakt:</w:t>
      </w:r>
    </w:p>
    <w:p w:rsidR="00F25C18" w:rsidRPr="00CA389E" w:rsidRDefault="00F25C18" w:rsidP="00AD2835">
      <w:pPr>
        <w:spacing w:line="336" w:lineRule="auto"/>
        <w:rPr>
          <w:rFonts w:asciiTheme="minorHAnsi" w:hAnsiTheme="minorHAnsi"/>
          <w:b/>
          <w:sz w:val="22"/>
        </w:rPr>
      </w:pPr>
      <w:r w:rsidRPr="00CA389E">
        <w:rPr>
          <w:rFonts w:asciiTheme="minorHAnsi" w:hAnsiTheme="minorHAnsi"/>
          <w:sz w:val="22"/>
        </w:rPr>
        <w:t>Ole Vinje, konsernsjef Komplett Group – mobil 90 08 94 21</w:t>
      </w:r>
      <w:r w:rsidRPr="00CA389E">
        <w:rPr>
          <w:rFonts w:asciiTheme="minorHAnsi" w:hAnsiTheme="minorHAnsi"/>
          <w:sz w:val="22"/>
        </w:rPr>
        <w:br/>
      </w:r>
    </w:p>
    <w:p w:rsidR="00F25C18" w:rsidRPr="00F25C18" w:rsidRDefault="00F25C18" w:rsidP="00AD2835">
      <w:pPr>
        <w:spacing w:line="336" w:lineRule="auto"/>
        <w:rPr>
          <w:rFonts w:asciiTheme="minorHAnsi" w:hAnsiTheme="minorHAnsi"/>
        </w:rPr>
      </w:pPr>
    </w:p>
    <w:p w:rsidR="00BC5F56" w:rsidRDefault="00CA389E" w:rsidP="00AD2835">
      <w:pPr>
        <w:spacing w:line="336" w:lineRule="auto"/>
        <w:rPr>
          <w:rFonts w:asciiTheme="minorHAnsi" w:hAnsiTheme="minorHAnsi"/>
          <w:b/>
          <w:noProof/>
          <w:sz w:val="22"/>
        </w:rPr>
      </w:pPr>
      <w:r w:rsidRPr="00E12687">
        <w:rPr>
          <w:rFonts w:asciiTheme="minorHAnsi" w:eastAsiaTheme="minorEastAsia" w:hAnsiTheme="minorHAnsi"/>
          <w:sz w:val="22"/>
        </w:rPr>
        <w:lastRenderedPageBreak/>
        <w:br/>
      </w:r>
      <w:r w:rsidR="00BC5F56">
        <w:rPr>
          <w:rFonts w:asciiTheme="minorHAnsi" w:hAnsiTheme="minorHAnsi"/>
          <w:b/>
          <w:noProof/>
          <w:sz w:val="22"/>
        </w:rPr>
        <w:t>Komplett Group årsresultat 2015</w:t>
      </w:r>
      <w:r w:rsidR="00BC5F56">
        <w:rPr>
          <w:rFonts w:asciiTheme="minorHAnsi" w:hAnsiTheme="minorHAnsi"/>
          <w:b/>
          <w:noProof/>
          <w:sz w:val="22"/>
        </w:rPr>
        <w:br/>
      </w:r>
    </w:p>
    <w:tbl>
      <w:tblPr>
        <w:tblW w:w="7300" w:type="dxa"/>
        <w:tblInd w:w="-10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2320"/>
        <w:gridCol w:w="1660"/>
        <w:gridCol w:w="1660"/>
        <w:gridCol w:w="1660"/>
      </w:tblGrid>
      <w:tr w:rsidR="00BC5F56" w:rsidTr="00BC5F56">
        <w:trPr>
          <w:trHeight w:val="315"/>
        </w:trPr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3786F"/>
            <w:vAlign w:val="center"/>
            <w:hideMark/>
          </w:tcPr>
          <w:p w:rsidR="00BC5F56" w:rsidRDefault="00BC5F56" w:rsidP="00AD2835">
            <w:pPr>
              <w:spacing w:line="336" w:lineRule="auto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Resultat</w:t>
            </w:r>
          </w:p>
        </w:tc>
        <w:tc>
          <w:tcPr>
            <w:tcW w:w="16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3786F"/>
            <w:vAlign w:val="center"/>
            <w:hideMark/>
          </w:tcPr>
          <w:p w:rsidR="00BC5F56" w:rsidRDefault="00BC5F56" w:rsidP="00AD2835">
            <w:pPr>
              <w:spacing w:line="336" w:lineRule="auto"/>
              <w:ind w:firstLineChars="100" w:firstLine="181"/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2015</w:t>
            </w:r>
          </w:p>
        </w:tc>
        <w:tc>
          <w:tcPr>
            <w:tcW w:w="16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3786F"/>
            <w:vAlign w:val="center"/>
            <w:hideMark/>
          </w:tcPr>
          <w:p w:rsidR="00BC5F56" w:rsidRDefault="00BC5F56" w:rsidP="00AD2835">
            <w:pPr>
              <w:spacing w:line="336" w:lineRule="auto"/>
              <w:ind w:firstLineChars="100" w:firstLine="181"/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2014</w:t>
            </w:r>
          </w:p>
        </w:tc>
        <w:tc>
          <w:tcPr>
            <w:tcW w:w="16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3786F"/>
            <w:vAlign w:val="center"/>
            <w:hideMark/>
          </w:tcPr>
          <w:p w:rsidR="00BC5F56" w:rsidRDefault="00BC5F56" w:rsidP="00AD2835">
            <w:pPr>
              <w:spacing w:line="336" w:lineRule="auto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Endring</w:t>
            </w:r>
          </w:p>
        </w:tc>
      </w:tr>
      <w:tr w:rsidR="00BC5F56" w:rsidTr="00BC5F56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BC5F56" w:rsidRDefault="00BC5F56" w:rsidP="00AD2835">
            <w:pPr>
              <w:spacing w:line="33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(Alle tall i NOK 1000)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:rsidR="00BC5F56" w:rsidRDefault="00BC5F56" w:rsidP="00AD2835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:rsidR="00BC5F56" w:rsidRDefault="00BC5F56" w:rsidP="00AD2835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hideMark/>
          </w:tcPr>
          <w:p w:rsidR="00BC5F56" w:rsidRDefault="00BC5F56" w:rsidP="00AD2835">
            <w:pPr>
              <w:spacing w:line="33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C5F56" w:rsidTr="00BC5F56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CEB"/>
            <w:vAlign w:val="center"/>
            <w:hideMark/>
          </w:tcPr>
          <w:p w:rsidR="00BC5F56" w:rsidRDefault="00BC5F56" w:rsidP="00AD2835">
            <w:pPr>
              <w:spacing w:line="33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Driftsinntekter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CEB"/>
            <w:vAlign w:val="center"/>
            <w:hideMark/>
          </w:tcPr>
          <w:p w:rsidR="00BC5F56" w:rsidRDefault="00BC5F56" w:rsidP="00AD2835">
            <w:pPr>
              <w:spacing w:line="336" w:lineRule="auto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7 286 748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CEB"/>
            <w:vAlign w:val="center"/>
            <w:hideMark/>
          </w:tcPr>
          <w:p w:rsidR="00BC5F56" w:rsidRDefault="00BC5F56" w:rsidP="00AD2835">
            <w:pPr>
              <w:spacing w:line="336" w:lineRule="auto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5 821 706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CEB"/>
            <w:vAlign w:val="center"/>
            <w:hideMark/>
          </w:tcPr>
          <w:p w:rsidR="00BC5F56" w:rsidRDefault="00BC5F56" w:rsidP="00AD2835">
            <w:pPr>
              <w:spacing w:line="33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25,2%</w:t>
            </w:r>
          </w:p>
        </w:tc>
      </w:tr>
      <w:tr w:rsidR="00BC5F56" w:rsidTr="00BC5F56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6D5"/>
            <w:vAlign w:val="center"/>
            <w:hideMark/>
          </w:tcPr>
          <w:p w:rsidR="00BC5F56" w:rsidRDefault="00BC5F56" w:rsidP="00AD2835">
            <w:pPr>
              <w:spacing w:line="33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Driftsresultat (EBITDA)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6D5"/>
            <w:vAlign w:val="center"/>
            <w:hideMark/>
          </w:tcPr>
          <w:p w:rsidR="00BC5F56" w:rsidRDefault="00BC5F56" w:rsidP="00AD2835">
            <w:pPr>
              <w:spacing w:line="336" w:lineRule="auto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182 985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6D5"/>
            <w:vAlign w:val="center"/>
            <w:hideMark/>
          </w:tcPr>
          <w:p w:rsidR="00BC5F56" w:rsidRDefault="00BC5F56" w:rsidP="00AD2835">
            <w:pPr>
              <w:spacing w:line="336" w:lineRule="auto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150 370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6D5"/>
            <w:vAlign w:val="center"/>
            <w:hideMark/>
          </w:tcPr>
          <w:p w:rsidR="00BC5F56" w:rsidRDefault="00BC5F56" w:rsidP="00AD2835">
            <w:pPr>
              <w:spacing w:line="33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21,7%</w:t>
            </w:r>
          </w:p>
        </w:tc>
      </w:tr>
      <w:tr w:rsidR="00BC5F56" w:rsidTr="00BC5F56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CEB"/>
            <w:vAlign w:val="center"/>
            <w:hideMark/>
          </w:tcPr>
          <w:p w:rsidR="00BC5F56" w:rsidRDefault="00BC5F56" w:rsidP="00AD2835">
            <w:pPr>
              <w:spacing w:line="33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Driftsresultat (EBIT)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CEB"/>
            <w:vAlign w:val="center"/>
            <w:hideMark/>
          </w:tcPr>
          <w:p w:rsidR="00BC5F56" w:rsidRDefault="00BC5F56" w:rsidP="00AD2835">
            <w:pPr>
              <w:spacing w:line="336" w:lineRule="auto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135 471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CEB"/>
            <w:vAlign w:val="center"/>
            <w:hideMark/>
          </w:tcPr>
          <w:p w:rsidR="00BC5F56" w:rsidRDefault="00BC5F56" w:rsidP="00AD2835">
            <w:pPr>
              <w:spacing w:line="336" w:lineRule="auto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106 965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CEB"/>
            <w:vAlign w:val="center"/>
            <w:hideMark/>
          </w:tcPr>
          <w:p w:rsidR="00BC5F56" w:rsidRDefault="00BC5F56" w:rsidP="00AD2835">
            <w:pPr>
              <w:spacing w:line="33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26,6%</w:t>
            </w:r>
          </w:p>
        </w:tc>
      </w:tr>
      <w:tr w:rsidR="00BC5F56" w:rsidTr="00BC5F56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6D5"/>
            <w:vAlign w:val="center"/>
            <w:hideMark/>
          </w:tcPr>
          <w:p w:rsidR="00BC5F56" w:rsidRDefault="00BC5F56" w:rsidP="00AD2835">
            <w:pPr>
              <w:spacing w:line="33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Resultat før skatt (EBT)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6D5"/>
            <w:vAlign w:val="center"/>
            <w:hideMark/>
          </w:tcPr>
          <w:p w:rsidR="00BC5F56" w:rsidRDefault="00BC5F56" w:rsidP="00AD2835">
            <w:pPr>
              <w:spacing w:line="336" w:lineRule="auto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120 978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6D5"/>
            <w:vAlign w:val="center"/>
            <w:hideMark/>
          </w:tcPr>
          <w:p w:rsidR="00BC5F56" w:rsidRDefault="00BC5F56" w:rsidP="00AD2835">
            <w:pPr>
              <w:spacing w:line="336" w:lineRule="auto"/>
              <w:ind w:firstLineChars="100" w:firstLine="18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74 999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6D5"/>
            <w:vAlign w:val="center"/>
            <w:hideMark/>
          </w:tcPr>
          <w:p w:rsidR="00BC5F56" w:rsidRDefault="00BC5F56" w:rsidP="00AD2835">
            <w:pPr>
              <w:spacing w:line="33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61,3%</w:t>
            </w:r>
          </w:p>
        </w:tc>
      </w:tr>
    </w:tbl>
    <w:p w:rsidR="00A10982" w:rsidRPr="00CA389E" w:rsidRDefault="00431019" w:rsidP="00AD2835">
      <w:pPr>
        <w:spacing w:line="33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/>
      </w:r>
      <w:r w:rsidR="00784BD9" w:rsidRPr="00CA389E">
        <w:rPr>
          <w:rFonts w:asciiTheme="minorHAnsi" w:hAnsiTheme="minorHAnsi"/>
          <w:b/>
          <w:sz w:val="22"/>
        </w:rPr>
        <w:t>Komplett Group</w:t>
      </w:r>
    </w:p>
    <w:p w:rsidR="00F85F12" w:rsidRPr="00CA389E" w:rsidRDefault="00A10982" w:rsidP="00AD2835">
      <w:pPr>
        <w:spacing w:line="336" w:lineRule="auto"/>
        <w:rPr>
          <w:rFonts w:asciiTheme="minorHAnsi" w:hAnsiTheme="minorHAnsi"/>
          <w:sz w:val="22"/>
        </w:rPr>
      </w:pPr>
      <w:r w:rsidRPr="00CA389E">
        <w:rPr>
          <w:rFonts w:asciiTheme="minorHAnsi" w:hAnsiTheme="minorHAnsi"/>
          <w:sz w:val="22"/>
        </w:rPr>
        <w:t>Komplett Group er Nordens største netthandelsaktør med 1</w:t>
      </w:r>
      <w:r w:rsidR="0084220E">
        <w:rPr>
          <w:rFonts w:asciiTheme="minorHAnsi" w:hAnsiTheme="minorHAnsi"/>
          <w:sz w:val="22"/>
        </w:rPr>
        <w:t>6</w:t>
      </w:r>
      <w:r w:rsidRPr="00CA389E">
        <w:rPr>
          <w:rFonts w:asciiTheme="minorHAnsi" w:hAnsiTheme="minorHAnsi"/>
          <w:sz w:val="22"/>
        </w:rPr>
        <w:t xml:space="preserve"> ne</w:t>
      </w:r>
      <w:r w:rsidR="0084220E">
        <w:rPr>
          <w:rFonts w:asciiTheme="minorHAnsi" w:hAnsiTheme="minorHAnsi"/>
          <w:sz w:val="22"/>
        </w:rPr>
        <w:t>ttbutikker. Komplett Group har 8</w:t>
      </w:r>
      <w:r w:rsidRPr="00CA389E">
        <w:rPr>
          <w:rFonts w:asciiTheme="minorHAnsi" w:hAnsiTheme="minorHAnsi"/>
          <w:sz w:val="22"/>
        </w:rPr>
        <w:t xml:space="preserve">00 ansatte og hovedkontor i Sandefjord. Les mer på: </w:t>
      </w:r>
      <w:hyperlink r:id="rId8" w:history="1">
        <w:r w:rsidRPr="00CA389E">
          <w:rPr>
            <w:rStyle w:val="Hyperlink"/>
            <w:rFonts w:asciiTheme="minorHAnsi" w:hAnsiTheme="minorHAnsi" w:cs="Arial"/>
            <w:sz w:val="22"/>
          </w:rPr>
          <w:t>www.komplettgroup.com</w:t>
        </w:r>
      </w:hyperlink>
    </w:p>
    <w:sectPr w:rsidR="00F85F12" w:rsidRPr="00CA389E" w:rsidSect="0041558E">
      <w:headerReference w:type="default" r:id="rId9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1C" w:rsidRDefault="00D6621C">
      <w:r>
        <w:separator/>
      </w:r>
    </w:p>
  </w:endnote>
  <w:endnote w:type="continuationSeparator" w:id="0">
    <w:p w:rsidR="00D6621C" w:rsidRDefault="00D6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1C" w:rsidRDefault="00D6621C">
      <w:r>
        <w:separator/>
      </w:r>
    </w:p>
  </w:footnote>
  <w:footnote w:type="continuationSeparator" w:id="0">
    <w:p w:rsidR="00D6621C" w:rsidRDefault="00D6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4278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4514850</wp:posOffset>
          </wp:positionH>
          <wp:positionV relativeFrom="paragraph">
            <wp:posOffset>83820</wp:posOffset>
          </wp:positionV>
          <wp:extent cx="1428750" cy="409575"/>
          <wp:effectExtent l="0" t="0" r="0" b="9525"/>
          <wp:wrapTopAndBottom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t_GROUP_linkd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58A2"/>
    <w:multiLevelType w:val="hybridMultilevel"/>
    <w:tmpl w:val="1AA80548"/>
    <w:lvl w:ilvl="0" w:tplc="0706CDF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23560"/>
    <w:multiLevelType w:val="hybridMultilevel"/>
    <w:tmpl w:val="7B24B120"/>
    <w:lvl w:ilvl="0" w:tplc="FC24BAB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D7E43"/>
    <w:multiLevelType w:val="hybridMultilevel"/>
    <w:tmpl w:val="BBF40A02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0F5980"/>
    <w:multiLevelType w:val="hybridMultilevel"/>
    <w:tmpl w:val="3E665684"/>
    <w:lvl w:ilvl="0" w:tplc="90A20BB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44005C0"/>
    <w:multiLevelType w:val="hybridMultilevel"/>
    <w:tmpl w:val="07349928"/>
    <w:lvl w:ilvl="0" w:tplc="6566901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6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6"/>
  </w:num>
  <w:num w:numId="12">
    <w:abstractNumId w:val="2"/>
  </w:num>
  <w:num w:numId="13">
    <w:abstractNumId w:val="25"/>
  </w:num>
  <w:num w:numId="14">
    <w:abstractNumId w:val="11"/>
  </w:num>
  <w:num w:numId="15">
    <w:abstractNumId w:val="19"/>
  </w:num>
  <w:num w:numId="16">
    <w:abstractNumId w:val="14"/>
  </w:num>
  <w:num w:numId="17">
    <w:abstractNumId w:val="20"/>
  </w:num>
  <w:num w:numId="18">
    <w:abstractNumId w:val="29"/>
  </w:num>
  <w:num w:numId="19">
    <w:abstractNumId w:val="17"/>
  </w:num>
  <w:num w:numId="20">
    <w:abstractNumId w:val="6"/>
  </w:num>
  <w:num w:numId="21">
    <w:abstractNumId w:val="12"/>
  </w:num>
  <w:num w:numId="22">
    <w:abstractNumId w:val="9"/>
  </w:num>
  <w:num w:numId="23">
    <w:abstractNumId w:val="4"/>
  </w:num>
  <w:num w:numId="24">
    <w:abstractNumId w:val="13"/>
  </w:num>
  <w:num w:numId="25">
    <w:abstractNumId w:val="0"/>
  </w:num>
  <w:num w:numId="26">
    <w:abstractNumId w:val="18"/>
  </w:num>
  <w:num w:numId="27">
    <w:abstractNumId w:val="15"/>
  </w:num>
  <w:num w:numId="28">
    <w:abstractNumId w:val="23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04AA"/>
    <w:rsid w:val="00043113"/>
    <w:rsid w:val="000456B2"/>
    <w:rsid w:val="00051B3F"/>
    <w:rsid w:val="000538C2"/>
    <w:rsid w:val="00057A14"/>
    <w:rsid w:val="00066981"/>
    <w:rsid w:val="00074E1E"/>
    <w:rsid w:val="00091147"/>
    <w:rsid w:val="00094263"/>
    <w:rsid w:val="000A2E9F"/>
    <w:rsid w:val="000C0D67"/>
    <w:rsid w:val="000D4F18"/>
    <w:rsid w:val="000E2083"/>
    <w:rsid w:val="000E69BC"/>
    <w:rsid w:val="000E7099"/>
    <w:rsid w:val="000F1DA2"/>
    <w:rsid w:val="000F6534"/>
    <w:rsid w:val="000F7EA5"/>
    <w:rsid w:val="0010045F"/>
    <w:rsid w:val="00102EB6"/>
    <w:rsid w:val="00104E70"/>
    <w:rsid w:val="00106C1F"/>
    <w:rsid w:val="00112FE6"/>
    <w:rsid w:val="001176C7"/>
    <w:rsid w:val="001259E6"/>
    <w:rsid w:val="00126DEB"/>
    <w:rsid w:val="00130E7F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81971"/>
    <w:rsid w:val="00181E44"/>
    <w:rsid w:val="001929F4"/>
    <w:rsid w:val="00193886"/>
    <w:rsid w:val="001968A3"/>
    <w:rsid w:val="001B224E"/>
    <w:rsid w:val="001B40F7"/>
    <w:rsid w:val="001D16CD"/>
    <w:rsid w:val="001D1EC8"/>
    <w:rsid w:val="001E1658"/>
    <w:rsid w:val="001E5FCD"/>
    <w:rsid w:val="001F3537"/>
    <w:rsid w:val="00204679"/>
    <w:rsid w:val="002046B4"/>
    <w:rsid w:val="00212534"/>
    <w:rsid w:val="00224007"/>
    <w:rsid w:val="00240CD9"/>
    <w:rsid w:val="00245F5F"/>
    <w:rsid w:val="0024703D"/>
    <w:rsid w:val="00250E87"/>
    <w:rsid w:val="002530DE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69E8"/>
    <w:rsid w:val="00297B7E"/>
    <w:rsid w:val="002A27FB"/>
    <w:rsid w:val="002B0569"/>
    <w:rsid w:val="002B1E72"/>
    <w:rsid w:val="002B4EFD"/>
    <w:rsid w:val="002B52EF"/>
    <w:rsid w:val="002C2B7F"/>
    <w:rsid w:val="002C2E95"/>
    <w:rsid w:val="002C3110"/>
    <w:rsid w:val="002C3941"/>
    <w:rsid w:val="002D2B85"/>
    <w:rsid w:val="002D2FB6"/>
    <w:rsid w:val="002E3486"/>
    <w:rsid w:val="002F3ABC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13DAD"/>
    <w:rsid w:val="003374C9"/>
    <w:rsid w:val="00342CF3"/>
    <w:rsid w:val="00346423"/>
    <w:rsid w:val="0034662D"/>
    <w:rsid w:val="00361D5E"/>
    <w:rsid w:val="00363A17"/>
    <w:rsid w:val="003720EB"/>
    <w:rsid w:val="00380427"/>
    <w:rsid w:val="003865DA"/>
    <w:rsid w:val="0039261C"/>
    <w:rsid w:val="003A1D0E"/>
    <w:rsid w:val="003B05C6"/>
    <w:rsid w:val="003B1D8F"/>
    <w:rsid w:val="003B565F"/>
    <w:rsid w:val="003C032D"/>
    <w:rsid w:val="003C4F71"/>
    <w:rsid w:val="003C5896"/>
    <w:rsid w:val="003D2296"/>
    <w:rsid w:val="003D29AD"/>
    <w:rsid w:val="003D3558"/>
    <w:rsid w:val="003E413F"/>
    <w:rsid w:val="003F7CE0"/>
    <w:rsid w:val="00411AC5"/>
    <w:rsid w:val="0041558E"/>
    <w:rsid w:val="00424084"/>
    <w:rsid w:val="00427820"/>
    <w:rsid w:val="00431019"/>
    <w:rsid w:val="0043159B"/>
    <w:rsid w:val="00432028"/>
    <w:rsid w:val="00445935"/>
    <w:rsid w:val="0045422A"/>
    <w:rsid w:val="004775C2"/>
    <w:rsid w:val="0048743C"/>
    <w:rsid w:val="00497680"/>
    <w:rsid w:val="00497D24"/>
    <w:rsid w:val="004A3683"/>
    <w:rsid w:val="004A5B97"/>
    <w:rsid w:val="004A7836"/>
    <w:rsid w:val="004A7C67"/>
    <w:rsid w:val="004B4343"/>
    <w:rsid w:val="004B4707"/>
    <w:rsid w:val="004D1323"/>
    <w:rsid w:val="004D33CC"/>
    <w:rsid w:val="004D4E72"/>
    <w:rsid w:val="004D7E49"/>
    <w:rsid w:val="004E4989"/>
    <w:rsid w:val="004F60ED"/>
    <w:rsid w:val="004F7268"/>
    <w:rsid w:val="004F7591"/>
    <w:rsid w:val="00506167"/>
    <w:rsid w:val="00506DC5"/>
    <w:rsid w:val="00514C50"/>
    <w:rsid w:val="00516210"/>
    <w:rsid w:val="00516397"/>
    <w:rsid w:val="0052194A"/>
    <w:rsid w:val="005275B5"/>
    <w:rsid w:val="005346F1"/>
    <w:rsid w:val="00545470"/>
    <w:rsid w:val="0055784A"/>
    <w:rsid w:val="00561B5E"/>
    <w:rsid w:val="00574034"/>
    <w:rsid w:val="0057744F"/>
    <w:rsid w:val="005807FA"/>
    <w:rsid w:val="005812FA"/>
    <w:rsid w:val="00581821"/>
    <w:rsid w:val="0058210C"/>
    <w:rsid w:val="00582556"/>
    <w:rsid w:val="00585ED4"/>
    <w:rsid w:val="00590066"/>
    <w:rsid w:val="0059037B"/>
    <w:rsid w:val="00593400"/>
    <w:rsid w:val="00596099"/>
    <w:rsid w:val="0059622D"/>
    <w:rsid w:val="005A025D"/>
    <w:rsid w:val="005A748A"/>
    <w:rsid w:val="005C4581"/>
    <w:rsid w:val="005C66F1"/>
    <w:rsid w:val="005D7F9B"/>
    <w:rsid w:val="005F0198"/>
    <w:rsid w:val="005F3CD1"/>
    <w:rsid w:val="005F60F5"/>
    <w:rsid w:val="005F725D"/>
    <w:rsid w:val="00602FED"/>
    <w:rsid w:val="00627AED"/>
    <w:rsid w:val="00635625"/>
    <w:rsid w:val="00641B9C"/>
    <w:rsid w:val="00651CC5"/>
    <w:rsid w:val="00651CE5"/>
    <w:rsid w:val="006608B5"/>
    <w:rsid w:val="00661563"/>
    <w:rsid w:val="00672D49"/>
    <w:rsid w:val="0068211D"/>
    <w:rsid w:val="006861F9"/>
    <w:rsid w:val="006A0028"/>
    <w:rsid w:val="006A468D"/>
    <w:rsid w:val="006B2203"/>
    <w:rsid w:val="006B47EB"/>
    <w:rsid w:val="006C2568"/>
    <w:rsid w:val="006C3E2F"/>
    <w:rsid w:val="006D41C4"/>
    <w:rsid w:val="006D43AC"/>
    <w:rsid w:val="006D6E6C"/>
    <w:rsid w:val="006E6C24"/>
    <w:rsid w:val="006F3962"/>
    <w:rsid w:val="006F497E"/>
    <w:rsid w:val="00712810"/>
    <w:rsid w:val="00715372"/>
    <w:rsid w:val="00723C77"/>
    <w:rsid w:val="00730A4E"/>
    <w:rsid w:val="00732E9D"/>
    <w:rsid w:val="00734369"/>
    <w:rsid w:val="007418CA"/>
    <w:rsid w:val="007469E0"/>
    <w:rsid w:val="007472AB"/>
    <w:rsid w:val="007757A1"/>
    <w:rsid w:val="00780951"/>
    <w:rsid w:val="00780F5C"/>
    <w:rsid w:val="00784BD9"/>
    <w:rsid w:val="00797AFD"/>
    <w:rsid w:val="007A39A9"/>
    <w:rsid w:val="007A56D1"/>
    <w:rsid w:val="007B002E"/>
    <w:rsid w:val="007B2487"/>
    <w:rsid w:val="007B3DE6"/>
    <w:rsid w:val="007C48B7"/>
    <w:rsid w:val="007D04A9"/>
    <w:rsid w:val="007D20A3"/>
    <w:rsid w:val="007D5E18"/>
    <w:rsid w:val="007E047F"/>
    <w:rsid w:val="007E22B6"/>
    <w:rsid w:val="007E2593"/>
    <w:rsid w:val="007F7C34"/>
    <w:rsid w:val="00803C1C"/>
    <w:rsid w:val="00812513"/>
    <w:rsid w:val="00812FC2"/>
    <w:rsid w:val="00831737"/>
    <w:rsid w:val="0084220E"/>
    <w:rsid w:val="008611C2"/>
    <w:rsid w:val="00866182"/>
    <w:rsid w:val="00867C44"/>
    <w:rsid w:val="008718E1"/>
    <w:rsid w:val="00873DFB"/>
    <w:rsid w:val="00874B23"/>
    <w:rsid w:val="008768E8"/>
    <w:rsid w:val="00887DFC"/>
    <w:rsid w:val="00890562"/>
    <w:rsid w:val="00892365"/>
    <w:rsid w:val="00895E18"/>
    <w:rsid w:val="00897D58"/>
    <w:rsid w:val="008A607B"/>
    <w:rsid w:val="008B039B"/>
    <w:rsid w:val="008B5FE5"/>
    <w:rsid w:val="008B7528"/>
    <w:rsid w:val="008C0553"/>
    <w:rsid w:val="008C0DD4"/>
    <w:rsid w:val="008E6CA8"/>
    <w:rsid w:val="008F2EB7"/>
    <w:rsid w:val="00906623"/>
    <w:rsid w:val="009223E9"/>
    <w:rsid w:val="00925D80"/>
    <w:rsid w:val="009339A7"/>
    <w:rsid w:val="00937DC7"/>
    <w:rsid w:val="00947900"/>
    <w:rsid w:val="00953156"/>
    <w:rsid w:val="009562A8"/>
    <w:rsid w:val="0096013E"/>
    <w:rsid w:val="0097268A"/>
    <w:rsid w:val="009779D2"/>
    <w:rsid w:val="00977E49"/>
    <w:rsid w:val="00984F77"/>
    <w:rsid w:val="009851EC"/>
    <w:rsid w:val="0098525A"/>
    <w:rsid w:val="009A18AE"/>
    <w:rsid w:val="009A31F5"/>
    <w:rsid w:val="009A771A"/>
    <w:rsid w:val="009C14B6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6D48"/>
    <w:rsid w:val="00A24249"/>
    <w:rsid w:val="00A31A31"/>
    <w:rsid w:val="00A352C3"/>
    <w:rsid w:val="00A53101"/>
    <w:rsid w:val="00A56EB8"/>
    <w:rsid w:val="00A618CD"/>
    <w:rsid w:val="00A67779"/>
    <w:rsid w:val="00A7264D"/>
    <w:rsid w:val="00A75772"/>
    <w:rsid w:val="00A86909"/>
    <w:rsid w:val="00A90AF2"/>
    <w:rsid w:val="00AA1AD9"/>
    <w:rsid w:val="00AB5D91"/>
    <w:rsid w:val="00AC2676"/>
    <w:rsid w:val="00AD1507"/>
    <w:rsid w:val="00AD2835"/>
    <w:rsid w:val="00AD7414"/>
    <w:rsid w:val="00AE0432"/>
    <w:rsid w:val="00AE7757"/>
    <w:rsid w:val="00AE7C0D"/>
    <w:rsid w:val="00AF1E60"/>
    <w:rsid w:val="00AF50AC"/>
    <w:rsid w:val="00AF6518"/>
    <w:rsid w:val="00AF7C1E"/>
    <w:rsid w:val="00B11F2B"/>
    <w:rsid w:val="00B13359"/>
    <w:rsid w:val="00B15322"/>
    <w:rsid w:val="00B217EA"/>
    <w:rsid w:val="00B272EE"/>
    <w:rsid w:val="00B412D1"/>
    <w:rsid w:val="00B502FB"/>
    <w:rsid w:val="00B57B58"/>
    <w:rsid w:val="00B656F7"/>
    <w:rsid w:val="00B65FC2"/>
    <w:rsid w:val="00B66CCC"/>
    <w:rsid w:val="00B678B9"/>
    <w:rsid w:val="00B77E0B"/>
    <w:rsid w:val="00B84BE0"/>
    <w:rsid w:val="00BA373C"/>
    <w:rsid w:val="00BA4C18"/>
    <w:rsid w:val="00BB0694"/>
    <w:rsid w:val="00BC3D39"/>
    <w:rsid w:val="00BC5F56"/>
    <w:rsid w:val="00BC769D"/>
    <w:rsid w:val="00BF038E"/>
    <w:rsid w:val="00BF35FE"/>
    <w:rsid w:val="00C02920"/>
    <w:rsid w:val="00C03333"/>
    <w:rsid w:val="00C044E7"/>
    <w:rsid w:val="00C12BD4"/>
    <w:rsid w:val="00C27B7B"/>
    <w:rsid w:val="00C30D2B"/>
    <w:rsid w:val="00C41E63"/>
    <w:rsid w:val="00C466AA"/>
    <w:rsid w:val="00C47708"/>
    <w:rsid w:val="00C52B47"/>
    <w:rsid w:val="00C753AC"/>
    <w:rsid w:val="00C803C1"/>
    <w:rsid w:val="00C84596"/>
    <w:rsid w:val="00C97ED1"/>
    <w:rsid w:val="00CA389E"/>
    <w:rsid w:val="00CA78FD"/>
    <w:rsid w:val="00CC2B40"/>
    <w:rsid w:val="00CC7F13"/>
    <w:rsid w:val="00CE578D"/>
    <w:rsid w:val="00CF55D6"/>
    <w:rsid w:val="00D03F76"/>
    <w:rsid w:val="00D07119"/>
    <w:rsid w:val="00D10E88"/>
    <w:rsid w:val="00D42D41"/>
    <w:rsid w:val="00D47D06"/>
    <w:rsid w:val="00D5146E"/>
    <w:rsid w:val="00D54794"/>
    <w:rsid w:val="00D56039"/>
    <w:rsid w:val="00D634CA"/>
    <w:rsid w:val="00D63CA3"/>
    <w:rsid w:val="00D6621C"/>
    <w:rsid w:val="00D6770E"/>
    <w:rsid w:val="00D92721"/>
    <w:rsid w:val="00DA01CB"/>
    <w:rsid w:val="00DB1305"/>
    <w:rsid w:val="00DB3177"/>
    <w:rsid w:val="00DC63AB"/>
    <w:rsid w:val="00DC6409"/>
    <w:rsid w:val="00DD0F89"/>
    <w:rsid w:val="00DD1677"/>
    <w:rsid w:val="00DD59CF"/>
    <w:rsid w:val="00DD692E"/>
    <w:rsid w:val="00DE3D92"/>
    <w:rsid w:val="00DE5FD9"/>
    <w:rsid w:val="00DF33E0"/>
    <w:rsid w:val="00DF54E5"/>
    <w:rsid w:val="00DF667A"/>
    <w:rsid w:val="00DF69AD"/>
    <w:rsid w:val="00E11CE9"/>
    <w:rsid w:val="00E12687"/>
    <w:rsid w:val="00E24DF7"/>
    <w:rsid w:val="00E33439"/>
    <w:rsid w:val="00E43463"/>
    <w:rsid w:val="00E43D3C"/>
    <w:rsid w:val="00E443D1"/>
    <w:rsid w:val="00E57B87"/>
    <w:rsid w:val="00E6017C"/>
    <w:rsid w:val="00E64C3E"/>
    <w:rsid w:val="00E72605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D39FB"/>
    <w:rsid w:val="00EE76F6"/>
    <w:rsid w:val="00F03CF7"/>
    <w:rsid w:val="00F04F54"/>
    <w:rsid w:val="00F244C8"/>
    <w:rsid w:val="00F25C18"/>
    <w:rsid w:val="00F32828"/>
    <w:rsid w:val="00F362C3"/>
    <w:rsid w:val="00F42D94"/>
    <w:rsid w:val="00F430D7"/>
    <w:rsid w:val="00F6261B"/>
    <w:rsid w:val="00F642C9"/>
    <w:rsid w:val="00F64840"/>
    <w:rsid w:val="00F67EA3"/>
    <w:rsid w:val="00F71A3F"/>
    <w:rsid w:val="00F7546E"/>
    <w:rsid w:val="00F76153"/>
    <w:rsid w:val="00F76B84"/>
    <w:rsid w:val="00F85F12"/>
    <w:rsid w:val="00FA25D4"/>
    <w:rsid w:val="00FA368F"/>
    <w:rsid w:val="00FA5149"/>
    <w:rsid w:val="00FA6AE1"/>
    <w:rsid w:val="00FB1B5A"/>
    <w:rsid w:val="00FC436E"/>
    <w:rsid w:val="00FD28DF"/>
    <w:rsid w:val="00FD67EE"/>
    <w:rsid w:val="00FD6B9D"/>
    <w:rsid w:val="00FE0C1D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3111-12F3-49C1-A89A-FA091816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302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2048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25</cp:revision>
  <cp:lastPrinted>2016-02-23T13:23:00Z</cp:lastPrinted>
  <dcterms:created xsi:type="dcterms:W3CDTF">2016-02-23T11:11:00Z</dcterms:created>
  <dcterms:modified xsi:type="dcterms:W3CDTF">2016-03-01T18:46:00Z</dcterms:modified>
</cp:coreProperties>
</file>