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60AB" w14:textId="23B831FB" w:rsidR="00303F8C" w:rsidRDefault="008235B2" w:rsidP="00FF7EE7">
      <w:pPr>
        <w:spacing w:line="240" w:lineRule="auto"/>
        <w:ind w:right="-351"/>
        <w:rPr>
          <w:rFonts w:cs="Arial"/>
          <w:b/>
          <w:color w:val="000000" w:themeColor="text1"/>
          <w:szCs w:val="24"/>
        </w:rPr>
      </w:pPr>
      <w:bookmarkStart w:id="0" w:name="OLE_LINK1"/>
      <w:bookmarkStart w:id="1" w:name="OLE_LINK2"/>
      <w:r>
        <w:t>24. Juli</w:t>
      </w:r>
      <w:r>
        <w:rPr>
          <w:color w:val="000000" w:themeColor="text1"/>
          <w:szCs w:val="24"/>
        </w:rPr>
        <w:t xml:space="preserve"> 2019</w:t>
      </w:r>
      <w:r>
        <w:rPr>
          <w:b/>
          <w:color w:val="000000" w:themeColor="text1"/>
          <w:szCs w:val="24"/>
        </w:rPr>
        <w:t xml:space="preserve"> </w:t>
      </w:r>
    </w:p>
    <w:p w14:paraId="6C62254D" w14:textId="77777777" w:rsidR="00823E77" w:rsidRPr="000C3070" w:rsidRDefault="00823E77" w:rsidP="00FF7EE7">
      <w:pPr>
        <w:spacing w:line="240" w:lineRule="auto"/>
        <w:ind w:right="-351"/>
        <w:rPr>
          <w:rFonts w:cs="Arial"/>
          <w:b/>
          <w:color w:val="000000" w:themeColor="text1"/>
          <w:szCs w:val="24"/>
          <w:highlight w:val="yellow"/>
        </w:rPr>
      </w:pPr>
    </w:p>
    <w:p w14:paraId="11715445" w14:textId="04E19D55" w:rsidR="00D75667" w:rsidRDefault="00837C43" w:rsidP="00D75667">
      <w:pPr>
        <w:pStyle w:val="ANheader"/>
        <w:spacing w:before="0" w:after="0" w:line="240" w:lineRule="exact"/>
        <w:rPr>
          <w:rFonts w:cs="Arial"/>
          <w:b/>
          <w:szCs w:val="20"/>
        </w:rPr>
      </w:pPr>
      <w:r>
        <w:rPr>
          <w:b/>
          <w:szCs w:val="20"/>
        </w:rPr>
        <w:t xml:space="preserve">Die Ergebnisse von AkzoNobel im 2. Quartal </w:t>
      </w:r>
      <w:r w:rsidR="006A5C22">
        <w:rPr>
          <w:b/>
          <w:szCs w:val="20"/>
        </w:rPr>
        <w:t>weisen</w:t>
      </w:r>
      <w:r>
        <w:rPr>
          <w:b/>
          <w:szCs w:val="20"/>
        </w:rPr>
        <w:t xml:space="preserve"> trotz fortgesetztem Gegenwind von außen Fortschritte in der Umsetzung der „15 </w:t>
      </w:r>
      <w:proofErr w:type="spellStart"/>
      <w:r>
        <w:rPr>
          <w:b/>
          <w:szCs w:val="20"/>
        </w:rPr>
        <w:t>by</w:t>
      </w:r>
      <w:proofErr w:type="spellEnd"/>
      <w:r>
        <w:rPr>
          <w:b/>
          <w:szCs w:val="20"/>
        </w:rPr>
        <w:t xml:space="preserve"> 20“-Strategie und ein um 36 Prozent gestiegenes bereinigtes Betriebsergebnis </w:t>
      </w:r>
      <w:r w:rsidR="006A5C22">
        <w:rPr>
          <w:b/>
          <w:szCs w:val="20"/>
        </w:rPr>
        <w:t>auf.</w:t>
      </w:r>
    </w:p>
    <w:p w14:paraId="43EFE93E" w14:textId="65D3B548" w:rsidR="00A32233" w:rsidRDefault="00A32233" w:rsidP="00D75667">
      <w:pPr>
        <w:pStyle w:val="ANheader"/>
        <w:spacing w:before="0" w:after="0" w:line="240" w:lineRule="exact"/>
        <w:rPr>
          <w:rFonts w:cs="Arial"/>
          <w:b/>
          <w:szCs w:val="20"/>
        </w:rPr>
      </w:pPr>
    </w:p>
    <w:p w14:paraId="6EC65DFE" w14:textId="2F45BA79" w:rsidR="000C7A3F" w:rsidRPr="00346FA1" w:rsidRDefault="000C7A3F" w:rsidP="00FF7EE7">
      <w:pPr>
        <w:spacing w:line="240" w:lineRule="auto"/>
        <w:ind w:right="-351"/>
        <w:jc w:val="both"/>
        <w:rPr>
          <w:rFonts w:cs="Arial"/>
          <w:szCs w:val="20"/>
        </w:rPr>
      </w:pPr>
      <w:r>
        <w:rPr>
          <w:b/>
          <w:szCs w:val="20"/>
        </w:rPr>
        <w:t>Akzo Nobel N.V. (AKZA; AKZOY) veröffentlicht seine Ergebnisse für das zweite Quartal 2019.</w:t>
      </w:r>
    </w:p>
    <w:p w14:paraId="3AF583B9" w14:textId="25A95F06" w:rsidR="00680239" w:rsidRPr="000C3070" w:rsidRDefault="00680239" w:rsidP="00076B74">
      <w:pPr>
        <w:autoSpaceDE w:val="0"/>
        <w:autoSpaceDN w:val="0"/>
        <w:adjustRightInd w:val="0"/>
        <w:spacing w:after="0" w:line="240" w:lineRule="auto"/>
        <w:ind w:right="-351"/>
        <w:rPr>
          <w:rFonts w:cs="Arial"/>
          <w:bCs/>
          <w:szCs w:val="20"/>
        </w:rPr>
      </w:pPr>
    </w:p>
    <w:p w14:paraId="51B4FB65" w14:textId="628EC5E9" w:rsidR="00555F57" w:rsidRDefault="00555F57" w:rsidP="00FF7EE7">
      <w:pPr>
        <w:autoSpaceDE w:val="0"/>
        <w:autoSpaceDN w:val="0"/>
        <w:adjustRightInd w:val="0"/>
        <w:spacing w:line="241" w:lineRule="atLeast"/>
        <w:ind w:right="-351"/>
        <w:rPr>
          <w:rFonts w:eastAsia="SimSun" w:cs="Arial"/>
          <w:color w:val="000000"/>
          <w:szCs w:val="20"/>
        </w:rPr>
      </w:pPr>
      <w:r>
        <w:rPr>
          <w:color w:val="000000"/>
          <w:szCs w:val="20"/>
        </w:rPr>
        <w:t>• Bereinigtes Betriebsergebnis</w:t>
      </w:r>
      <w:r w:rsidR="006A5C22">
        <w:rPr>
          <w:color w:val="000000"/>
          <w:szCs w:val="20"/>
          <w:vertAlign w:val="superscript"/>
        </w:rPr>
        <w:t>1</w:t>
      </w:r>
      <w:r>
        <w:rPr>
          <w:b/>
          <w:bCs/>
          <w:color w:val="000000"/>
          <w:szCs w:val="20"/>
        </w:rPr>
        <w:t xml:space="preserve"> </w:t>
      </w:r>
      <w:r>
        <w:rPr>
          <w:color w:val="000000"/>
          <w:szCs w:val="20"/>
        </w:rPr>
        <w:t xml:space="preserve">um 36 Prozent auf 305 Millionen Euro gestiegen (2018: 225 Millionen Euro) </w:t>
      </w:r>
    </w:p>
    <w:p w14:paraId="27BC73D1" w14:textId="37BA02D7" w:rsidR="00555F57" w:rsidRDefault="00555F57" w:rsidP="00FF7EE7">
      <w:pPr>
        <w:autoSpaceDE w:val="0"/>
        <w:autoSpaceDN w:val="0"/>
        <w:adjustRightInd w:val="0"/>
        <w:spacing w:line="241" w:lineRule="atLeast"/>
        <w:ind w:right="-351"/>
        <w:rPr>
          <w:rFonts w:eastAsia="SimSun" w:cs="Arial"/>
          <w:color w:val="000000"/>
          <w:szCs w:val="20"/>
        </w:rPr>
      </w:pPr>
      <w:r>
        <w:rPr>
          <w:color w:val="000000"/>
          <w:szCs w:val="20"/>
        </w:rPr>
        <w:t>• Umsatzrendite (ROS), ausgenommen nicht umgelegte Kosten</w:t>
      </w:r>
      <w:r>
        <w:rPr>
          <w:color w:val="000000"/>
          <w:szCs w:val="20"/>
          <w:vertAlign w:val="superscript"/>
        </w:rPr>
        <w:t>2</w:t>
      </w:r>
      <w:r>
        <w:rPr>
          <w:color w:val="000000"/>
          <w:szCs w:val="20"/>
        </w:rPr>
        <w:t xml:space="preserve">, auf 13,7 Prozent gestiegen (2018: 12,1 Prozent) </w:t>
      </w:r>
    </w:p>
    <w:p w14:paraId="289AA4B5" w14:textId="77777777" w:rsidR="00555F57" w:rsidRDefault="00555F57" w:rsidP="00FF7EE7">
      <w:pPr>
        <w:autoSpaceDE w:val="0"/>
        <w:autoSpaceDN w:val="0"/>
        <w:adjustRightInd w:val="0"/>
        <w:spacing w:line="241" w:lineRule="atLeast"/>
        <w:ind w:right="-351"/>
        <w:rPr>
          <w:rFonts w:eastAsia="SimSun" w:cs="Arial"/>
          <w:color w:val="000000"/>
          <w:szCs w:val="20"/>
        </w:rPr>
      </w:pPr>
      <w:r>
        <w:rPr>
          <w:color w:val="000000"/>
          <w:szCs w:val="20"/>
        </w:rPr>
        <w:t xml:space="preserve">• Aufgrund Fokus auf bessere Werthaltigkeit </w:t>
      </w:r>
      <w:proofErr w:type="spellStart"/>
      <w:r>
        <w:rPr>
          <w:color w:val="000000"/>
          <w:szCs w:val="20"/>
        </w:rPr>
        <w:t>Preismix</w:t>
      </w:r>
      <w:proofErr w:type="spellEnd"/>
      <w:r>
        <w:rPr>
          <w:color w:val="000000"/>
          <w:szCs w:val="20"/>
        </w:rPr>
        <w:t xml:space="preserve"> um fünf Prozent gestiegen und Volumina um sechs Prozent gesunken </w:t>
      </w:r>
    </w:p>
    <w:p w14:paraId="4B3E4A05" w14:textId="77777777" w:rsidR="00555F57" w:rsidRDefault="00555F57" w:rsidP="00FF7EE7">
      <w:pPr>
        <w:autoSpaceDE w:val="0"/>
        <w:autoSpaceDN w:val="0"/>
        <w:adjustRightInd w:val="0"/>
        <w:spacing w:line="241" w:lineRule="atLeast"/>
        <w:ind w:right="-351"/>
        <w:rPr>
          <w:rFonts w:eastAsia="SimSun" w:cs="Arial"/>
          <w:color w:val="000000"/>
          <w:szCs w:val="20"/>
        </w:rPr>
      </w:pPr>
      <w:r>
        <w:rPr>
          <w:color w:val="000000"/>
          <w:szCs w:val="20"/>
        </w:rPr>
        <w:t xml:space="preserve">• Umstrukturierung läuft planmäßig und hat bereits Kosteneinsparungen in Höhe von 43 Millionen Euro erzielt. </w:t>
      </w:r>
    </w:p>
    <w:p w14:paraId="424C2A09" w14:textId="3D25801E" w:rsidR="00A15014" w:rsidRDefault="00555F57" w:rsidP="00FF7EE7">
      <w:pPr>
        <w:autoSpaceDE w:val="0"/>
        <w:autoSpaceDN w:val="0"/>
        <w:adjustRightInd w:val="0"/>
        <w:spacing w:line="241" w:lineRule="atLeast"/>
        <w:ind w:right="-351"/>
        <w:rPr>
          <w:rFonts w:eastAsia="SimSun" w:cs="Arial"/>
          <w:color w:val="000000"/>
          <w:szCs w:val="20"/>
        </w:rPr>
      </w:pPr>
      <w:r>
        <w:rPr>
          <w:color w:val="000000"/>
          <w:szCs w:val="20"/>
        </w:rPr>
        <w:t xml:space="preserve">• Übernahme von </w:t>
      </w:r>
      <w:proofErr w:type="spellStart"/>
      <w:r>
        <w:rPr>
          <w:color w:val="000000"/>
          <w:szCs w:val="20"/>
        </w:rPr>
        <w:t>Mapaero</w:t>
      </w:r>
      <w:proofErr w:type="spellEnd"/>
      <w:r>
        <w:rPr>
          <w:color w:val="000000"/>
          <w:szCs w:val="20"/>
        </w:rPr>
        <w:t xml:space="preserve"> am 18. Juli 2019 bekannt gegeben, Verstärkung des Geschäfts mit Lacken für die Luftfahrtindustrie</w:t>
      </w:r>
    </w:p>
    <w:p w14:paraId="62B0C76D" w14:textId="77777777" w:rsidR="00CE75FA" w:rsidRPr="000C3070" w:rsidRDefault="00CE75FA" w:rsidP="00FF7EE7">
      <w:pPr>
        <w:autoSpaceDE w:val="0"/>
        <w:autoSpaceDN w:val="0"/>
        <w:adjustRightInd w:val="0"/>
        <w:spacing w:line="241" w:lineRule="atLeast"/>
        <w:ind w:right="-351"/>
        <w:rPr>
          <w:rFonts w:eastAsia="SimSun" w:cs="Arial"/>
          <w:color w:val="000000"/>
          <w:szCs w:val="20"/>
        </w:rPr>
      </w:pPr>
    </w:p>
    <w:p w14:paraId="57B83AB3" w14:textId="77777777" w:rsidR="00CE75FA" w:rsidRPr="00823E77" w:rsidRDefault="00CE75FA" w:rsidP="00CE75FA">
      <w:pPr>
        <w:autoSpaceDE w:val="0"/>
        <w:autoSpaceDN w:val="0"/>
        <w:adjustRightInd w:val="0"/>
        <w:spacing w:line="241" w:lineRule="atLeast"/>
        <w:ind w:right="-351"/>
        <w:rPr>
          <w:rFonts w:cs="Arial"/>
          <w:b/>
          <w:szCs w:val="20"/>
        </w:rPr>
      </w:pPr>
      <w:r>
        <w:rPr>
          <w:b/>
          <w:szCs w:val="20"/>
        </w:rPr>
        <w:t xml:space="preserve">Q2 2019: </w:t>
      </w:r>
    </w:p>
    <w:p w14:paraId="07F2ACA9" w14:textId="1A4B53D6" w:rsidR="00CE75FA" w:rsidRDefault="00CE75FA" w:rsidP="00CE75FA">
      <w:pPr>
        <w:autoSpaceDE w:val="0"/>
        <w:autoSpaceDN w:val="0"/>
        <w:adjustRightInd w:val="0"/>
        <w:spacing w:line="241" w:lineRule="atLeast"/>
        <w:ind w:right="-351"/>
        <w:rPr>
          <w:rFonts w:cs="Arial"/>
          <w:szCs w:val="20"/>
        </w:rPr>
      </w:pPr>
      <w:r>
        <w:t xml:space="preserve">• Umsatz gleichbleibend. Auf Basis konstanter Wechselkurse nahm der Umsatz jedoch um ein Prozent zu. Positiver </w:t>
      </w:r>
      <w:proofErr w:type="spellStart"/>
      <w:r>
        <w:t>Preismix</w:t>
      </w:r>
      <w:proofErr w:type="spellEnd"/>
      <w:r>
        <w:t xml:space="preserve"> von fünf Prozent und Zukäufe von einem Prozent werden durch Volumensenkung um sechs Prozent ausgeglichen. </w:t>
      </w:r>
    </w:p>
    <w:p w14:paraId="6B55983C" w14:textId="528E1DA3" w:rsidR="00823E77" w:rsidRDefault="00CE75FA" w:rsidP="00CE75FA">
      <w:pPr>
        <w:autoSpaceDE w:val="0"/>
        <w:autoSpaceDN w:val="0"/>
        <w:adjustRightInd w:val="0"/>
        <w:spacing w:line="241" w:lineRule="atLeast"/>
        <w:ind w:right="-351"/>
        <w:rPr>
          <w:rFonts w:cs="Arial"/>
          <w:szCs w:val="20"/>
        </w:rPr>
      </w:pPr>
      <w:r>
        <w:t>• Steigerung des bereinigten Betriebsergebnisses um 36 Prozent auf 305 Millionen Euro (2018: 225 Millionen Euro, davon 20 Millionen Euro Einmalkosten), dank fortgesetzter Initiativen zur Preisgestaltung und Kosteneinsparprogramme; Umsatzrendite (ROS) steht bei 12,4 Prozent (2018: 9,2 Prozent).</w:t>
      </w:r>
      <w:r>
        <w:br/>
        <w:t xml:space="preserve">• Betriebsergebnis in Höhe von 308 Millionen Euro beinhaltet günstige Sondereffekte in Höhe von drei Millionen Euro aus Veräußerung nach </w:t>
      </w:r>
      <w:r w:rsidR="006A5C22">
        <w:t>Optimierung der Anlagestruktur</w:t>
      </w:r>
      <w:r>
        <w:t xml:space="preserve"> (57 Millionen Euro) und Kosten der Umstrukturierung (54 Millionen Euro). Das Betriebsergebnis aus 2018 in Höhe von 192 Millionen Euro beinhaltete ungünstige Sondereffekte in Höhe von 33 Millionen Euro.</w:t>
      </w:r>
    </w:p>
    <w:p w14:paraId="6942D0E1" w14:textId="10191FC4" w:rsidR="00823E77" w:rsidRPr="006A5C22" w:rsidRDefault="00CE75FA" w:rsidP="00CE75FA">
      <w:pPr>
        <w:autoSpaceDE w:val="0"/>
        <w:autoSpaceDN w:val="0"/>
        <w:adjustRightInd w:val="0"/>
        <w:spacing w:line="241" w:lineRule="atLeast"/>
        <w:ind w:right="-351"/>
      </w:pPr>
      <w:r>
        <w:t xml:space="preserve">• Umsatzrendite (ROS) von Decorative </w:t>
      </w:r>
      <w:proofErr w:type="spellStart"/>
      <w:r>
        <w:t>Paints</w:t>
      </w:r>
      <w:proofErr w:type="spellEnd"/>
      <w:r>
        <w:t xml:space="preserve"> auf 13,5 Prozent (2018: 12,2 Prozent)</w:t>
      </w:r>
      <w:r w:rsidR="006A5C22">
        <w:t xml:space="preserve"> gestiegen</w:t>
      </w:r>
      <w:r>
        <w:t>; Umsatzrendite von Performance Coatings auf 13,6 Prozent (2018: 11,8 Prozent)</w:t>
      </w:r>
      <w:r w:rsidR="006A5C22">
        <w:t xml:space="preserve"> gestiegen</w:t>
      </w:r>
      <w:r>
        <w:t xml:space="preserve">. </w:t>
      </w:r>
    </w:p>
    <w:p w14:paraId="3817C792" w14:textId="578D6C4E" w:rsidR="00555F57" w:rsidRDefault="00CE75FA" w:rsidP="00CE75FA">
      <w:pPr>
        <w:autoSpaceDE w:val="0"/>
        <w:autoSpaceDN w:val="0"/>
        <w:adjustRightInd w:val="0"/>
        <w:spacing w:line="241" w:lineRule="atLeast"/>
        <w:ind w:right="-351"/>
        <w:rPr>
          <w:rFonts w:cs="Arial"/>
          <w:szCs w:val="20"/>
        </w:rPr>
      </w:pPr>
      <w:r>
        <w:t>• Bereinigtes Ergebnis je Aktie aus fortgeführten Aktivitäten um 85 Prozent auf 0,96 Euro gestiegen (2018: 0,52 Euro). Ergebnis je Aktie aus sämtlichen Aktivitäten: 1,07 Euro (2018: 1,06 Euro).</w:t>
      </w:r>
    </w:p>
    <w:p w14:paraId="1F64DA37" w14:textId="77777777" w:rsidR="00CE75FA" w:rsidRPr="000C3070" w:rsidRDefault="00CE75FA" w:rsidP="00CE75FA">
      <w:pPr>
        <w:autoSpaceDE w:val="0"/>
        <w:autoSpaceDN w:val="0"/>
        <w:adjustRightInd w:val="0"/>
        <w:spacing w:line="241" w:lineRule="atLeast"/>
        <w:ind w:right="-351"/>
        <w:rPr>
          <w:rFonts w:cs="Arial"/>
          <w:szCs w:val="20"/>
          <w:highlight w:val="yellow"/>
        </w:rPr>
      </w:pPr>
    </w:p>
    <w:p w14:paraId="05A91026" w14:textId="41EE82F3" w:rsidR="00076B74" w:rsidRPr="00346FA1" w:rsidRDefault="00072526" w:rsidP="00076B74">
      <w:pPr>
        <w:autoSpaceDE w:val="0"/>
        <w:autoSpaceDN w:val="0"/>
        <w:adjustRightInd w:val="0"/>
        <w:spacing w:after="0" w:line="240" w:lineRule="auto"/>
        <w:ind w:right="-351"/>
        <w:rPr>
          <w:rFonts w:cs="Arial"/>
          <w:b/>
          <w:bCs/>
          <w:szCs w:val="20"/>
        </w:rPr>
      </w:pPr>
      <w:bookmarkStart w:id="2" w:name="_Hlk6569419"/>
      <w:r>
        <w:rPr>
          <w:b/>
          <w:szCs w:val="20"/>
        </w:rPr>
        <w:t xml:space="preserve">AkzoNobel CEO Thierry </w:t>
      </w:r>
      <w:proofErr w:type="spellStart"/>
      <w:r>
        <w:rPr>
          <w:b/>
          <w:szCs w:val="20"/>
        </w:rPr>
        <w:t>Vanlancker</w:t>
      </w:r>
      <w:proofErr w:type="spellEnd"/>
      <w:r>
        <w:rPr>
          <w:b/>
          <w:szCs w:val="20"/>
        </w:rPr>
        <w:t xml:space="preserve"> kommentiert:</w:t>
      </w:r>
    </w:p>
    <w:p w14:paraId="363F4DD1" w14:textId="0070C751" w:rsidR="009979F4" w:rsidRDefault="0046129C" w:rsidP="0046129C">
      <w:pPr>
        <w:pStyle w:val="paragraph"/>
        <w:textAlignment w:val="baseline"/>
        <w:rPr>
          <w:rStyle w:val="normaltextrun1"/>
          <w:rFonts w:ascii="Arial" w:hAnsi="Arial" w:cs="Arial"/>
          <w:sz w:val="20"/>
          <w:szCs w:val="22"/>
        </w:rPr>
      </w:pPr>
      <w:bookmarkStart w:id="3" w:name="_Hlk6398964"/>
      <w:r>
        <w:rPr>
          <w:rStyle w:val="normaltextrun1"/>
          <w:rFonts w:ascii="Arial" w:hAnsi="Arial"/>
          <w:sz w:val="20"/>
          <w:szCs w:val="22"/>
        </w:rPr>
        <w:t>„Wir konzentrieren uns weiterhin auf unsere Strategie „</w:t>
      </w:r>
      <w:r w:rsidR="003C5D45">
        <w:rPr>
          <w:rStyle w:val="normaltextrun1"/>
          <w:rFonts w:ascii="Arial" w:hAnsi="Arial"/>
          <w:sz w:val="20"/>
          <w:szCs w:val="22"/>
        </w:rPr>
        <w:t>Gemeinsam gewinnen</w:t>
      </w:r>
      <w:r>
        <w:rPr>
          <w:rStyle w:val="normaltextrun1"/>
          <w:rFonts w:ascii="Arial" w:hAnsi="Arial"/>
          <w:sz w:val="20"/>
          <w:szCs w:val="22"/>
        </w:rPr>
        <w:t xml:space="preserve">: 15 </w:t>
      </w:r>
      <w:proofErr w:type="spellStart"/>
      <w:r>
        <w:rPr>
          <w:rStyle w:val="normaltextrun1"/>
          <w:rFonts w:ascii="Arial" w:hAnsi="Arial"/>
          <w:sz w:val="20"/>
          <w:szCs w:val="22"/>
        </w:rPr>
        <w:t>by</w:t>
      </w:r>
      <w:proofErr w:type="spellEnd"/>
      <w:r>
        <w:rPr>
          <w:rStyle w:val="normaltextrun1"/>
          <w:rFonts w:ascii="Arial" w:hAnsi="Arial"/>
          <w:sz w:val="20"/>
          <w:szCs w:val="22"/>
        </w:rPr>
        <w:t xml:space="preserve"> 20“. Unsere Ergebnisse im ersten Quartal mit einer Gewinnsteigerung um 36 Prozent zeigen, dass wir auf dem richtigen Weg sind. Die Umsatzrendite im Quartal in Höhe von 13,7 Prozent hat uns unserem Ziel, bis 2020 15 Prozent zu erreichen, ein Stück </w:t>
      </w:r>
      <w:r w:rsidR="003C5D45">
        <w:rPr>
          <w:rStyle w:val="normaltextrun1"/>
          <w:rFonts w:ascii="Arial" w:hAnsi="Arial"/>
          <w:sz w:val="20"/>
          <w:szCs w:val="22"/>
        </w:rPr>
        <w:t>nähergebracht</w:t>
      </w:r>
      <w:bookmarkStart w:id="4" w:name="_GoBack"/>
      <w:bookmarkEnd w:id="4"/>
      <w:r>
        <w:rPr>
          <w:rStyle w:val="normaltextrun1"/>
          <w:rFonts w:ascii="Arial" w:hAnsi="Arial"/>
          <w:sz w:val="20"/>
          <w:szCs w:val="22"/>
        </w:rPr>
        <w:t>.</w:t>
      </w:r>
    </w:p>
    <w:p w14:paraId="3A4028E9" w14:textId="77777777" w:rsidR="0058447D" w:rsidRPr="000C3070" w:rsidRDefault="0058447D" w:rsidP="00A15F1B">
      <w:pPr>
        <w:pStyle w:val="paragraph"/>
        <w:textAlignment w:val="baseline"/>
        <w:rPr>
          <w:rStyle w:val="normaltextrun1"/>
          <w:rFonts w:ascii="Arial" w:hAnsi="Arial" w:cs="Arial"/>
          <w:sz w:val="20"/>
          <w:szCs w:val="20"/>
        </w:rPr>
      </w:pPr>
    </w:p>
    <w:p w14:paraId="4C8F0DE7" w14:textId="2EB6EA1D" w:rsidR="004E5143" w:rsidRDefault="00AE667C" w:rsidP="00A15F1B">
      <w:pPr>
        <w:pStyle w:val="paragraph"/>
        <w:textAlignment w:val="baseline"/>
        <w:rPr>
          <w:rStyle w:val="normaltextrun1"/>
          <w:rFonts w:ascii="Arial" w:hAnsi="Arial" w:cs="Arial"/>
          <w:sz w:val="20"/>
          <w:szCs w:val="20"/>
        </w:rPr>
      </w:pPr>
      <w:r>
        <w:rPr>
          <w:rStyle w:val="normaltextrun1"/>
          <w:rFonts w:ascii="Arial" w:hAnsi="Arial"/>
          <w:sz w:val="20"/>
          <w:szCs w:val="20"/>
        </w:rPr>
        <w:t xml:space="preserve">Dieses Quartal war besonders wichtig für uns. Wir haben bewiesen, dass unsere Strategie funktioniert. </w:t>
      </w:r>
      <w:bookmarkStart w:id="5" w:name="_Hlk14446380"/>
      <w:r>
        <w:rPr>
          <w:rStyle w:val="normaltextrun1"/>
          <w:rFonts w:ascii="Arial" w:hAnsi="Arial"/>
          <w:sz w:val="20"/>
        </w:rPr>
        <w:t>Die Leistung im zweiten Quartal konnte im Wesentlichen aufgrund unserer fortgesetzten Initiativen zur Preisgestaltung und unserer Kosteneinsparprogramme gesteigert werden, obwohl es im Geschäftsumfeld weiterhin starke Gegenwinde gibt.</w:t>
      </w:r>
      <w:r>
        <w:rPr>
          <w:rStyle w:val="normaltextrun1"/>
          <w:rFonts w:ascii="Arial" w:hAnsi="Arial"/>
          <w:sz w:val="20"/>
          <w:szCs w:val="20"/>
        </w:rPr>
        <w:t xml:space="preserve"> </w:t>
      </w:r>
      <w:bookmarkStart w:id="6" w:name="_Hlk14446408"/>
      <w:bookmarkEnd w:id="5"/>
      <w:r>
        <w:rPr>
          <w:rStyle w:val="normaltextrun1"/>
          <w:rFonts w:ascii="Arial" w:hAnsi="Arial"/>
          <w:sz w:val="20"/>
          <w:szCs w:val="20"/>
        </w:rPr>
        <w:t>Dies ist eine schöne Bestätigung für unser Unternehmen und stimmt uns positiv auf unserem Weg nach vorne.</w:t>
      </w:r>
    </w:p>
    <w:p w14:paraId="765D8D38" w14:textId="77777777" w:rsidR="004E5143" w:rsidRPr="000C3070" w:rsidRDefault="004E5143" w:rsidP="00A15F1B">
      <w:pPr>
        <w:pStyle w:val="paragraph"/>
        <w:textAlignment w:val="baseline"/>
        <w:rPr>
          <w:rStyle w:val="normaltextrun1"/>
          <w:rFonts w:ascii="Arial" w:hAnsi="Arial" w:cs="Arial"/>
          <w:sz w:val="20"/>
          <w:szCs w:val="20"/>
        </w:rPr>
      </w:pPr>
    </w:p>
    <w:p w14:paraId="0AB269E5" w14:textId="78755EF7" w:rsidR="000172F6" w:rsidRPr="00C37361" w:rsidRDefault="00CB2C92" w:rsidP="00A15F1B">
      <w:pPr>
        <w:pStyle w:val="paragraph"/>
        <w:textAlignment w:val="baseline"/>
      </w:pPr>
      <w:r>
        <w:rPr>
          <w:rStyle w:val="normaltextrun1"/>
          <w:rFonts w:ascii="Arial" w:hAnsi="Arial"/>
          <w:sz w:val="20"/>
        </w:rPr>
        <w:t>Angesichts de</w:t>
      </w:r>
      <w:r w:rsidR="003C5D45">
        <w:rPr>
          <w:rStyle w:val="normaltextrun1"/>
          <w:rFonts w:ascii="Arial" w:hAnsi="Arial"/>
          <w:sz w:val="20"/>
        </w:rPr>
        <w:t>r</w:t>
      </w:r>
      <w:r>
        <w:rPr>
          <w:rStyle w:val="normaltextrun1"/>
          <w:rFonts w:ascii="Arial" w:hAnsi="Arial"/>
          <w:sz w:val="20"/>
        </w:rPr>
        <w:t xml:space="preserve"> entspannteren Marktlage richten wir unser Augenmerk weiterhin auf die Umsetzung unserer Strategie und investieren in strategische Wachstumsmöglichkeiten, um uns als feste Größe in der Farben- und Lackindustrie zu etablieren.“</w:t>
      </w:r>
    </w:p>
    <w:bookmarkEnd w:id="2"/>
    <w:bookmarkEnd w:id="3"/>
    <w:bookmarkEnd w:id="6"/>
    <w:p w14:paraId="2918BE22" w14:textId="37F78714" w:rsidR="00780111" w:rsidRPr="000C3070" w:rsidRDefault="00780111" w:rsidP="00780111">
      <w:pPr>
        <w:spacing w:line="240" w:lineRule="auto"/>
        <w:ind w:right="-351"/>
        <w:rPr>
          <w:rFonts w:cs="Arial"/>
          <w:b/>
          <w:szCs w:val="20"/>
        </w:rPr>
      </w:pPr>
    </w:p>
    <w:tbl>
      <w:tblPr>
        <w:tblStyle w:val="Tabellenraster"/>
        <w:tblW w:w="0" w:type="auto"/>
        <w:tblLook w:val="04A0" w:firstRow="1" w:lastRow="0" w:firstColumn="1" w:lastColumn="0" w:noHBand="0" w:noVBand="1"/>
      </w:tblPr>
      <w:tblGrid>
        <w:gridCol w:w="3606"/>
        <w:gridCol w:w="1352"/>
        <w:gridCol w:w="1352"/>
        <w:gridCol w:w="1344"/>
        <w:gridCol w:w="1345"/>
      </w:tblGrid>
      <w:tr w:rsidR="00780111" w:rsidRPr="00346FA1" w14:paraId="60B53456" w14:textId="77777777" w:rsidTr="00F92643">
        <w:tc>
          <w:tcPr>
            <w:tcW w:w="3606" w:type="dxa"/>
            <w:shd w:val="clear" w:color="auto" w:fill="1F497D" w:themeFill="text2"/>
          </w:tcPr>
          <w:p w14:paraId="3542DF64" w14:textId="77777777" w:rsidR="00780111" w:rsidRPr="00346FA1" w:rsidRDefault="00780111" w:rsidP="00D55789">
            <w:pPr>
              <w:spacing w:before="20" w:line="240" w:lineRule="auto"/>
              <w:ind w:right="-351"/>
              <w:rPr>
                <w:rFonts w:cs="Arial"/>
                <w:b/>
                <w:color w:val="FFFFFF" w:themeColor="background1"/>
              </w:rPr>
            </w:pPr>
            <w:r>
              <w:rPr>
                <w:b/>
                <w:color w:val="FFFFFF" w:themeColor="background1"/>
              </w:rPr>
              <w:t>AkzoNobel</w:t>
            </w:r>
            <w:r>
              <w:rPr>
                <w:color w:val="FFFFFF" w:themeColor="background1"/>
              </w:rPr>
              <w:t xml:space="preserve"> in Millionen Euro</w:t>
            </w:r>
          </w:p>
        </w:tc>
        <w:tc>
          <w:tcPr>
            <w:tcW w:w="1352" w:type="dxa"/>
            <w:shd w:val="clear" w:color="auto" w:fill="1F497D" w:themeFill="text2"/>
          </w:tcPr>
          <w:p w14:paraId="6180CC47" w14:textId="2C8ED557" w:rsidR="00780111" w:rsidRPr="00346FA1" w:rsidRDefault="00780111" w:rsidP="00D55789">
            <w:pPr>
              <w:spacing w:line="240" w:lineRule="auto"/>
              <w:ind w:right="-351"/>
              <w:rPr>
                <w:rFonts w:cs="Arial"/>
                <w:b/>
                <w:color w:val="FFFFFF" w:themeColor="background1"/>
              </w:rPr>
            </w:pPr>
            <w:r>
              <w:rPr>
                <w:b/>
                <w:color w:val="FFFFFF" w:themeColor="background1"/>
              </w:rPr>
              <w:t>Q2 2018</w:t>
            </w:r>
          </w:p>
        </w:tc>
        <w:tc>
          <w:tcPr>
            <w:tcW w:w="1352" w:type="dxa"/>
            <w:shd w:val="clear" w:color="auto" w:fill="1F497D" w:themeFill="text2"/>
          </w:tcPr>
          <w:p w14:paraId="2529AE8A" w14:textId="2395527F" w:rsidR="00780111" w:rsidRPr="00346FA1" w:rsidRDefault="00780111" w:rsidP="00D55789">
            <w:pPr>
              <w:spacing w:line="240" w:lineRule="auto"/>
              <w:ind w:right="-351"/>
              <w:rPr>
                <w:rFonts w:cs="Arial"/>
                <w:b/>
                <w:color w:val="FFFFFF" w:themeColor="background1"/>
              </w:rPr>
            </w:pPr>
            <w:r>
              <w:rPr>
                <w:b/>
                <w:color w:val="FFFFFF" w:themeColor="background1"/>
              </w:rPr>
              <w:t>Q2 2019</w:t>
            </w:r>
          </w:p>
        </w:tc>
        <w:tc>
          <w:tcPr>
            <w:tcW w:w="1344" w:type="dxa"/>
            <w:shd w:val="clear" w:color="auto" w:fill="1F497D" w:themeFill="text2"/>
          </w:tcPr>
          <w:p w14:paraId="4B19A971" w14:textId="3AC45405" w:rsidR="00780111" w:rsidRPr="00346FA1" w:rsidRDefault="00780111" w:rsidP="00D55789">
            <w:pPr>
              <w:spacing w:line="240" w:lineRule="auto"/>
              <w:ind w:right="-351"/>
              <w:rPr>
                <w:rFonts w:cs="Arial"/>
                <w:b/>
                <w:color w:val="FFFFFF" w:themeColor="background1"/>
              </w:rPr>
            </w:pPr>
            <w:r>
              <w:rPr>
                <w:b/>
                <w:color w:val="FFFFFF" w:themeColor="background1"/>
              </w:rPr>
              <w:t>Δ%</w:t>
            </w:r>
          </w:p>
        </w:tc>
        <w:tc>
          <w:tcPr>
            <w:tcW w:w="1345" w:type="dxa"/>
            <w:shd w:val="clear" w:color="auto" w:fill="1F497D" w:themeFill="text2"/>
          </w:tcPr>
          <w:p w14:paraId="32862E91" w14:textId="7547963F" w:rsidR="00780111" w:rsidRPr="00346FA1" w:rsidRDefault="00780111" w:rsidP="00D55789">
            <w:pPr>
              <w:spacing w:line="240" w:lineRule="auto"/>
              <w:ind w:right="-351"/>
              <w:rPr>
                <w:rFonts w:cs="Arial"/>
                <w:b/>
                <w:color w:val="FFFFFF" w:themeColor="background1"/>
                <w:vertAlign w:val="superscript"/>
              </w:rPr>
            </w:pPr>
            <w:r>
              <w:rPr>
                <w:b/>
                <w:color w:val="FFFFFF" w:themeColor="background1"/>
              </w:rPr>
              <w:t>Delta% CC</w:t>
            </w:r>
            <w:r>
              <w:rPr>
                <w:b/>
                <w:color w:val="FFFFFF" w:themeColor="background1"/>
                <w:vertAlign w:val="superscript"/>
              </w:rPr>
              <w:t>3</w:t>
            </w:r>
          </w:p>
        </w:tc>
      </w:tr>
      <w:tr w:rsidR="00780111" w:rsidRPr="00346FA1" w14:paraId="00A8616C" w14:textId="77777777" w:rsidTr="00F92643">
        <w:tc>
          <w:tcPr>
            <w:tcW w:w="3606" w:type="dxa"/>
          </w:tcPr>
          <w:p w14:paraId="22A5A1E8" w14:textId="3EFCAABF" w:rsidR="00780111" w:rsidRPr="00346FA1" w:rsidRDefault="00780111" w:rsidP="00D55789">
            <w:pPr>
              <w:spacing w:line="240" w:lineRule="auto"/>
              <w:ind w:right="-351"/>
              <w:rPr>
                <w:rFonts w:cs="Arial"/>
              </w:rPr>
            </w:pPr>
            <w:r>
              <w:t>Umsatz</w:t>
            </w:r>
          </w:p>
        </w:tc>
        <w:tc>
          <w:tcPr>
            <w:tcW w:w="1352" w:type="dxa"/>
          </w:tcPr>
          <w:p w14:paraId="474112E1" w14:textId="1AD113C1" w:rsidR="00780111" w:rsidRPr="00346FA1" w:rsidRDefault="00992BFD" w:rsidP="00A12F22">
            <w:pPr>
              <w:spacing w:line="240" w:lineRule="auto"/>
              <w:ind w:right="-351"/>
              <w:rPr>
                <w:rFonts w:cs="Arial"/>
              </w:rPr>
            </w:pPr>
            <w:r>
              <w:t>2.446</w:t>
            </w:r>
          </w:p>
        </w:tc>
        <w:tc>
          <w:tcPr>
            <w:tcW w:w="1352" w:type="dxa"/>
          </w:tcPr>
          <w:p w14:paraId="267E1429" w14:textId="643D012D" w:rsidR="00780111" w:rsidRPr="00346FA1" w:rsidRDefault="00992BFD" w:rsidP="00A12F22">
            <w:pPr>
              <w:spacing w:line="240" w:lineRule="auto"/>
              <w:ind w:right="-351"/>
              <w:rPr>
                <w:rFonts w:cs="Arial"/>
                <w:b/>
              </w:rPr>
            </w:pPr>
            <w:r>
              <w:rPr>
                <w:b/>
              </w:rPr>
              <w:t>2.451</w:t>
            </w:r>
          </w:p>
        </w:tc>
        <w:tc>
          <w:tcPr>
            <w:tcW w:w="1344" w:type="dxa"/>
          </w:tcPr>
          <w:p w14:paraId="4DD83B3D" w14:textId="1B7DE50E" w:rsidR="00780111" w:rsidRPr="00346FA1" w:rsidRDefault="00A12F22" w:rsidP="00A12F22">
            <w:pPr>
              <w:spacing w:line="240" w:lineRule="auto"/>
              <w:ind w:right="-351"/>
              <w:rPr>
                <w:rFonts w:cs="Arial"/>
              </w:rPr>
            </w:pPr>
            <w:r>
              <w:t>-%</w:t>
            </w:r>
          </w:p>
        </w:tc>
        <w:tc>
          <w:tcPr>
            <w:tcW w:w="1345" w:type="dxa"/>
          </w:tcPr>
          <w:p w14:paraId="7B6584E6" w14:textId="47C90B59" w:rsidR="00780111" w:rsidRPr="00346FA1" w:rsidRDefault="00A12F22" w:rsidP="00A12F22">
            <w:pPr>
              <w:spacing w:line="240" w:lineRule="auto"/>
              <w:ind w:right="-351"/>
              <w:rPr>
                <w:rFonts w:cs="Arial"/>
                <w:highlight w:val="yellow"/>
              </w:rPr>
            </w:pPr>
            <w:r>
              <w:t>1%</w:t>
            </w:r>
          </w:p>
        </w:tc>
      </w:tr>
      <w:tr w:rsidR="00E45E82" w:rsidRPr="00346FA1" w14:paraId="54E5EFF0" w14:textId="77777777" w:rsidTr="00A50BA3">
        <w:tc>
          <w:tcPr>
            <w:tcW w:w="3606" w:type="dxa"/>
          </w:tcPr>
          <w:p w14:paraId="634FDA99" w14:textId="34F2BDA7" w:rsidR="00E45E82" w:rsidRDefault="00E45E82" w:rsidP="00E45E82">
            <w:pPr>
              <w:spacing w:line="260" w:lineRule="exact"/>
              <w:ind w:right="-351"/>
              <w:rPr>
                <w:rFonts w:cs="Arial"/>
              </w:rPr>
            </w:pPr>
            <w:r>
              <w:t>Bereinigtes Betriebsergebnis</w:t>
            </w:r>
            <w:r>
              <w:rPr>
                <w:vertAlign w:val="superscript"/>
              </w:rPr>
              <w:t>1</w:t>
            </w:r>
          </w:p>
        </w:tc>
        <w:tc>
          <w:tcPr>
            <w:tcW w:w="1352" w:type="dxa"/>
          </w:tcPr>
          <w:p w14:paraId="09821DFD" w14:textId="5F6273ED" w:rsidR="00E45E82" w:rsidRDefault="00E45E82" w:rsidP="00E45E82">
            <w:pPr>
              <w:spacing w:line="240" w:lineRule="auto"/>
              <w:ind w:right="-351"/>
              <w:rPr>
                <w:rFonts w:cs="Arial"/>
              </w:rPr>
            </w:pPr>
            <w:r>
              <w:t>225</w:t>
            </w:r>
          </w:p>
        </w:tc>
        <w:tc>
          <w:tcPr>
            <w:tcW w:w="1352" w:type="dxa"/>
          </w:tcPr>
          <w:p w14:paraId="5FC536CB" w14:textId="5F063725" w:rsidR="00E45E82" w:rsidRDefault="00E45E82" w:rsidP="00E45E82">
            <w:pPr>
              <w:spacing w:line="240" w:lineRule="auto"/>
              <w:ind w:right="-351"/>
              <w:rPr>
                <w:rFonts w:cs="Arial"/>
                <w:b/>
              </w:rPr>
            </w:pPr>
            <w:r>
              <w:rPr>
                <w:b/>
              </w:rPr>
              <w:t>305</w:t>
            </w:r>
          </w:p>
        </w:tc>
        <w:tc>
          <w:tcPr>
            <w:tcW w:w="1344" w:type="dxa"/>
            <w:shd w:val="clear" w:color="auto" w:fill="FFFFFF" w:themeFill="background1"/>
          </w:tcPr>
          <w:p w14:paraId="2BD3F951" w14:textId="0C7E5D70" w:rsidR="00E45E82" w:rsidRDefault="00E45E82" w:rsidP="00E45E82">
            <w:pPr>
              <w:spacing w:line="240" w:lineRule="auto"/>
              <w:ind w:right="-351"/>
              <w:rPr>
                <w:rFonts w:cs="Arial"/>
              </w:rPr>
            </w:pPr>
            <w:r>
              <w:t>36%</w:t>
            </w:r>
          </w:p>
        </w:tc>
        <w:tc>
          <w:tcPr>
            <w:tcW w:w="1345" w:type="dxa"/>
            <w:shd w:val="clear" w:color="auto" w:fill="DDD9C3" w:themeFill="background2" w:themeFillShade="E6"/>
          </w:tcPr>
          <w:p w14:paraId="7E105DA8" w14:textId="77777777" w:rsidR="00E45E82" w:rsidRPr="00346FA1" w:rsidRDefault="00E45E82" w:rsidP="00E45E82">
            <w:pPr>
              <w:spacing w:line="240" w:lineRule="auto"/>
              <w:ind w:right="-351"/>
              <w:rPr>
                <w:rFonts w:cs="Arial"/>
                <w:b/>
                <w:highlight w:val="yellow"/>
              </w:rPr>
            </w:pPr>
          </w:p>
        </w:tc>
      </w:tr>
      <w:tr w:rsidR="00A50BA3" w:rsidRPr="00346FA1" w14:paraId="191DB6EF" w14:textId="77777777" w:rsidTr="009D5C0B">
        <w:tc>
          <w:tcPr>
            <w:tcW w:w="3606" w:type="dxa"/>
          </w:tcPr>
          <w:p w14:paraId="385F464F" w14:textId="2B8FA56C" w:rsidR="00A50BA3" w:rsidRPr="00346FA1" w:rsidRDefault="00A50BA3" w:rsidP="00A50BA3">
            <w:pPr>
              <w:spacing w:line="260" w:lineRule="exact"/>
              <w:ind w:right="-351"/>
              <w:rPr>
                <w:rFonts w:cs="Arial"/>
              </w:rPr>
            </w:pPr>
            <w:r>
              <w:lastRenderedPageBreak/>
              <w:t>ROS (Umsatzrendite)</w:t>
            </w:r>
          </w:p>
        </w:tc>
        <w:tc>
          <w:tcPr>
            <w:tcW w:w="1352" w:type="dxa"/>
          </w:tcPr>
          <w:p w14:paraId="3A1912B3" w14:textId="40C9F0A2" w:rsidR="00A50BA3" w:rsidRDefault="00A50BA3" w:rsidP="00A50BA3">
            <w:pPr>
              <w:spacing w:line="240" w:lineRule="auto"/>
              <w:ind w:right="-351"/>
              <w:rPr>
                <w:rFonts w:cs="Arial"/>
              </w:rPr>
            </w:pPr>
            <w:r>
              <w:t>9,2%</w:t>
            </w:r>
          </w:p>
        </w:tc>
        <w:tc>
          <w:tcPr>
            <w:tcW w:w="1352" w:type="dxa"/>
          </w:tcPr>
          <w:p w14:paraId="6EEF3A3C" w14:textId="1E214CDF" w:rsidR="00A50BA3" w:rsidRDefault="00A50BA3" w:rsidP="00A50BA3">
            <w:pPr>
              <w:spacing w:line="240" w:lineRule="auto"/>
              <w:ind w:right="-351"/>
              <w:rPr>
                <w:rFonts w:cs="Arial"/>
                <w:b/>
              </w:rPr>
            </w:pPr>
            <w:r>
              <w:rPr>
                <w:b/>
              </w:rPr>
              <w:t>12,4%</w:t>
            </w:r>
          </w:p>
        </w:tc>
        <w:tc>
          <w:tcPr>
            <w:tcW w:w="1344" w:type="dxa"/>
            <w:shd w:val="clear" w:color="auto" w:fill="DDD9C3" w:themeFill="background2" w:themeFillShade="E6"/>
          </w:tcPr>
          <w:p w14:paraId="6A9A0E80" w14:textId="77777777" w:rsidR="00A50BA3" w:rsidRPr="00346FA1" w:rsidRDefault="00A50BA3" w:rsidP="00A50BA3">
            <w:pPr>
              <w:spacing w:line="240" w:lineRule="auto"/>
              <w:ind w:right="-351"/>
              <w:rPr>
                <w:rFonts w:cs="Arial"/>
                <w:b/>
                <w:highlight w:val="yellow"/>
              </w:rPr>
            </w:pPr>
          </w:p>
        </w:tc>
        <w:tc>
          <w:tcPr>
            <w:tcW w:w="1345" w:type="dxa"/>
            <w:shd w:val="clear" w:color="auto" w:fill="DDD9C3" w:themeFill="background2" w:themeFillShade="E6"/>
          </w:tcPr>
          <w:p w14:paraId="332B2456" w14:textId="77777777" w:rsidR="00A50BA3" w:rsidRPr="00346FA1" w:rsidRDefault="00A50BA3" w:rsidP="00A50BA3">
            <w:pPr>
              <w:spacing w:line="240" w:lineRule="auto"/>
              <w:ind w:right="-351"/>
              <w:rPr>
                <w:rFonts w:cs="Arial"/>
                <w:b/>
                <w:highlight w:val="yellow"/>
              </w:rPr>
            </w:pPr>
          </w:p>
        </w:tc>
      </w:tr>
      <w:tr w:rsidR="004D23BA" w:rsidRPr="00346FA1" w14:paraId="14F48ED7" w14:textId="77777777" w:rsidTr="009D5C0B">
        <w:tc>
          <w:tcPr>
            <w:tcW w:w="3606" w:type="dxa"/>
          </w:tcPr>
          <w:p w14:paraId="6A424D21" w14:textId="7E8ECE91" w:rsidR="004D23BA" w:rsidRPr="00346FA1" w:rsidRDefault="004D23BA" w:rsidP="004D23BA">
            <w:pPr>
              <w:spacing w:line="260" w:lineRule="exact"/>
              <w:ind w:right="-351"/>
              <w:rPr>
                <w:rFonts w:cs="Arial"/>
              </w:rPr>
            </w:pPr>
            <w:r>
              <w:t>Umsatzrendite, ausgenommen nicht umgelegte Kosten</w:t>
            </w:r>
            <w:r>
              <w:rPr>
                <w:vertAlign w:val="superscript"/>
              </w:rPr>
              <w:t>2</w:t>
            </w:r>
          </w:p>
        </w:tc>
        <w:tc>
          <w:tcPr>
            <w:tcW w:w="1352" w:type="dxa"/>
          </w:tcPr>
          <w:p w14:paraId="0C95E4C0" w14:textId="47977C6C" w:rsidR="004D23BA" w:rsidRDefault="004D23BA" w:rsidP="004D23BA">
            <w:pPr>
              <w:spacing w:line="240" w:lineRule="auto"/>
              <w:ind w:right="-351"/>
              <w:rPr>
                <w:rFonts w:cs="Arial"/>
              </w:rPr>
            </w:pPr>
            <w:r>
              <w:t>12,1%</w:t>
            </w:r>
          </w:p>
        </w:tc>
        <w:tc>
          <w:tcPr>
            <w:tcW w:w="1352" w:type="dxa"/>
          </w:tcPr>
          <w:p w14:paraId="6D755398" w14:textId="198D1CDE" w:rsidR="004D23BA" w:rsidRDefault="004D23BA" w:rsidP="004D23BA">
            <w:pPr>
              <w:spacing w:line="240" w:lineRule="auto"/>
              <w:ind w:right="-351"/>
              <w:rPr>
                <w:rFonts w:cs="Arial"/>
                <w:b/>
              </w:rPr>
            </w:pPr>
            <w:r>
              <w:rPr>
                <w:b/>
              </w:rPr>
              <w:t>13,7%</w:t>
            </w:r>
          </w:p>
        </w:tc>
        <w:tc>
          <w:tcPr>
            <w:tcW w:w="1344" w:type="dxa"/>
            <w:shd w:val="clear" w:color="auto" w:fill="DDD9C3" w:themeFill="background2" w:themeFillShade="E6"/>
          </w:tcPr>
          <w:p w14:paraId="4914D0C0" w14:textId="77777777" w:rsidR="004D23BA" w:rsidRPr="00346FA1" w:rsidRDefault="004D23BA" w:rsidP="004D23BA">
            <w:pPr>
              <w:spacing w:line="240" w:lineRule="auto"/>
              <w:ind w:right="-351"/>
              <w:rPr>
                <w:rFonts w:cs="Arial"/>
                <w:b/>
                <w:highlight w:val="yellow"/>
              </w:rPr>
            </w:pPr>
          </w:p>
        </w:tc>
        <w:tc>
          <w:tcPr>
            <w:tcW w:w="1345" w:type="dxa"/>
            <w:shd w:val="clear" w:color="auto" w:fill="DDD9C3" w:themeFill="background2" w:themeFillShade="E6"/>
          </w:tcPr>
          <w:p w14:paraId="3E992A32" w14:textId="77777777" w:rsidR="004D23BA" w:rsidRPr="00346FA1" w:rsidRDefault="004D23BA" w:rsidP="004D23BA">
            <w:pPr>
              <w:spacing w:line="240" w:lineRule="auto"/>
              <w:ind w:right="-351"/>
              <w:rPr>
                <w:rFonts w:cs="Arial"/>
                <w:b/>
                <w:highlight w:val="yellow"/>
              </w:rPr>
            </w:pPr>
          </w:p>
        </w:tc>
      </w:tr>
      <w:tr w:rsidR="00CE75FA" w:rsidRPr="00346FA1" w14:paraId="77428272" w14:textId="77777777" w:rsidTr="00CE75FA">
        <w:tc>
          <w:tcPr>
            <w:tcW w:w="3606" w:type="dxa"/>
          </w:tcPr>
          <w:p w14:paraId="4ADB4570" w14:textId="634B33D2" w:rsidR="00CE75FA" w:rsidRPr="00346FA1" w:rsidRDefault="00CE75FA" w:rsidP="00CE75FA">
            <w:pPr>
              <w:spacing w:line="260" w:lineRule="exact"/>
              <w:ind w:right="-351"/>
              <w:rPr>
                <w:rFonts w:cs="Arial"/>
              </w:rPr>
            </w:pPr>
            <w:r>
              <w:t>Betriebsergebnis</w:t>
            </w:r>
          </w:p>
        </w:tc>
        <w:tc>
          <w:tcPr>
            <w:tcW w:w="1352" w:type="dxa"/>
          </w:tcPr>
          <w:p w14:paraId="5903C5CF" w14:textId="570FEF9B" w:rsidR="00CE75FA" w:rsidRDefault="00CE75FA" w:rsidP="00CE75FA">
            <w:pPr>
              <w:spacing w:line="240" w:lineRule="auto"/>
              <w:ind w:right="-351"/>
              <w:rPr>
                <w:rFonts w:cs="Arial"/>
              </w:rPr>
            </w:pPr>
            <w:r>
              <w:t>192</w:t>
            </w:r>
          </w:p>
        </w:tc>
        <w:tc>
          <w:tcPr>
            <w:tcW w:w="1352" w:type="dxa"/>
          </w:tcPr>
          <w:p w14:paraId="00C8742A" w14:textId="1967F1DD" w:rsidR="00CE75FA" w:rsidRDefault="00CE75FA" w:rsidP="00CE75FA">
            <w:pPr>
              <w:spacing w:line="240" w:lineRule="auto"/>
              <w:ind w:right="-351"/>
              <w:rPr>
                <w:rFonts w:cs="Arial"/>
                <w:b/>
              </w:rPr>
            </w:pPr>
            <w:r>
              <w:rPr>
                <w:b/>
              </w:rPr>
              <w:t>308</w:t>
            </w:r>
          </w:p>
        </w:tc>
        <w:tc>
          <w:tcPr>
            <w:tcW w:w="1344" w:type="dxa"/>
            <w:shd w:val="clear" w:color="auto" w:fill="F2F2F2" w:themeFill="background1" w:themeFillShade="F2"/>
          </w:tcPr>
          <w:p w14:paraId="251D1A32" w14:textId="43B67BFC" w:rsidR="00CE75FA" w:rsidRPr="00346FA1" w:rsidRDefault="00CE75FA" w:rsidP="00CE75FA">
            <w:pPr>
              <w:spacing w:line="240" w:lineRule="auto"/>
              <w:ind w:right="-351"/>
              <w:rPr>
                <w:rFonts w:cs="Arial"/>
                <w:b/>
                <w:highlight w:val="yellow"/>
              </w:rPr>
            </w:pPr>
            <w:r>
              <w:t>60%</w:t>
            </w:r>
          </w:p>
        </w:tc>
        <w:tc>
          <w:tcPr>
            <w:tcW w:w="1345" w:type="dxa"/>
            <w:shd w:val="clear" w:color="auto" w:fill="DDD9C3" w:themeFill="background2" w:themeFillShade="E6"/>
          </w:tcPr>
          <w:p w14:paraId="6882A6B6" w14:textId="77777777" w:rsidR="00CE75FA" w:rsidRPr="00346FA1" w:rsidRDefault="00CE75FA" w:rsidP="00CE75FA">
            <w:pPr>
              <w:spacing w:line="240" w:lineRule="auto"/>
              <w:ind w:right="-351"/>
              <w:rPr>
                <w:rFonts w:cs="Arial"/>
                <w:b/>
                <w:highlight w:val="yellow"/>
              </w:rPr>
            </w:pPr>
          </w:p>
        </w:tc>
      </w:tr>
    </w:tbl>
    <w:p w14:paraId="5AF3BD16" w14:textId="435437D5" w:rsidR="00B370B2" w:rsidRDefault="00B370B2" w:rsidP="000524E8">
      <w:pPr>
        <w:pStyle w:val="paragraph"/>
        <w:textAlignment w:val="baseline"/>
        <w:rPr>
          <w:rStyle w:val="normaltextrun1"/>
          <w:rFonts w:ascii="Arial" w:hAnsi="Arial"/>
          <w:sz w:val="20"/>
          <w:szCs w:val="22"/>
          <w:lang w:val="en-GB"/>
        </w:rPr>
      </w:pPr>
    </w:p>
    <w:p w14:paraId="53A9DA25" w14:textId="3570EAF5" w:rsidR="00666F54" w:rsidRPr="00A12F22" w:rsidRDefault="009D5C0B" w:rsidP="000524E8">
      <w:pPr>
        <w:pStyle w:val="paragraph"/>
        <w:textAlignment w:val="baseline"/>
        <w:rPr>
          <w:rStyle w:val="normaltextrun1"/>
          <w:rFonts w:ascii="Arial" w:hAnsi="Arial"/>
          <w:b/>
          <w:sz w:val="20"/>
          <w:szCs w:val="22"/>
        </w:rPr>
      </w:pPr>
      <w:r>
        <w:rPr>
          <w:rStyle w:val="normaltextrun1"/>
          <w:rFonts w:ascii="Arial" w:hAnsi="Arial"/>
          <w:b/>
          <w:sz w:val="20"/>
          <w:szCs w:val="22"/>
        </w:rPr>
        <w:t xml:space="preserve">Höhepunkte der jüngsten Zeit </w:t>
      </w:r>
    </w:p>
    <w:p w14:paraId="047342FB" w14:textId="77777777" w:rsidR="0058447D" w:rsidRDefault="0058447D" w:rsidP="000524E8">
      <w:pPr>
        <w:pStyle w:val="paragraph"/>
        <w:textAlignment w:val="baseline"/>
        <w:rPr>
          <w:rStyle w:val="normaltextrun1"/>
          <w:rFonts w:ascii="Arial" w:hAnsi="Arial" w:cs="Arial"/>
          <w:b/>
          <w:sz w:val="20"/>
          <w:szCs w:val="22"/>
          <w:lang w:val="en-GB"/>
        </w:rPr>
      </w:pPr>
    </w:p>
    <w:p w14:paraId="20215B24" w14:textId="4A6E4C55" w:rsidR="000524E8" w:rsidRPr="000524E8" w:rsidRDefault="00C53C89" w:rsidP="000524E8">
      <w:pPr>
        <w:pStyle w:val="paragraph"/>
        <w:textAlignment w:val="baseline"/>
        <w:rPr>
          <w:rStyle w:val="normaltextrun1"/>
          <w:rFonts w:ascii="Arial" w:hAnsi="Arial" w:cs="Arial"/>
          <w:b/>
          <w:sz w:val="20"/>
          <w:szCs w:val="22"/>
        </w:rPr>
      </w:pPr>
      <w:r>
        <w:rPr>
          <w:rStyle w:val="normaltextrun1"/>
          <w:rFonts w:ascii="Arial" w:hAnsi="Arial"/>
          <w:b/>
          <w:sz w:val="20"/>
          <w:szCs w:val="22"/>
        </w:rPr>
        <w:t>Operation Nachtwache</w:t>
      </w:r>
    </w:p>
    <w:p w14:paraId="3AB2253B" w14:textId="0B4F6990" w:rsidR="000524E8" w:rsidRPr="000524E8" w:rsidRDefault="000524E8" w:rsidP="000524E8">
      <w:pPr>
        <w:pStyle w:val="paragraph"/>
        <w:textAlignment w:val="baseline"/>
        <w:rPr>
          <w:rStyle w:val="normaltextrun1"/>
          <w:rFonts w:ascii="Arial" w:hAnsi="Arial" w:cs="Arial"/>
          <w:sz w:val="20"/>
          <w:szCs w:val="22"/>
        </w:rPr>
      </w:pPr>
      <w:r>
        <w:rPr>
          <w:rStyle w:val="normaltextrun1"/>
          <w:rFonts w:ascii="Arial" w:hAnsi="Arial"/>
          <w:sz w:val="20"/>
          <w:szCs w:val="22"/>
        </w:rPr>
        <w:t xml:space="preserve">Wir haben kürzlich eine Zusammenarbeit mit dem </w:t>
      </w:r>
      <w:proofErr w:type="spellStart"/>
      <w:r>
        <w:rPr>
          <w:rStyle w:val="normaltextrun1"/>
          <w:rFonts w:ascii="Arial" w:hAnsi="Arial"/>
          <w:sz w:val="20"/>
          <w:szCs w:val="22"/>
        </w:rPr>
        <w:t>Rijksmuseum</w:t>
      </w:r>
      <w:proofErr w:type="spellEnd"/>
      <w:r>
        <w:rPr>
          <w:rStyle w:val="normaltextrun1"/>
          <w:rFonts w:ascii="Arial" w:hAnsi="Arial"/>
          <w:sz w:val="20"/>
          <w:szCs w:val="22"/>
        </w:rPr>
        <w:t xml:space="preserve"> </w:t>
      </w:r>
      <w:r w:rsidR="006A5C22">
        <w:rPr>
          <w:rStyle w:val="normaltextrun1"/>
          <w:rFonts w:ascii="Arial" w:hAnsi="Arial"/>
          <w:sz w:val="20"/>
          <w:szCs w:val="22"/>
        </w:rPr>
        <w:t>vereinbart</w:t>
      </w:r>
      <w:r>
        <w:rPr>
          <w:rStyle w:val="normaltextrun1"/>
          <w:rFonts w:ascii="Arial" w:hAnsi="Arial"/>
          <w:sz w:val="20"/>
          <w:szCs w:val="22"/>
        </w:rPr>
        <w:t xml:space="preserve"> und gemeinsam das innovativste Projekt in der Geschichte der Kunst aufgesetzt: die Live-Restaurierung von Rembrandts Nachtwache. Im Rahmen eines spektakulären Zusammenspiels aus Alt und Neu kommen bei der Operation Nachtwache bahnbrechende Technologien zum Einsatz, um das Gemälde für nachfolgende Generationen zu erhalten. Wir tragen unser Fachwissen hinsichtlich Farben zu diesem historischen Projekt bei.  </w:t>
      </w:r>
    </w:p>
    <w:p w14:paraId="5F4B2844" w14:textId="77777777" w:rsidR="000524E8" w:rsidRPr="000C3070" w:rsidRDefault="000524E8" w:rsidP="000524E8">
      <w:pPr>
        <w:pStyle w:val="paragraph"/>
        <w:textAlignment w:val="baseline"/>
        <w:rPr>
          <w:rStyle w:val="normaltextrun1"/>
          <w:rFonts w:ascii="Arial" w:hAnsi="Arial" w:cs="Arial"/>
          <w:sz w:val="20"/>
          <w:szCs w:val="22"/>
        </w:rPr>
      </w:pPr>
    </w:p>
    <w:p w14:paraId="4F0D014A" w14:textId="291BCB19" w:rsidR="00B06631" w:rsidRPr="000524E8" w:rsidRDefault="00B06631" w:rsidP="00B06631">
      <w:pPr>
        <w:pStyle w:val="paragraph"/>
        <w:textAlignment w:val="baseline"/>
        <w:rPr>
          <w:rStyle w:val="normaltextrun1"/>
          <w:rFonts w:ascii="Arial" w:hAnsi="Arial" w:cs="Arial"/>
          <w:b/>
          <w:sz w:val="20"/>
          <w:szCs w:val="22"/>
        </w:rPr>
      </w:pPr>
      <w:r>
        <w:rPr>
          <w:rStyle w:val="normaltextrun1"/>
          <w:rFonts w:ascii="Arial" w:hAnsi="Arial"/>
          <w:b/>
          <w:sz w:val="20"/>
          <w:szCs w:val="22"/>
        </w:rPr>
        <w:t>Neues Farbsortim</w:t>
      </w:r>
      <w:r w:rsidR="006A5C22">
        <w:rPr>
          <w:rStyle w:val="normaltextrun1"/>
          <w:rFonts w:ascii="Arial" w:hAnsi="Arial"/>
          <w:b/>
          <w:sz w:val="20"/>
          <w:szCs w:val="22"/>
        </w:rPr>
        <w:t>ent erobert französischen Markt.</w:t>
      </w:r>
    </w:p>
    <w:p w14:paraId="40F7427C" w14:textId="2498EB84" w:rsidR="00B06631" w:rsidRDefault="00B06631" w:rsidP="00B06631">
      <w:pPr>
        <w:pStyle w:val="paragraph"/>
        <w:textAlignment w:val="baseline"/>
        <w:rPr>
          <w:rStyle w:val="normaltextrun1"/>
          <w:rFonts w:ascii="Arial" w:hAnsi="Arial" w:cs="Arial"/>
          <w:sz w:val="20"/>
          <w:szCs w:val="22"/>
        </w:rPr>
      </w:pPr>
      <w:r>
        <w:rPr>
          <w:rStyle w:val="normaltextrun1"/>
          <w:rFonts w:ascii="Arial" w:hAnsi="Arial"/>
          <w:sz w:val="20"/>
          <w:szCs w:val="22"/>
        </w:rPr>
        <w:t xml:space="preserve">Unsere Farbe </w:t>
      </w:r>
      <w:proofErr w:type="spellStart"/>
      <w:r>
        <w:rPr>
          <w:rStyle w:val="normaltextrun1"/>
          <w:rFonts w:ascii="Arial" w:hAnsi="Arial"/>
          <w:sz w:val="20"/>
          <w:szCs w:val="22"/>
        </w:rPr>
        <w:t>Dulux</w:t>
      </w:r>
      <w:proofErr w:type="spellEnd"/>
      <w:r>
        <w:rPr>
          <w:rStyle w:val="normaltextrun1"/>
          <w:rFonts w:ascii="Arial" w:hAnsi="Arial"/>
          <w:sz w:val="20"/>
          <w:szCs w:val="22"/>
        </w:rPr>
        <w:t xml:space="preserve"> Valentine hat mit dem neuen </w:t>
      </w:r>
      <w:proofErr w:type="spellStart"/>
      <w:r>
        <w:rPr>
          <w:rStyle w:val="normaltextrun1"/>
          <w:rFonts w:ascii="Arial" w:hAnsi="Arial"/>
          <w:sz w:val="20"/>
          <w:szCs w:val="22"/>
        </w:rPr>
        <w:t>EasyCare</w:t>
      </w:r>
      <w:proofErr w:type="spellEnd"/>
      <w:r>
        <w:rPr>
          <w:rStyle w:val="normaltextrun1"/>
          <w:rFonts w:ascii="Arial" w:hAnsi="Arial"/>
          <w:sz w:val="20"/>
          <w:szCs w:val="22"/>
        </w:rPr>
        <w:t xml:space="preserve">-Produkt „Color </w:t>
      </w:r>
      <w:proofErr w:type="spellStart"/>
      <w:r>
        <w:rPr>
          <w:rStyle w:val="normaltextrun1"/>
          <w:rFonts w:ascii="Arial" w:hAnsi="Arial"/>
          <w:sz w:val="20"/>
          <w:szCs w:val="22"/>
        </w:rPr>
        <w:t>Resist</w:t>
      </w:r>
      <w:proofErr w:type="spellEnd"/>
      <w:r>
        <w:rPr>
          <w:rStyle w:val="normaltextrun1"/>
          <w:rFonts w:ascii="Arial" w:hAnsi="Arial"/>
          <w:sz w:val="20"/>
          <w:szCs w:val="22"/>
        </w:rPr>
        <w:t xml:space="preserve">“ den französischen Markt im Sturm genommen. Das </w:t>
      </w:r>
      <w:proofErr w:type="spellStart"/>
      <w:r>
        <w:rPr>
          <w:rStyle w:val="normaltextrun1"/>
          <w:rFonts w:ascii="Arial" w:hAnsi="Arial"/>
          <w:sz w:val="20"/>
          <w:szCs w:val="22"/>
        </w:rPr>
        <w:t>EasyCare</w:t>
      </w:r>
      <w:proofErr w:type="spellEnd"/>
      <w:r>
        <w:rPr>
          <w:rStyle w:val="normaltextrun1"/>
          <w:rFonts w:ascii="Arial" w:hAnsi="Arial"/>
          <w:sz w:val="20"/>
          <w:szCs w:val="22"/>
        </w:rPr>
        <w:t xml:space="preserve">-Sortiment (auch unter dem Namen </w:t>
      </w:r>
      <w:proofErr w:type="spellStart"/>
      <w:r>
        <w:rPr>
          <w:rStyle w:val="normaltextrun1"/>
          <w:rFonts w:ascii="Arial" w:hAnsi="Arial"/>
          <w:sz w:val="20"/>
          <w:szCs w:val="22"/>
        </w:rPr>
        <w:t>EasyClean</w:t>
      </w:r>
      <w:proofErr w:type="spellEnd"/>
      <w:r>
        <w:rPr>
          <w:rStyle w:val="normaltextrun1"/>
          <w:rFonts w:ascii="Arial" w:hAnsi="Arial"/>
          <w:sz w:val="20"/>
          <w:szCs w:val="22"/>
        </w:rPr>
        <w:t xml:space="preserve"> bekannt) ist nun in 26 Ländern weltweit erhältlich, unter anderem mit den Marken </w:t>
      </w:r>
      <w:proofErr w:type="spellStart"/>
      <w:r>
        <w:rPr>
          <w:rStyle w:val="normaltextrun1"/>
          <w:rFonts w:ascii="Arial" w:hAnsi="Arial"/>
          <w:sz w:val="20"/>
          <w:szCs w:val="22"/>
        </w:rPr>
        <w:t>Dulux</w:t>
      </w:r>
      <w:proofErr w:type="spellEnd"/>
      <w:r>
        <w:rPr>
          <w:rStyle w:val="normaltextrun1"/>
          <w:rFonts w:ascii="Arial" w:hAnsi="Arial"/>
          <w:sz w:val="20"/>
          <w:szCs w:val="22"/>
        </w:rPr>
        <w:t xml:space="preserve"> und Marshall. Die Markteinführung in Frankreich war ein großartiger Erfolg. Bis August sind groß angelegte Fernsehkampagnen</w:t>
      </w:r>
      <w:r w:rsidR="006A5C22">
        <w:rPr>
          <w:rStyle w:val="normaltextrun1"/>
          <w:rFonts w:ascii="Arial" w:hAnsi="Arial"/>
          <w:sz w:val="20"/>
          <w:szCs w:val="22"/>
        </w:rPr>
        <w:t xml:space="preserve"> geplant. Die französische Marke</w:t>
      </w:r>
      <w:r>
        <w:rPr>
          <w:rStyle w:val="normaltextrun1"/>
          <w:rFonts w:ascii="Arial" w:hAnsi="Arial"/>
          <w:sz w:val="20"/>
          <w:szCs w:val="22"/>
        </w:rPr>
        <w:t xml:space="preserve">, die einen schwarzen Panther auf der Verpackung trägt, hat das Color </w:t>
      </w:r>
      <w:proofErr w:type="spellStart"/>
      <w:r>
        <w:rPr>
          <w:rStyle w:val="normaltextrun1"/>
          <w:rFonts w:ascii="Arial" w:hAnsi="Arial"/>
          <w:sz w:val="20"/>
          <w:szCs w:val="22"/>
        </w:rPr>
        <w:t>Resist</w:t>
      </w:r>
      <w:proofErr w:type="spellEnd"/>
      <w:r>
        <w:rPr>
          <w:rStyle w:val="normaltextrun1"/>
          <w:rFonts w:ascii="Arial" w:hAnsi="Arial"/>
          <w:sz w:val="20"/>
          <w:szCs w:val="22"/>
        </w:rPr>
        <w:t xml:space="preserve">-Sortiment im April auf den Markt gebracht.  </w:t>
      </w:r>
    </w:p>
    <w:p w14:paraId="69271C87" w14:textId="77777777" w:rsidR="00B06631" w:rsidRPr="000C3070" w:rsidRDefault="00B06631" w:rsidP="00B06631">
      <w:pPr>
        <w:pStyle w:val="paragraph"/>
        <w:textAlignment w:val="baseline"/>
        <w:rPr>
          <w:rStyle w:val="normaltextrun1"/>
          <w:rFonts w:ascii="Arial" w:hAnsi="Arial" w:cs="Arial"/>
          <w:sz w:val="20"/>
          <w:szCs w:val="22"/>
        </w:rPr>
      </w:pPr>
    </w:p>
    <w:p w14:paraId="22145825" w14:textId="44990B31" w:rsidR="00B06631" w:rsidRPr="000524E8" w:rsidRDefault="00B06631" w:rsidP="00B06631">
      <w:pPr>
        <w:pStyle w:val="paragraph"/>
        <w:textAlignment w:val="baseline"/>
        <w:rPr>
          <w:rStyle w:val="normaltextrun1"/>
          <w:rFonts w:ascii="Arial" w:hAnsi="Arial" w:cs="Arial"/>
          <w:b/>
          <w:sz w:val="20"/>
          <w:szCs w:val="22"/>
        </w:rPr>
      </w:pPr>
      <w:r>
        <w:rPr>
          <w:rStyle w:val="normaltextrun1"/>
          <w:rFonts w:ascii="Arial" w:hAnsi="Arial"/>
          <w:b/>
          <w:sz w:val="20"/>
          <w:szCs w:val="22"/>
        </w:rPr>
        <w:t xml:space="preserve">AkzoNobel </w:t>
      </w:r>
      <w:r w:rsidR="008F4189">
        <w:rPr>
          <w:rStyle w:val="normaltextrun1"/>
          <w:rFonts w:ascii="Arial" w:hAnsi="Arial"/>
          <w:b/>
          <w:sz w:val="20"/>
          <w:szCs w:val="22"/>
        </w:rPr>
        <w:t>meistert historisches</w:t>
      </w:r>
      <w:r>
        <w:rPr>
          <w:rStyle w:val="normaltextrun1"/>
          <w:rFonts w:ascii="Arial" w:hAnsi="Arial"/>
          <w:b/>
          <w:sz w:val="20"/>
          <w:szCs w:val="22"/>
        </w:rPr>
        <w:t xml:space="preserve"> Hudson Yards-Projekt in New York.</w:t>
      </w:r>
    </w:p>
    <w:p w14:paraId="0186521F" w14:textId="77777777" w:rsidR="00B06631" w:rsidRPr="000524E8" w:rsidRDefault="00B06631" w:rsidP="00B06631">
      <w:pPr>
        <w:pStyle w:val="paragraph"/>
        <w:textAlignment w:val="baseline"/>
        <w:rPr>
          <w:rStyle w:val="normaltextrun1"/>
          <w:rFonts w:ascii="Arial" w:hAnsi="Arial" w:cs="Arial"/>
          <w:sz w:val="20"/>
          <w:szCs w:val="22"/>
        </w:rPr>
      </w:pPr>
      <w:r>
        <w:rPr>
          <w:rStyle w:val="normaltextrun1"/>
          <w:rFonts w:ascii="Arial" w:hAnsi="Arial"/>
          <w:sz w:val="20"/>
          <w:szCs w:val="22"/>
        </w:rPr>
        <w:t>Das historische Entwicklungsprojekt Hudson Yards in New York wird das gesamte Stadtbild verändern und hat einen weiteren Meilenstein erreicht, zu dem AkzoNobel einen nicht unwesentlichen Beitrag geleistet hat.</w:t>
      </w:r>
    </w:p>
    <w:p w14:paraId="1909267D" w14:textId="6780DEC0" w:rsidR="00B06631" w:rsidRPr="000524E8" w:rsidRDefault="00B06631" w:rsidP="00B06631">
      <w:pPr>
        <w:pStyle w:val="paragraph"/>
        <w:textAlignment w:val="baseline"/>
        <w:rPr>
          <w:rStyle w:val="normaltextrun1"/>
          <w:rFonts w:ascii="Arial" w:hAnsi="Arial" w:cs="Arial"/>
          <w:sz w:val="20"/>
          <w:szCs w:val="22"/>
        </w:rPr>
      </w:pPr>
      <w:r>
        <w:rPr>
          <w:rStyle w:val="normaltextrun1"/>
          <w:rFonts w:ascii="Arial" w:hAnsi="Arial"/>
          <w:sz w:val="20"/>
          <w:szCs w:val="22"/>
        </w:rPr>
        <w:t xml:space="preserve">Das Projekt ist das größte private Immobilienprojekt in der Geschichte der Vereinigten Staaten. Kürzlich wurden zwei Hochhäuser mit den Hausnummern 10 und 30 Hudson Yards fertiggestellt.  Das Gebäude Nummer 30 Hudson Yards ist höher als das Empire State Building und beeindruckt mit einer Konstruktion aus Glas und Stahl. Hier werden die leistungsstarken Pulverbeschichtungen von AkzoNobel eingesetzt, während am Gebäude Nummer 10 Hudson Yards Industrielacke von AkzoNobel zum Einsatz kommen. </w:t>
      </w:r>
    </w:p>
    <w:p w14:paraId="626A164D" w14:textId="77777777" w:rsidR="00B06631" w:rsidRPr="000C3070" w:rsidRDefault="00B06631" w:rsidP="000524E8">
      <w:pPr>
        <w:pStyle w:val="paragraph"/>
        <w:textAlignment w:val="baseline"/>
        <w:rPr>
          <w:rStyle w:val="normaltextrun1"/>
          <w:rFonts w:ascii="Arial" w:hAnsi="Arial" w:cs="Arial"/>
          <w:b/>
          <w:sz w:val="20"/>
          <w:szCs w:val="22"/>
        </w:rPr>
      </w:pPr>
    </w:p>
    <w:p w14:paraId="73AE0A37" w14:textId="77777777" w:rsidR="00E45E82" w:rsidRPr="000524E8" w:rsidRDefault="00E45E82" w:rsidP="00E45E82">
      <w:pPr>
        <w:pStyle w:val="paragraph"/>
        <w:textAlignment w:val="baseline"/>
        <w:rPr>
          <w:rStyle w:val="normaltextrun1"/>
          <w:rFonts w:ascii="Arial" w:hAnsi="Arial" w:cs="Arial"/>
          <w:b/>
          <w:sz w:val="20"/>
          <w:szCs w:val="22"/>
        </w:rPr>
      </w:pPr>
      <w:r>
        <w:rPr>
          <w:rStyle w:val="normaltextrun1"/>
          <w:rFonts w:ascii="Arial" w:hAnsi="Arial"/>
          <w:b/>
          <w:sz w:val="20"/>
          <w:szCs w:val="22"/>
        </w:rPr>
        <w:t xml:space="preserve">„Paint </w:t>
      </w:r>
      <w:proofErr w:type="spellStart"/>
      <w:r>
        <w:rPr>
          <w:rStyle w:val="normaltextrun1"/>
          <w:rFonts w:ascii="Arial" w:hAnsi="Arial"/>
          <w:b/>
          <w:sz w:val="20"/>
          <w:szCs w:val="22"/>
        </w:rPr>
        <w:t>the</w:t>
      </w:r>
      <w:proofErr w:type="spellEnd"/>
      <w:r>
        <w:rPr>
          <w:rStyle w:val="normaltextrun1"/>
          <w:rFonts w:ascii="Arial" w:hAnsi="Arial"/>
          <w:b/>
          <w:sz w:val="20"/>
          <w:szCs w:val="22"/>
        </w:rPr>
        <w:t xml:space="preserve"> Future“ übertrifft sämtlich Erwartungen.</w:t>
      </w:r>
    </w:p>
    <w:p w14:paraId="76CAC91A" w14:textId="691DCF7D" w:rsidR="00E45E82" w:rsidRPr="000524E8" w:rsidRDefault="00E45E82" w:rsidP="00E45E82">
      <w:pPr>
        <w:pStyle w:val="paragraph"/>
        <w:textAlignment w:val="baseline"/>
        <w:rPr>
          <w:rStyle w:val="normaltextrun1"/>
          <w:rFonts w:ascii="Arial" w:hAnsi="Arial" w:cs="Arial"/>
          <w:sz w:val="20"/>
          <w:szCs w:val="22"/>
        </w:rPr>
      </w:pPr>
      <w:r>
        <w:rPr>
          <w:rStyle w:val="normaltextrun1"/>
          <w:rFonts w:ascii="Arial" w:hAnsi="Arial"/>
          <w:sz w:val="20"/>
          <w:szCs w:val="22"/>
        </w:rPr>
        <w:t xml:space="preserve">Unser wegweisender Wettbewerb für Startup-Unternehmen, „Paint </w:t>
      </w:r>
      <w:proofErr w:type="spellStart"/>
      <w:r>
        <w:rPr>
          <w:rStyle w:val="normaltextrun1"/>
          <w:rFonts w:ascii="Arial" w:hAnsi="Arial"/>
          <w:sz w:val="20"/>
          <w:szCs w:val="22"/>
        </w:rPr>
        <w:t>the</w:t>
      </w:r>
      <w:proofErr w:type="spellEnd"/>
      <w:r>
        <w:rPr>
          <w:rStyle w:val="normaltextrun1"/>
          <w:rFonts w:ascii="Arial" w:hAnsi="Arial"/>
          <w:sz w:val="20"/>
          <w:szCs w:val="22"/>
        </w:rPr>
        <w:t xml:space="preserve"> Future“, ist ein riesiger Erfolg: Bei der Förderungsveranstaltung im Mai hat AkzoNobel fünf Geschäftsvereinbarungen abgeschlossen. Der Wettbewerb wird gemeinsam mit KPMG organisiert</w:t>
      </w:r>
      <w:r w:rsidR="008F4189">
        <w:rPr>
          <w:rStyle w:val="normaltextrun1"/>
          <w:rFonts w:ascii="Arial" w:hAnsi="Arial"/>
          <w:sz w:val="20"/>
          <w:szCs w:val="22"/>
        </w:rPr>
        <w:t>:</w:t>
      </w:r>
      <w:r>
        <w:rPr>
          <w:rStyle w:val="normaltextrun1"/>
          <w:rFonts w:ascii="Arial" w:hAnsi="Arial"/>
          <w:sz w:val="20"/>
          <w:szCs w:val="22"/>
        </w:rPr>
        <w:t xml:space="preserve"> 160 Vorschläge </w:t>
      </w:r>
      <w:r w:rsidR="008F4189">
        <w:rPr>
          <w:rStyle w:val="normaltextrun1"/>
          <w:rFonts w:ascii="Arial" w:hAnsi="Arial"/>
          <w:sz w:val="20"/>
          <w:szCs w:val="22"/>
        </w:rPr>
        <w:t>wurden eingereicht</w:t>
      </w:r>
      <w:r>
        <w:rPr>
          <w:rStyle w:val="normaltextrun1"/>
          <w:rFonts w:ascii="Arial" w:hAnsi="Arial"/>
          <w:sz w:val="20"/>
          <w:szCs w:val="22"/>
        </w:rPr>
        <w:t xml:space="preserve">, von denen 21 die Möglichkeit erhalten, mit Branchenexperten zusammenzuarbeiten und ihre Ansätze weiterzuentwickeln. Die Vereinbarungen sind die ersten Ergebnisse des neuen Innovationssystems, mit Hilfe dessen wir die Farben- und Lackindustrie weiter nach vorne bringen und die Bedürfnisse unserer Kunden noch besser bedienen werden. </w:t>
      </w:r>
    </w:p>
    <w:p w14:paraId="63FDBE65" w14:textId="77777777" w:rsidR="00E45E82" w:rsidRPr="000C3070" w:rsidRDefault="00E45E82" w:rsidP="000524E8">
      <w:pPr>
        <w:pStyle w:val="paragraph"/>
        <w:textAlignment w:val="baseline"/>
        <w:rPr>
          <w:rStyle w:val="normaltextrun1"/>
          <w:rFonts w:ascii="Arial" w:hAnsi="Arial" w:cs="Arial"/>
          <w:b/>
          <w:sz w:val="20"/>
          <w:szCs w:val="22"/>
        </w:rPr>
      </w:pPr>
    </w:p>
    <w:p w14:paraId="61549EC1" w14:textId="5C91E4A7" w:rsidR="000524E8" w:rsidRPr="000524E8" w:rsidRDefault="000524E8" w:rsidP="000524E8">
      <w:pPr>
        <w:pStyle w:val="paragraph"/>
        <w:textAlignment w:val="baseline"/>
        <w:rPr>
          <w:rStyle w:val="normaltextrun1"/>
          <w:rFonts w:ascii="Arial" w:hAnsi="Arial" w:cs="Arial"/>
          <w:b/>
          <w:sz w:val="20"/>
          <w:szCs w:val="22"/>
        </w:rPr>
      </w:pPr>
      <w:r>
        <w:rPr>
          <w:rStyle w:val="normaltextrun1"/>
          <w:rFonts w:ascii="Arial" w:hAnsi="Arial"/>
          <w:b/>
          <w:sz w:val="20"/>
          <w:szCs w:val="22"/>
        </w:rPr>
        <w:t>Pulverbeschichtungen werden noch nachhaltiger.</w:t>
      </w:r>
    </w:p>
    <w:p w14:paraId="74F6A730" w14:textId="5DE0DA9D" w:rsidR="000524E8" w:rsidRPr="000524E8" w:rsidRDefault="000524E8" w:rsidP="000524E8">
      <w:pPr>
        <w:pStyle w:val="paragraph"/>
        <w:textAlignment w:val="baseline"/>
        <w:rPr>
          <w:rStyle w:val="normaltextrun1"/>
          <w:rFonts w:ascii="Arial" w:hAnsi="Arial" w:cs="Arial"/>
          <w:sz w:val="20"/>
          <w:szCs w:val="22"/>
        </w:rPr>
      </w:pPr>
      <w:r>
        <w:rPr>
          <w:rStyle w:val="normaltextrun1"/>
          <w:rFonts w:ascii="Arial" w:hAnsi="Arial"/>
          <w:sz w:val="20"/>
          <w:szCs w:val="22"/>
        </w:rPr>
        <w:t>Mit der Einführung eines kompletten Sortiments von „</w:t>
      </w:r>
      <w:proofErr w:type="spellStart"/>
      <w:r>
        <w:rPr>
          <w:rStyle w:val="normaltextrun1"/>
          <w:rFonts w:ascii="Arial" w:hAnsi="Arial"/>
          <w:sz w:val="20"/>
          <w:szCs w:val="22"/>
        </w:rPr>
        <w:t>Interpon</w:t>
      </w:r>
      <w:proofErr w:type="spellEnd"/>
      <w:r>
        <w:rPr>
          <w:rStyle w:val="normaltextrun1"/>
          <w:rFonts w:ascii="Arial" w:hAnsi="Arial"/>
          <w:sz w:val="20"/>
          <w:szCs w:val="22"/>
        </w:rPr>
        <w:t xml:space="preserve"> Low-E“-Produkten durch den Geschäftsbereich </w:t>
      </w:r>
      <w:proofErr w:type="spellStart"/>
      <w:r>
        <w:rPr>
          <w:rStyle w:val="normaltextrun1"/>
          <w:rFonts w:ascii="Arial" w:hAnsi="Arial"/>
          <w:sz w:val="20"/>
          <w:szCs w:val="22"/>
        </w:rPr>
        <w:t>Powder</w:t>
      </w:r>
      <w:proofErr w:type="spellEnd"/>
      <w:r>
        <w:rPr>
          <w:rStyle w:val="normaltextrun1"/>
          <w:rFonts w:ascii="Arial" w:hAnsi="Arial"/>
          <w:sz w:val="20"/>
          <w:szCs w:val="22"/>
        </w:rPr>
        <w:t xml:space="preserve"> Coatin</w:t>
      </w:r>
      <w:r w:rsidR="008F4189">
        <w:rPr>
          <w:rStyle w:val="normaltextrun1"/>
          <w:rFonts w:ascii="Arial" w:hAnsi="Arial"/>
          <w:sz w:val="20"/>
          <w:szCs w:val="22"/>
        </w:rPr>
        <w:t>gs werden unsere Pulverbeschicht</w:t>
      </w:r>
      <w:r>
        <w:rPr>
          <w:rStyle w:val="normaltextrun1"/>
          <w:rFonts w:ascii="Arial" w:hAnsi="Arial"/>
          <w:sz w:val="20"/>
          <w:szCs w:val="22"/>
        </w:rPr>
        <w:t xml:space="preserve">ungen noch nachhaltiger. Nachdem im letzten Jahr ein Sortiment mit rauer Oberfläche auf den Markt gebracht wurde, folgte nun ein komplettes Sortiment </w:t>
      </w:r>
      <w:proofErr w:type="spellStart"/>
      <w:r>
        <w:rPr>
          <w:rStyle w:val="normaltextrun1"/>
          <w:rFonts w:ascii="Arial" w:hAnsi="Arial"/>
          <w:sz w:val="20"/>
          <w:szCs w:val="22"/>
        </w:rPr>
        <w:t>Interpon</w:t>
      </w:r>
      <w:proofErr w:type="spellEnd"/>
      <w:r>
        <w:rPr>
          <w:rStyle w:val="normaltextrun1"/>
          <w:rFonts w:ascii="Arial" w:hAnsi="Arial"/>
          <w:sz w:val="20"/>
          <w:szCs w:val="22"/>
        </w:rPr>
        <w:t xml:space="preserve"> 610 mit glatter Oberfläche. Das neue Produkt ist zur Aushärtung bei Temperaturen geeignet, die unter dem aktuellen Standard von 180 bis 190°C liegen, ist TGIC-frei und energiesparend und ermöglicht es unseren Kunden, ihre Effizienz zu steigern. </w:t>
      </w:r>
    </w:p>
    <w:p w14:paraId="3853B2D0" w14:textId="77777777" w:rsidR="0058447D" w:rsidRPr="000C3070" w:rsidRDefault="0058447D" w:rsidP="000524E8">
      <w:pPr>
        <w:pStyle w:val="paragraph"/>
        <w:textAlignment w:val="baseline"/>
        <w:rPr>
          <w:rStyle w:val="normaltextrun1"/>
          <w:rFonts w:ascii="Arial" w:hAnsi="Arial" w:cs="Arial"/>
          <w:b/>
          <w:sz w:val="20"/>
          <w:szCs w:val="22"/>
        </w:rPr>
      </w:pPr>
    </w:p>
    <w:p w14:paraId="4F390056" w14:textId="5A7C6E53" w:rsidR="00780111" w:rsidRDefault="000524E8" w:rsidP="000524E8">
      <w:pPr>
        <w:pStyle w:val="paragraph"/>
        <w:textAlignment w:val="baseline"/>
        <w:rPr>
          <w:rStyle w:val="normaltextrun1"/>
          <w:rFonts w:ascii="Arial" w:hAnsi="Arial" w:cs="Arial"/>
          <w:sz w:val="20"/>
          <w:szCs w:val="22"/>
        </w:rPr>
      </w:pPr>
      <w:r>
        <w:rPr>
          <w:rStyle w:val="normaltextrun1"/>
          <w:rFonts w:ascii="Arial" w:hAnsi="Arial"/>
          <w:b/>
          <w:sz w:val="20"/>
          <w:szCs w:val="22"/>
        </w:rPr>
        <w:t xml:space="preserve">AkzoNobel und Airbus bringen Innovation </w:t>
      </w:r>
      <w:r w:rsidR="008F4189">
        <w:rPr>
          <w:rStyle w:val="normaltextrun1"/>
          <w:rFonts w:ascii="Arial" w:hAnsi="Arial"/>
          <w:b/>
          <w:sz w:val="20"/>
          <w:szCs w:val="22"/>
        </w:rPr>
        <w:t>in der Luftfahrtindustrie voran.</w:t>
      </w:r>
      <w:r>
        <w:rPr>
          <w:rStyle w:val="normaltextrun1"/>
          <w:rFonts w:ascii="Arial" w:hAnsi="Arial"/>
          <w:b/>
          <w:sz w:val="20"/>
          <w:szCs w:val="22"/>
        </w:rPr>
        <w:br/>
      </w:r>
      <w:r>
        <w:rPr>
          <w:rStyle w:val="normaltextrun1"/>
          <w:rFonts w:ascii="Arial" w:hAnsi="Arial"/>
          <w:sz w:val="20"/>
          <w:szCs w:val="22"/>
        </w:rPr>
        <w:t>AkzoNobel und Airbus haben eine neue, chromfrei</w:t>
      </w:r>
      <w:r w:rsidR="008F4189">
        <w:rPr>
          <w:rStyle w:val="normaltextrun1"/>
          <w:rFonts w:ascii="Arial" w:hAnsi="Arial"/>
          <w:sz w:val="20"/>
          <w:szCs w:val="22"/>
        </w:rPr>
        <w:t xml:space="preserve">e Außengrundierung entwickelt. </w:t>
      </w:r>
      <w:proofErr w:type="spellStart"/>
      <w:r>
        <w:rPr>
          <w:rStyle w:val="normaltextrun1"/>
          <w:rFonts w:ascii="Arial" w:hAnsi="Arial"/>
          <w:sz w:val="20"/>
          <w:szCs w:val="22"/>
        </w:rPr>
        <w:t>Aerodur</w:t>
      </w:r>
      <w:proofErr w:type="spellEnd"/>
      <w:r>
        <w:rPr>
          <w:rStyle w:val="normaltextrun1"/>
          <w:rFonts w:ascii="Arial" w:hAnsi="Arial"/>
          <w:sz w:val="20"/>
          <w:szCs w:val="22"/>
        </w:rPr>
        <w:t xml:space="preserve"> HS 2121 ist für die Anwendung auf nahezu sämtlichen Außenflächen eines Flugzeugs in den letzten Montageschritten ausgelegt und nach Qualifizierung durch Airbus nun in die Spezifikationen des </w:t>
      </w:r>
      <w:r>
        <w:rPr>
          <w:rStyle w:val="normaltextrun1"/>
          <w:rFonts w:ascii="Arial" w:hAnsi="Arial"/>
          <w:sz w:val="20"/>
          <w:szCs w:val="22"/>
        </w:rPr>
        <w:lastRenderedPageBreak/>
        <w:t xml:space="preserve">Flugzeugherstellers aufgenommen worden. Die neue Grundfarbe ist nicht nur chromfrei, sondern bringt zahlreiche weitere Vorteile in Bezug auf Leistung, Aussehen und Anwendung mit sich. </w:t>
      </w:r>
    </w:p>
    <w:p w14:paraId="236204FD" w14:textId="77777777" w:rsidR="00823E77" w:rsidRPr="000C3070" w:rsidRDefault="00823E77" w:rsidP="000524E8">
      <w:pPr>
        <w:pStyle w:val="paragraph"/>
        <w:textAlignment w:val="baseline"/>
        <w:rPr>
          <w:rStyle w:val="normaltextrun1"/>
          <w:rFonts w:ascii="Arial" w:hAnsi="Arial"/>
          <w:sz w:val="20"/>
          <w:szCs w:val="22"/>
        </w:rPr>
      </w:pPr>
    </w:p>
    <w:tbl>
      <w:tblPr>
        <w:tblStyle w:val="Tabellenraster"/>
        <w:tblW w:w="9369" w:type="dxa"/>
        <w:tblLook w:val="04A0" w:firstRow="1" w:lastRow="0" w:firstColumn="1" w:lastColumn="0" w:noHBand="0" w:noVBand="1"/>
      </w:tblPr>
      <w:tblGrid>
        <w:gridCol w:w="9369"/>
      </w:tblGrid>
      <w:tr w:rsidR="00501AE7" w:rsidRPr="001B0A34" w14:paraId="19B9F76B" w14:textId="77777777" w:rsidTr="00CB5B4F">
        <w:trPr>
          <w:trHeight w:val="3768"/>
        </w:trPr>
        <w:tc>
          <w:tcPr>
            <w:tcW w:w="9369" w:type="dxa"/>
          </w:tcPr>
          <w:p w14:paraId="58CECE8A" w14:textId="39E76EEF" w:rsidR="00501AE7" w:rsidRPr="00346FA1" w:rsidRDefault="00501AE7" w:rsidP="003B58ED">
            <w:pPr>
              <w:ind w:right="-27"/>
              <w:rPr>
                <w:rFonts w:cs="Arial"/>
              </w:rPr>
            </w:pPr>
            <w:r>
              <w:rPr>
                <w:b/>
              </w:rPr>
              <w:t>Ausblick:</w:t>
            </w:r>
          </w:p>
          <w:p w14:paraId="065DF8C4" w14:textId="5A8CD073" w:rsidR="0058447D" w:rsidRDefault="0058447D" w:rsidP="00346FA1">
            <w:pPr>
              <w:widowControl/>
              <w:rPr>
                <w:rFonts w:cs="Arial"/>
              </w:rPr>
            </w:pPr>
            <w:r>
              <w:t xml:space="preserve">Wir arbeiten an der Umsetzung unserer Strategie „Winning </w:t>
            </w:r>
            <w:proofErr w:type="spellStart"/>
            <w:r>
              <w:t>together</w:t>
            </w:r>
            <w:proofErr w:type="spellEnd"/>
            <w:r>
              <w:t xml:space="preserve">: 15 </w:t>
            </w:r>
            <w:proofErr w:type="spellStart"/>
            <w:r>
              <w:t>by</w:t>
            </w:r>
            <w:proofErr w:type="spellEnd"/>
            <w:r>
              <w:t xml:space="preserve"> 20“, indem wir eine zweckorientierte Organisationsstruktur für ein eigenständiges </w:t>
            </w:r>
            <w:proofErr w:type="spellStart"/>
            <w:r>
              <w:t>Paints</w:t>
            </w:r>
            <w:proofErr w:type="spellEnd"/>
            <w:r>
              <w:t xml:space="preserve"> and Coatings-Unternehmen schaffen und zum Erreichen unserer Finanzprognose für 2020 beitragen.</w:t>
            </w:r>
          </w:p>
          <w:p w14:paraId="7B602E65" w14:textId="77777777" w:rsidR="0058447D" w:rsidRDefault="0058447D" w:rsidP="00346FA1">
            <w:pPr>
              <w:widowControl/>
              <w:rPr>
                <w:rFonts w:cs="Arial"/>
              </w:rPr>
            </w:pPr>
          </w:p>
          <w:p w14:paraId="79D51B6D" w14:textId="6E3411C1" w:rsidR="0058447D" w:rsidRDefault="0058447D" w:rsidP="00346FA1">
            <w:pPr>
              <w:widowControl/>
              <w:rPr>
                <w:rFonts w:cs="Arial"/>
              </w:rPr>
            </w:pPr>
            <w:r>
              <w:t xml:space="preserve">Die Nachfrage entwickelt sich in einem unsicheren makroökonomischen Umfeld in verschiedenen Regionen und Segmenten unterschiedlich. Es wird eine Stabilisierung der Rohstoffinflation in der zweiten Jahreshälfte erwartet. Wir haben fortlaufende Initiativen zur Preisgestaltung und Kosteneinsparprogramme aufgesetzt, um den aktuellen Herausforderungen zu begegnen. </w:t>
            </w:r>
          </w:p>
          <w:p w14:paraId="038BF7D2" w14:textId="77777777" w:rsidR="0058447D" w:rsidRDefault="0058447D" w:rsidP="00346FA1">
            <w:pPr>
              <w:widowControl/>
              <w:rPr>
                <w:rFonts w:cs="Arial"/>
              </w:rPr>
            </w:pPr>
          </w:p>
          <w:p w14:paraId="09CCD780" w14:textId="5E9A0CBA" w:rsidR="0058447D" w:rsidRDefault="0058447D" w:rsidP="00346FA1">
            <w:pPr>
              <w:widowControl/>
              <w:rPr>
                <w:rFonts w:cs="Arial"/>
              </w:rPr>
            </w:pPr>
            <w:r>
              <w:t xml:space="preserve">Wir setzen weiterhin unsere Umstrukturierung um, um die nächsten Kosteneinsparungen in Höhe von 200 Millionen Euro bis 2020 zu erreichen, wobei in den Jahren 2019 und 2020 Einmalkosten erforderlich sein werden. </w:t>
            </w:r>
          </w:p>
          <w:p w14:paraId="56E71FE6" w14:textId="77777777" w:rsidR="0058447D" w:rsidRDefault="0058447D" w:rsidP="00346FA1">
            <w:pPr>
              <w:widowControl/>
              <w:rPr>
                <w:rFonts w:cs="Arial"/>
              </w:rPr>
            </w:pPr>
          </w:p>
          <w:p w14:paraId="28066E16" w14:textId="6725B114" w:rsidR="00501AE7" w:rsidRPr="00346FA1" w:rsidRDefault="0058447D" w:rsidP="00346FA1">
            <w:pPr>
              <w:widowControl/>
              <w:rPr>
                <w:rFonts w:cs="Arial"/>
                <w:b/>
                <w:spacing w:val="-2"/>
                <w:highlight w:val="yellow"/>
              </w:rPr>
            </w:pPr>
            <w:r>
              <w:t>Wir streben eine ungewichtete Eigenmittelquote („</w:t>
            </w:r>
            <w:proofErr w:type="spellStart"/>
            <w:r>
              <w:t>leverage</w:t>
            </w:r>
            <w:proofErr w:type="spellEnd"/>
            <w:r>
              <w:t xml:space="preserve"> </w:t>
            </w:r>
            <w:proofErr w:type="spellStart"/>
            <w:r>
              <w:t>ratio</w:t>
            </w:r>
            <w:proofErr w:type="spellEnd"/>
            <w:r>
              <w:t>“) von der ein- bis zweifachen Nettoverschuldung/EBITDA bis Ende 2020 an und haben es uns auf die Fahne geschrieben, eine starke Bonitätsbewertung im Bereich „Investment Grade“ aufrechtzuerhalten.</w:t>
            </w:r>
          </w:p>
        </w:tc>
      </w:tr>
    </w:tbl>
    <w:p w14:paraId="663CEC37" w14:textId="2C45C67A" w:rsidR="00417A8C" w:rsidRPr="00346FA1" w:rsidRDefault="00B45F28" w:rsidP="00710216">
      <w:pPr>
        <w:autoSpaceDE w:val="0"/>
        <w:autoSpaceDN w:val="0"/>
        <w:spacing w:after="0" w:line="240" w:lineRule="auto"/>
        <w:rPr>
          <w:rFonts w:cs="Arial"/>
          <w:color w:val="1F497D"/>
          <w:szCs w:val="20"/>
        </w:rPr>
      </w:pPr>
      <w:r>
        <w:rPr>
          <w:b/>
          <w:szCs w:val="20"/>
        </w:rPr>
        <w:t xml:space="preserve">Der Bericht für das zweite Quartal 2019 kann unter </w:t>
      </w:r>
      <w:hyperlink r:id="rId12" w:history="1">
        <w:r>
          <w:rPr>
            <w:rStyle w:val="Hyperlink"/>
          </w:rPr>
          <w:t xml:space="preserve"> http://akzo.no/Q22019</w:t>
        </w:r>
      </w:hyperlink>
      <w:r>
        <w:t xml:space="preserve"> </w:t>
      </w:r>
      <w:r>
        <w:rPr>
          <w:b/>
          <w:bCs/>
        </w:rPr>
        <w:t>eingesehen und heruntergeladen werden.</w:t>
      </w:r>
    </w:p>
    <w:bookmarkEnd w:id="0"/>
    <w:bookmarkEnd w:id="1"/>
    <w:tbl>
      <w:tblPr>
        <w:tblStyle w:val="TableGrid1"/>
        <w:tblW w:w="6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35"/>
        <w:gridCol w:w="1134"/>
        <w:gridCol w:w="1134"/>
        <w:gridCol w:w="709"/>
      </w:tblGrid>
      <w:tr w:rsidR="008E11B1" w:rsidRPr="001B0A34" w14:paraId="1D0A5AC9" w14:textId="77777777" w:rsidTr="008E11B1">
        <w:tc>
          <w:tcPr>
            <w:tcW w:w="709" w:type="dxa"/>
            <w:shd w:val="clear" w:color="auto" w:fill="auto"/>
          </w:tcPr>
          <w:p w14:paraId="4A3EDD43" w14:textId="77777777" w:rsidR="00B27DAB" w:rsidRPr="001B4E02" w:rsidRDefault="00B27DAB" w:rsidP="00FF7EE7">
            <w:pPr>
              <w:spacing w:after="0" w:line="240" w:lineRule="auto"/>
              <w:ind w:right="-351"/>
              <w:rPr>
                <w:rFonts w:cs="Arial"/>
                <w:b/>
                <w:color w:val="FFFFFF"/>
                <w:highlight w:val="yellow"/>
              </w:rPr>
            </w:pPr>
          </w:p>
        </w:tc>
        <w:tc>
          <w:tcPr>
            <w:tcW w:w="2835" w:type="dxa"/>
            <w:shd w:val="clear" w:color="auto" w:fill="auto"/>
            <w:vAlign w:val="center"/>
          </w:tcPr>
          <w:p w14:paraId="68BB37AB" w14:textId="77777777" w:rsidR="008E11B1" w:rsidRPr="001B4E02" w:rsidRDefault="008E11B1" w:rsidP="00FF7EE7">
            <w:pPr>
              <w:spacing w:after="0" w:line="240" w:lineRule="auto"/>
              <w:ind w:right="-351"/>
              <w:rPr>
                <w:rFonts w:cs="Arial"/>
                <w:b/>
                <w:color w:val="FFFFFF"/>
                <w:highlight w:val="yellow"/>
              </w:rPr>
            </w:pPr>
          </w:p>
        </w:tc>
        <w:tc>
          <w:tcPr>
            <w:tcW w:w="1134" w:type="dxa"/>
            <w:shd w:val="clear" w:color="auto" w:fill="auto"/>
          </w:tcPr>
          <w:p w14:paraId="71537D46" w14:textId="77777777" w:rsidR="008E11B1" w:rsidRPr="001B4E02" w:rsidRDefault="008E11B1" w:rsidP="00FF7EE7">
            <w:pPr>
              <w:spacing w:after="0" w:line="240" w:lineRule="auto"/>
              <w:ind w:right="-351"/>
              <w:jc w:val="right"/>
              <w:rPr>
                <w:rFonts w:cs="Arial"/>
                <w:b/>
                <w:color w:val="FFFFFF"/>
                <w:highlight w:val="yellow"/>
              </w:rPr>
            </w:pPr>
          </w:p>
        </w:tc>
        <w:tc>
          <w:tcPr>
            <w:tcW w:w="1134" w:type="dxa"/>
            <w:shd w:val="clear" w:color="auto" w:fill="auto"/>
          </w:tcPr>
          <w:p w14:paraId="2AF9E4AF" w14:textId="77777777" w:rsidR="008E11B1" w:rsidRPr="001B4E02" w:rsidRDefault="008E11B1" w:rsidP="00FF7EE7">
            <w:pPr>
              <w:spacing w:after="0" w:line="240" w:lineRule="auto"/>
              <w:ind w:right="-351"/>
              <w:jc w:val="right"/>
              <w:rPr>
                <w:rFonts w:cs="Arial"/>
                <w:b/>
                <w:color w:val="FFFFFF"/>
                <w:highlight w:val="yellow"/>
              </w:rPr>
            </w:pPr>
          </w:p>
        </w:tc>
        <w:tc>
          <w:tcPr>
            <w:tcW w:w="709" w:type="dxa"/>
            <w:shd w:val="clear" w:color="auto" w:fill="auto"/>
          </w:tcPr>
          <w:p w14:paraId="4FC6E9F6" w14:textId="77777777" w:rsidR="008E11B1" w:rsidRPr="001B4E02" w:rsidRDefault="008E11B1" w:rsidP="00FF7EE7">
            <w:pPr>
              <w:spacing w:after="0" w:line="240" w:lineRule="auto"/>
              <w:ind w:right="-351"/>
              <w:jc w:val="right"/>
              <w:rPr>
                <w:rFonts w:cs="Arial"/>
                <w:b/>
                <w:color w:val="FFFFFF"/>
                <w:highlight w:val="yellow"/>
              </w:rPr>
            </w:pPr>
          </w:p>
        </w:tc>
      </w:tr>
    </w:tbl>
    <w:p w14:paraId="01DEDE68" w14:textId="4A0A34AE" w:rsidR="009D5C0B" w:rsidRPr="001B4E02" w:rsidRDefault="009D5C0B" w:rsidP="009D5C0B">
      <w:pPr>
        <w:pStyle w:val="ANNote"/>
        <w:ind w:right="-351"/>
        <w:rPr>
          <w:rFonts w:cs="Arial"/>
          <w:sz w:val="16"/>
          <w:szCs w:val="16"/>
        </w:rPr>
      </w:pPr>
      <w:r>
        <w:t>1 Bereinigtes Betriebsergebnis = Betriebsergebnis ausschließlich Sondereffekte (ehemals EBIT)</w:t>
      </w:r>
    </w:p>
    <w:p w14:paraId="6E5B3790" w14:textId="37ADD969" w:rsidR="006744C3" w:rsidRDefault="009D5C0B" w:rsidP="00FF7EE7">
      <w:pPr>
        <w:pStyle w:val="ANNote"/>
        <w:ind w:right="-351"/>
        <w:rPr>
          <w:rFonts w:cs="Arial"/>
        </w:rPr>
      </w:pPr>
      <w:r>
        <w:t>2 Umsatzrendite (ROS) ausgenommen nicht umgelegte Kosten ist das bereinigte Betriebsergebnis als Prozentsatz des Umsatzes ausgenommen nicht umgelegte Kosten der Zentralabteilungen.</w:t>
      </w:r>
    </w:p>
    <w:p w14:paraId="15FC9F65" w14:textId="335ACD54" w:rsidR="00542B97" w:rsidRDefault="009D5C0B" w:rsidP="00FF7EE7">
      <w:pPr>
        <w:pStyle w:val="ANNote"/>
        <w:ind w:right="-351"/>
        <w:rPr>
          <w:rFonts w:cs="Arial"/>
        </w:rPr>
      </w:pPr>
      <w:r>
        <w:t xml:space="preserve">3 Berechnungen auf Grundlage konstanter Wechselkurse schließen den Effekt von Wechselkursschwankungen aus. </w:t>
      </w:r>
    </w:p>
    <w:p w14:paraId="1D1C26B9" w14:textId="54E205FF" w:rsidR="00C34948" w:rsidRDefault="00C34948" w:rsidP="00FF7EE7">
      <w:pPr>
        <w:pStyle w:val="ANNote"/>
        <w:ind w:right="-351"/>
        <w:rPr>
          <w:rFonts w:cs="Arial"/>
          <w:szCs w:val="14"/>
        </w:rPr>
      </w:pPr>
    </w:p>
    <w:p w14:paraId="5C064060" w14:textId="77777777" w:rsidR="000C7A3F" w:rsidRPr="001B4E02" w:rsidRDefault="000C7A3F" w:rsidP="00FF7EE7">
      <w:pPr>
        <w:spacing w:after="0" w:line="240" w:lineRule="auto"/>
        <w:ind w:right="-351"/>
        <w:rPr>
          <w:rFonts w:eastAsia="Arial" w:cs="Arial"/>
          <w:i/>
          <w:color w:val="000000"/>
          <w:sz w:val="18"/>
          <w:szCs w:val="20"/>
        </w:rPr>
      </w:pPr>
      <w:r>
        <w:rPr>
          <w:i/>
          <w:color w:val="000000"/>
          <w:sz w:val="18"/>
          <w:szCs w:val="20"/>
        </w:rPr>
        <w:t>Dies ist eine öffentliche Bekanntmachung von AkzoNobel N.V. nach Artikel 17, Abs. 1 der europäischen Marktmissbrauchsverordnung (596/2014).</w:t>
      </w:r>
    </w:p>
    <w:p w14:paraId="76E0936A" w14:textId="77777777" w:rsidR="00BA39B3" w:rsidRPr="001B4E02" w:rsidRDefault="00BA39B3" w:rsidP="00FF7EE7">
      <w:pPr>
        <w:pStyle w:val="ANNote"/>
        <w:ind w:right="-351"/>
        <w:rPr>
          <w:rFonts w:cs="Arial"/>
          <w:b/>
          <w:bCs/>
          <w:szCs w:val="20"/>
          <w:u w:val="single"/>
        </w:rPr>
      </w:pPr>
    </w:p>
    <w:p w14:paraId="208442F8" w14:textId="77777777" w:rsidR="00B608A4" w:rsidRPr="001B4E02" w:rsidRDefault="00A2728E" w:rsidP="00FF7EE7">
      <w:pPr>
        <w:pStyle w:val="ANNote"/>
        <w:ind w:right="-351"/>
        <w:rPr>
          <w:rFonts w:cs="Arial"/>
          <w:b/>
          <w:bCs/>
          <w:szCs w:val="20"/>
          <w:u w:val="single"/>
        </w:rPr>
      </w:pPr>
      <w:bookmarkStart w:id="7" w:name="_Hlk538470"/>
      <w:r>
        <w:rPr>
          <w:b/>
          <w:bCs/>
          <w:szCs w:val="20"/>
          <w:u w:val="single"/>
        </w:rPr>
        <w:t xml:space="preserve">Über AkzoNobel </w:t>
      </w:r>
    </w:p>
    <w:p w14:paraId="0D09E882" w14:textId="77777777" w:rsidR="00B608A4" w:rsidRPr="001B4E02" w:rsidRDefault="00B608A4" w:rsidP="00FF7EE7">
      <w:pPr>
        <w:pStyle w:val="ANNote"/>
        <w:ind w:right="-351"/>
        <w:jc w:val="both"/>
        <w:rPr>
          <w:rFonts w:cs="Arial"/>
          <w:b/>
          <w:bCs/>
          <w:szCs w:val="20"/>
          <w:u w:val="single"/>
        </w:rPr>
      </w:pPr>
      <w:r>
        <w:t xml:space="preserve">AkzoNobel hat eine Leidenschaft für Farben. Wir sind Experten in der Herstellung von Farben und Lacken und sind seit 1792 wegweisend in Farbe und Beschichtung. Unser erstklassiges Markenportfolio, u.a. </w:t>
      </w:r>
      <w:proofErr w:type="spellStart"/>
      <w:r>
        <w:t>Dulux</w:t>
      </w:r>
      <w:proofErr w:type="spellEnd"/>
      <w:r>
        <w:t xml:space="preserve">, International, </w:t>
      </w:r>
      <w:proofErr w:type="spellStart"/>
      <w:r>
        <w:t>Sikkens</w:t>
      </w:r>
      <w:proofErr w:type="spellEnd"/>
      <w:r>
        <w:t xml:space="preserve"> und </w:t>
      </w:r>
      <w:proofErr w:type="spellStart"/>
      <w:r>
        <w:t>Interpon</w:t>
      </w:r>
      <w:proofErr w:type="spellEnd"/>
      <w:r>
        <w:t xml:space="preserve">, genießt das Vertrauen von Kunden weltweit. Von unserem Firmensitz in den Niederlanden sind wir in über 150 Ländern tätig und beschäftigen circa 34.500 qualifizierte Mitarbeiter, die mit großem Engagement die ausgezeichneten Produkte und Dienstleistungen liefern, die unsere Kunden von uns erwarten. </w:t>
      </w:r>
    </w:p>
    <w:bookmarkEnd w:id="7"/>
    <w:p w14:paraId="4C846C50" w14:textId="77777777" w:rsidR="00935A30" w:rsidRPr="000C3070" w:rsidRDefault="00935A30" w:rsidP="00935A30">
      <w:pPr>
        <w:spacing w:after="0" w:line="240" w:lineRule="auto"/>
        <w:ind w:right="-351"/>
        <w:jc w:val="both"/>
        <w:rPr>
          <w:rFonts w:eastAsia="Arial" w:cs="Arial"/>
          <w:b/>
          <w:color w:val="000000"/>
          <w:spacing w:val="2"/>
          <w:sz w:val="14"/>
          <w:szCs w:val="14"/>
        </w:rPr>
      </w:pPr>
    </w:p>
    <w:p w14:paraId="60CD13CB" w14:textId="2428CE70" w:rsidR="00FD1F06" w:rsidRPr="00935A30" w:rsidRDefault="00FD1F06" w:rsidP="00935A30">
      <w:pPr>
        <w:spacing w:after="0" w:line="240" w:lineRule="auto"/>
        <w:ind w:right="-351"/>
        <w:jc w:val="both"/>
        <w:rPr>
          <w:rFonts w:eastAsia="Arial" w:cs="Arial"/>
          <w:b/>
          <w:color w:val="000000"/>
          <w:spacing w:val="2"/>
          <w:sz w:val="14"/>
          <w:szCs w:val="14"/>
        </w:rPr>
      </w:pPr>
      <w:r>
        <w:rPr>
          <w:b/>
          <w:color w:val="000000"/>
          <w:sz w:val="14"/>
          <w:szCs w:val="14"/>
          <w:u w:val="single"/>
        </w:rPr>
        <w:t>Nicht zur Veröffentlichung - weitere Informationen unter</w:t>
      </w:r>
    </w:p>
    <w:p w14:paraId="367D4F47" w14:textId="77777777" w:rsidR="00FD1F06" w:rsidRPr="000C3070" w:rsidRDefault="00FD1F06" w:rsidP="00FF7EE7">
      <w:pPr>
        <w:widowControl w:val="0"/>
        <w:spacing w:after="0" w:line="240" w:lineRule="auto"/>
        <w:ind w:right="-351"/>
        <w:rPr>
          <w:rFonts w:eastAsia="Times New Roman" w:cs="Arial"/>
          <w:b/>
          <w:bCs/>
          <w:sz w:val="14"/>
          <w:szCs w:val="14"/>
          <w:u w:val="single"/>
        </w:rPr>
      </w:pPr>
    </w:p>
    <w:tbl>
      <w:tblPr>
        <w:tblW w:w="0" w:type="auto"/>
        <w:tblLayout w:type="fixed"/>
        <w:tblLook w:val="00A0" w:firstRow="1" w:lastRow="0" w:firstColumn="1" w:lastColumn="0" w:noHBand="0" w:noVBand="0"/>
      </w:tblPr>
      <w:tblGrid>
        <w:gridCol w:w="4502"/>
        <w:gridCol w:w="4503"/>
      </w:tblGrid>
      <w:tr w:rsidR="00FD1F06" w:rsidRPr="001B4E02" w14:paraId="701B5869" w14:textId="77777777" w:rsidTr="00AD5F9B">
        <w:tc>
          <w:tcPr>
            <w:tcW w:w="4502" w:type="dxa"/>
          </w:tcPr>
          <w:p w14:paraId="00572C4A" w14:textId="77777777" w:rsidR="00FD1F06" w:rsidRPr="001B4E02" w:rsidRDefault="00FD1F06" w:rsidP="00FF7EE7">
            <w:pPr>
              <w:widowControl w:val="0"/>
              <w:spacing w:after="0" w:line="240" w:lineRule="auto"/>
              <w:ind w:right="-351"/>
              <w:rPr>
                <w:rFonts w:eastAsia="Times New Roman" w:cs="Arial"/>
                <w:sz w:val="14"/>
                <w:szCs w:val="14"/>
              </w:rPr>
            </w:pPr>
            <w:r>
              <w:rPr>
                <w:sz w:val="14"/>
                <w:szCs w:val="14"/>
              </w:rPr>
              <w:t>Media Relations</w:t>
            </w:r>
          </w:p>
        </w:tc>
        <w:tc>
          <w:tcPr>
            <w:tcW w:w="4503" w:type="dxa"/>
          </w:tcPr>
          <w:p w14:paraId="2B4AD007" w14:textId="77777777" w:rsidR="00FD1F06" w:rsidRPr="001B4E02" w:rsidRDefault="00FD1F06" w:rsidP="00FF7EE7">
            <w:pPr>
              <w:widowControl w:val="0"/>
              <w:spacing w:after="0" w:line="240" w:lineRule="auto"/>
              <w:ind w:right="-351"/>
              <w:rPr>
                <w:rFonts w:eastAsia="Times New Roman" w:cs="Arial"/>
                <w:sz w:val="14"/>
                <w:szCs w:val="14"/>
                <w:vertAlign w:val="subscript"/>
              </w:rPr>
            </w:pPr>
            <w:r>
              <w:rPr>
                <w:sz w:val="14"/>
                <w:szCs w:val="14"/>
              </w:rPr>
              <w:t>Investor Relations</w:t>
            </w:r>
          </w:p>
        </w:tc>
      </w:tr>
      <w:tr w:rsidR="00FD1F06" w:rsidRPr="001B4E02" w14:paraId="3390F528" w14:textId="77777777" w:rsidTr="00AD5F9B">
        <w:tc>
          <w:tcPr>
            <w:tcW w:w="4502" w:type="dxa"/>
            <w:shd w:val="clear" w:color="auto" w:fill="auto"/>
          </w:tcPr>
          <w:p w14:paraId="641BA163" w14:textId="77777777" w:rsidR="00FD1F06" w:rsidRPr="001B4E02" w:rsidRDefault="00F76033" w:rsidP="00FF7EE7">
            <w:pPr>
              <w:widowControl w:val="0"/>
              <w:spacing w:after="0" w:line="240" w:lineRule="auto"/>
              <w:ind w:right="-351"/>
              <w:rPr>
                <w:rFonts w:eastAsia="Times New Roman" w:cs="Arial"/>
                <w:noProof/>
                <w:sz w:val="14"/>
                <w:szCs w:val="14"/>
              </w:rPr>
            </w:pPr>
            <w:r>
              <w:rPr>
                <w:sz w:val="14"/>
                <w:szCs w:val="14"/>
              </w:rPr>
              <w:t>T +31 (0)88 – 969 7833</w:t>
            </w:r>
          </w:p>
        </w:tc>
        <w:tc>
          <w:tcPr>
            <w:tcW w:w="4503" w:type="dxa"/>
            <w:shd w:val="clear" w:color="auto" w:fill="auto"/>
          </w:tcPr>
          <w:p w14:paraId="130B4CE0" w14:textId="77777777" w:rsidR="00FD1F06" w:rsidRPr="001B4E02" w:rsidRDefault="00FD1F06" w:rsidP="00FF7EE7">
            <w:pPr>
              <w:widowControl w:val="0"/>
              <w:spacing w:after="0" w:line="240" w:lineRule="auto"/>
              <w:ind w:right="-351"/>
              <w:rPr>
                <w:rFonts w:eastAsia="Times New Roman" w:cs="Arial"/>
                <w:noProof/>
                <w:sz w:val="14"/>
                <w:szCs w:val="14"/>
              </w:rPr>
            </w:pPr>
            <w:r>
              <w:rPr>
                <w:sz w:val="14"/>
                <w:szCs w:val="14"/>
              </w:rPr>
              <w:t xml:space="preserve">T +31 (0)88 – 969 7856 </w:t>
            </w:r>
          </w:p>
        </w:tc>
      </w:tr>
      <w:tr w:rsidR="00FD1F06" w:rsidRPr="001B0A34" w14:paraId="3FE38765" w14:textId="77777777" w:rsidTr="00AD5F9B">
        <w:tc>
          <w:tcPr>
            <w:tcW w:w="4502" w:type="dxa"/>
            <w:shd w:val="clear" w:color="auto" w:fill="auto"/>
          </w:tcPr>
          <w:p w14:paraId="5B19D9D2" w14:textId="77777777" w:rsidR="00FD1F06" w:rsidRPr="001B4E02" w:rsidRDefault="00FD1F06" w:rsidP="00FF7EE7">
            <w:pPr>
              <w:widowControl w:val="0"/>
              <w:spacing w:after="0" w:line="240" w:lineRule="auto"/>
              <w:ind w:right="-351"/>
              <w:rPr>
                <w:rFonts w:eastAsia="Times New Roman" w:cs="Arial"/>
                <w:noProof/>
                <w:sz w:val="14"/>
                <w:szCs w:val="14"/>
              </w:rPr>
            </w:pPr>
            <w:r>
              <w:rPr>
                <w:sz w:val="14"/>
                <w:szCs w:val="14"/>
              </w:rPr>
              <w:t>Ansprechpartner: Joost Ruempol</w:t>
            </w:r>
          </w:p>
          <w:p w14:paraId="09C62269" w14:textId="58F15854" w:rsidR="006F12AA" w:rsidRPr="001B4E02" w:rsidRDefault="003C5D45" w:rsidP="00FF7EE7">
            <w:pPr>
              <w:widowControl w:val="0"/>
              <w:spacing w:after="0" w:line="240" w:lineRule="auto"/>
              <w:ind w:right="-351"/>
              <w:rPr>
                <w:rFonts w:eastAsia="Times New Roman" w:cs="Arial"/>
                <w:sz w:val="14"/>
                <w:szCs w:val="14"/>
              </w:rPr>
            </w:pPr>
            <w:hyperlink r:id="rId13" w:history="1">
              <w:r w:rsidR="00DE342F">
                <w:rPr>
                  <w:rStyle w:val="Hyperlink"/>
                  <w:sz w:val="14"/>
                  <w:szCs w:val="14"/>
                </w:rPr>
                <w:t>Media.relations@akzonobel.com</w:t>
              </w:r>
            </w:hyperlink>
            <w:r w:rsidR="00DE342F">
              <w:rPr>
                <w:sz w:val="14"/>
                <w:szCs w:val="14"/>
              </w:rPr>
              <w:t xml:space="preserve"> </w:t>
            </w:r>
          </w:p>
        </w:tc>
        <w:tc>
          <w:tcPr>
            <w:tcW w:w="4503" w:type="dxa"/>
            <w:shd w:val="clear" w:color="auto" w:fill="auto"/>
          </w:tcPr>
          <w:p w14:paraId="1122D6D0" w14:textId="77777777" w:rsidR="00FD1F06" w:rsidRPr="001B4E02" w:rsidRDefault="00FD1F06" w:rsidP="00FF7EE7">
            <w:pPr>
              <w:widowControl w:val="0"/>
              <w:spacing w:after="0" w:line="240" w:lineRule="auto"/>
              <w:ind w:right="-351"/>
              <w:rPr>
                <w:rFonts w:eastAsia="Times New Roman" w:cs="Arial"/>
                <w:sz w:val="14"/>
                <w:szCs w:val="14"/>
              </w:rPr>
            </w:pPr>
            <w:r>
              <w:rPr>
                <w:sz w:val="14"/>
                <w:szCs w:val="14"/>
              </w:rPr>
              <w:t xml:space="preserve">Ansprechpartner: Lloyd </w:t>
            </w:r>
            <w:proofErr w:type="spellStart"/>
            <w:r>
              <w:rPr>
                <w:sz w:val="14"/>
                <w:szCs w:val="14"/>
              </w:rPr>
              <w:t>Midwinter</w:t>
            </w:r>
            <w:proofErr w:type="spellEnd"/>
          </w:p>
          <w:p w14:paraId="009793AD" w14:textId="77777777" w:rsidR="006F12AA" w:rsidRPr="001B4E02" w:rsidRDefault="003C5D45" w:rsidP="00FF7EE7">
            <w:pPr>
              <w:widowControl w:val="0"/>
              <w:spacing w:after="0" w:line="240" w:lineRule="auto"/>
              <w:ind w:right="-351"/>
              <w:rPr>
                <w:rFonts w:eastAsia="Times New Roman" w:cs="Arial"/>
                <w:sz w:val="14"/>
                <w:szCs w:val="14"/>
              </w:rPr>
            </w:pPr>
            <w:hyperlink r:id="rId14" w:history="1">
              <w:r w:rsidR="00DE342F">
                <w:rPr>
                  <w:rStyle w:val="Hyperlink"/>
                  <w:sz w:val="14"/>
                  <w:szCs w:val="14"/>
                </w:rPr>
                <w:t>Investor.relations@akzonobel.com</w:t>
              </w:r>
            </w:hyperlink>
          </w:p>
          <w:p w14:paraId="52090A78" w14:textId="77777777" w:rsidR="008B0D90" w:rsidRPr="000C3070" w:rsidRDefault="008B0D90" w:rsidP="00FF7EE7">
            <w:pPr>
              <w:widowControl w:val="0"/>
              <w:spacing w:after="0" w:line="240" w:lineRule="auto"/>
              <w:ind w:right="-351"/>
              <w:rPr>
                <w:rFonts w:eastAsia="Times New Roman" w:cs="Arial"/>
                <w:sz w:val="14"/>
                <w:szCs w:val="14"/>
              </w:rPr>
            </w:pPr>
          </w:p>
        </w:tc>
      </w:tr>
    </w:tbl>
    <w:p w14:paraId="16CDFEEB" w14:textId="39246A70" w:rsidR="00FD1F06" w:rsidRPr="001B4E02" w:rsidRDefault="00FD1F06" w:rsidP="00FF7EE7">
      <w:pPr>
        <w:spacing w:after="0" w:line="240" w:lineRule="auto"/>
        <w:ind w:right="-351"/>
        <w:jc w:val="both"/>
        <w:rPr>
          <w:rFonts w:eastAsia="Arial" w:cs="Arial"/>
          <w:b/>
          <w:color w:val="000000"/>
          <w:spacing w:val="-1"/>
          <w:sz w:val="14"/>
          <w:szCs w:val="14"/>
        </w:rPr>
      </w:pPr>
      <w:r>
        <w:rPr>
          <w:b/>
          <w:color w:val="000000"/>
          <w:sz w:val="14"/>
          <w:szCs w:val="14"/>
        </w:rPr>
        <w:t>Zukunftsgerichtete Aussagen</w:t>
      </w:r>
    </w:p>
    <w:p w14:paraId="77B92CF3" w14:textId="77777777" w:rsidR="003918C4" w:rsidRPr="001B4E02" w:rsidRDefault="00FD1F06" w:rsidP="00FF7EE7">
      <w:pPr>
        <w:spacing w:after="0" w:line="240" w:lineRule="auto"/>
        <w:ind w:right="-351"/>
        <w:jc w:val="both"/>
        <w:rPr>
          <w:rFonts w:cs="Arial"/>
        </w:rPr>
      </w:pPr>
      <w:r>
        <w:rPr>
          <w:color w:val="000000"/>
          <w:sz w:val="14"/>
          <w:szCs w:val="14"/>
        </w:rPr>
        <w:t xml:space="preserve">Dieser Bericht kann Aussagen enthalten, die sich auf wichtige Themen wie </w:t>
      </w:r>
      <w:proofErr w:type="spellStart"/>
      <w:r>
        <w:rPr>
          <w:color w:val="000000"/>
          <w:sz w:val="14"/>
          <w:szCs w:val="14"/>
        </w:rPr>
        <w:t>AkzoNobels</w:t>
      </w:r>
      <w:proofErr w:type="spellEnd"/>
      <w:r>
        <w:rPr>
          <w:color w:val="000000"/>
          <w:sz w:val="14"/>
          <w:szCs w:val="14"/>
        </w:rPr>
        <w:t xml:space="preserve"> Wachstumsstrategie, zukünftige Finanzergebnisse, Marktpositionen und Produktentwicklungen, Produkte in der Pipeline sowie Produktzulassungen beziehen. Bei ihrer Beurteilung ist zu berücksichtigen, dass alle zukunftsgerichteten Aussagen Unsicherheiten in sich bergen. Es besteht eine Reihe von Faktoren, die zu einer Abweichung der tatsächlichen Ergebnisse von den in diesem Bericht gemachten Voraussagen führen könnten. Dazu gehören unter anderem Preisschwankungen, Wechselkursschwankungen, die Entwicklung von Rohstoffpreisen und Personalkosten, Aufwendungen für Pensionen, physische Risiken und Umweltrisiken, juristische Angelegenheiten und gesetzliche, steuerliche und andere behördliche Maßnahmen sowie der Verkauf von Specialty Chemicals. Die Angaben über Marktpositionen basieren auf Einschätzungen der Geschäftsführung und Informationen externer Spezialisten. Für eine detailliertere Übersicht der Risikofaktoren mit Bezug auf unsere Aktivitäten verweisen wir auf unseren aktuellen „Annual Report“, den Sie auch auf unserer Website: </w:t>
      </w:r>
      <w:hyperlink r:id="rId15" w:history="1">
        <w:r>
          <w:rPr>
            <w:rStyle w:val="Hyperlink"/>
            <w:sz w:val="14"/>
            <w:szCs w:val="14"/>
          </w:rPr>
          <w:t>www.akzonobel.com</w:t>
        </w:r>
      </w:hyperlink>
      <w:r>
        <w:rPr>
          <w:color w:val="000000"/>
          <w:sz w:val="14"/>
          <w:szCs w:val="14"/>
        </w:rPr>
        <w:t xml:space="preserve"> finden.</w:t>
      </w:r>
    </w:p>
    <w:sectPr w:rsidR="003918C4" w:rsidRPr="001B4E02" w:rsidSect="006744C3">
      <w:headerReference w:type="default" r:id="rId16"/>
      <w:footerReference w:type="default" r:id="rId17"/>
      <w:headerReference w:type="first" r:id="rId18"/>
      <w:footerReference w:type="first" r:id="rId19"/>
      <w:pgSz w:w="11906" w:h="16838" w:code="9"/>
      <w:pgMar w:top="2430"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7486" w14:textId="77777777" w:rsidR="006A5C22" w:rsidRDefault="006A5C22" w:rsidP="002E6499">
      <w:pPr>
        <w:spacing w:after="0"/>
      </w:pPr>
      <w:r>
        <w:separator/>
      </w:r>
    </w:p>
  </w:endnote>
  <w:endnote w:type="continuationSeparator" w:id="0">
    <w:p w14:paraId="4AD9CA81" w14:textId="77777777" w:rsidR="006A5C22" w:rsidRDefault="006A5C22" w:rsidP="002E6499">
      <w:pPr>
        <w:spacing w:after="0"/>
      </w:pPr>
      <w:r>
        <w:continuationSeparator/>
      </w:r>
    </w:p>
  </w:endnote>
  <w:endnote w:type="continuationNotice" w:id="1">
    <w:p w14:paraId="04353F64" w14:textId="77777777" w:rsidR="006A5C22" w:rsidRDefault="006A5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Times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47861"/>
      <w:docPartObj>
        <w:docPartGallery w:val="Page Numbers (Bottom of Page)"/>
        <w:docPartUnique/>
      </w:docPartObj>
    </w:sdtPr>
    <w:sdtEndPr/>
    <w:sdtContent>
      <w:p w14:paraId="5939ECE9" w14:textId="77777777" w:rsidR="006A5C22" w:rsidRDefault="006A5C22" w:rsidP="00E71A66">
        <w:pPr>
          <w:pStyle w:val="ANPagenumber"/>
          <w:framePr w:wrap="around"/>
        </w:pPr>
        <w:r>
          <w:fldChar w:fldCharType="begin"/>
        </w:r>
        <w:r>
          <w:instrText xml:space="preserve"> PAGE   \* MERGEFORMAT </w:instrText>
        </w:r>
        <w:r>
          <w:fldChar w:fldCharType="separate"/>
        </w:r>
        <w:r w:rsidR="008F4189">
          <w:rPr>
            <w:noProof/>
          </w:rPr>
          <w:t>3</w:t>
        </w:r>
        <w:r>
          <w:fldChar w:fldCharType="end"/>
        </w:r>
      </w:p>
    </w:sdtContent>
  </w:sdt>
  <w:p w14:paraId="1E4297B7" w14:textId="77777777" w:rsidR="006A5C22" w:rsidRDefault="006A5C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42D" w14:textId="77777777" w:rsidR="006A5C22" w:rsidRDefault="006A5C22">
    <w:pPr>
      <w:pStyle w:val="Fuzeile"/>
    </w:pPr>
    <w:r>
      <w:rPr>
        <w:noProof/>
        <w:lang w:eastAsia="de-DE"/>
      </w:rPr>
      <w:drawing>
        <wp:anchor distT="0" distB="0" distL="114300" distR="114300" simplePos="0" relativeHeight="251659264" behindDoc="1" locked="0" layoutInCell="0" allowOverlap="1" wp14:anchorId="66F4DA8B" wp14:editId="5A70EAAD">
          <wp:simplePos x="0" y="0"/>
          <wp:positionH relativeFrom="page">
            <wp:posOffset>-1905</wp:posOffset>
          </wp:positionH>
          <wp:positionV relativeFrom="page">
            <wp:posOffset>552450</wp:posOffset>
          </wp:positionV>
          <wp:extent cx="7561580" cy="572770"/>
          <wp:effectExtent l="0" t="0" r="1270" b="0"/>
          <wp:wrapNone/>
          <wp:docPr id="28" name="Picture 28"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2170" w14:textId="77777777" w:rsidR="006A5C22" w:rsidRDefault="006A5C22" w:rsidP="002E6499">
      <w:pPr>
        <w:spacing w:after="0"/>
      </w:pPr>
      <w:r>
        <w:separator/>
      </w:r>
    </w:p>
  </w:footnote>
  <w:footnote w:type="continuationSeparator" w:id="0">
    <w:p w14:paraId="15722AEF" w14:textId="77777777" w:rsidR="006A5C22" w:rsidRDefault="006A5C22" w:rsidP="002E6499">
      <w:pPr>
        <w:spacing w:after="0"/>
      </w:pPr>
      <w:r>
        <w:continuationSeparator/>
      </w:r>
    </w:p>
  </w:footnote>
  <w:footnote w:type="continuationNotice" w:id="1">
    <w:p w14:paraId="250968BE" w14:textId="77777777" w:rsidR="006A5C22" w:rsidRDefault="006A5C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4FCD" w14:textId="77777777" w:rsidR="006A5C22" w:rsidRDefault="006A5C22" w:rsidP="007917FF">
    <w:pPr>
      <w:pStyle w:val="Kopfzeile"/>
      <w:tabs>
        <w:tab w:val="clear" w:pos="4536"/>
        <w:tab w:val="clear" w:pos="9072"/>
        <w:tab w:val="left" w:pos="615"/>
        <w:tab w:val="left" w:pos="735"/>
      </w:tabs>
    </w:pPr>
    <w:r>
      <w:rPr>
        <w:noProof/>
        <w:lang w:eastAsia="de-DE"/>
      </w:rPr>
      <w:drawing>
        <wp:anchor distT="0" distB="0" distL="114300" distR="114300" simplePos="0" relativeHeight="251657216" behindDoc="1" locked="1" layoutInCell="0" allowOverlap="1" wp14:anchorId="1A2D4227" wp14:editId="554F86D7">
          <wp:simplePos x="0" y="0"/>
          <wp:positionH relativeFrom="page">
            <wp:posOffset>20320</wp:posOffset>
          </wp:positionH>
          <wp:positionV relativeFrom="page">
            <wp:posOffset>558165</wp:posOffset>
          </wp:positionV>
          <wp:extent cx="7561580" cy="572770"/>
          <wp:effectExtent l="0" t="0" r="1270" b="0"/>
          <wp:wrapNone/>
          <wp:docPr id="27"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r>
      <w:tab/>
    </w:r>
    <w:r>
      <w:tab/>
    </w:r>
  </w:p>
  <w:p w14:paraId="03CD168F" w14:textId="77777777" w:rsidR="006A5C22" w:rsidRDefault="006A5C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3458" w14:textId="77777777" w:rsidR="006A5C22" w:rsidRPr="00E954E7" w:rsidRDefault="006A5C22" w:rsidP="004678D1">
    <w:pPr>
      <w:pStyle w:val="ANLegalEntity"/>
      <w:framePr w:wrap="around" w:y="1126"/>
    </w:pPr>
    <w:r>
      <w:t>Akzo Nobel N.V.</w:t>
    </w:r>
  </w:p>
  <w:p w14:paraId="1677BCF5" w14:textId="77777777" w:rsidR="006A5C22" w:rsidRPr="000C3070" w:rsidRDefault="006A5C22" w:rsidP="004678D1">
    <w:pPr>
      <w:pStyle w:val="ANDepartment"/>
      <w:framePr w:wrap="around" w:y="1126"/>
    </w:pPr>
  </w:p>
  <w:p w14:paraId="0A98C433" w14:textId="77777777" w:rsidR="006A5C22" w:rsidRPr="00E954E7" w:rsidRDefault="006A5C22" w:rsidP="00847B10">
    <w:pPr>
      <w:pStyle w:val="ANTitle"/>
      <w:framePr w:w="10066" w:h="541" w:hRule="exact" w:wrap="around" w:y="1845"/>
    </w:pPr>
    <w:r>
      <w:t xml:space="preserve">Pressemitteilung </w:t>
    </w:r>
  </w:p>
  <w:p w14:paraId="21AB7DB2" w14:textId="77777777" w:rsidR="006A5C22" w:rsidRPr="00F97195" w:rsidRDefault="006A5C22"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rPr>
    </w:pPr>
    <w:r>
      <w:rPr>
        <w:snapToGrid w:val="0"/>
        <w:color w:val="005192"/>
        <w:sz w:val="16"/>
        <w:szCs w:val="16"/>
      </w:rPr>
      <w:t xml:space="preserve">Christian </w:t>
    </w:r>
    <w:proofErr w:type="spellStart"/>
    <w:r>
      <w:rPr>
        <w:snapToGrid w:val="0"/>
        <w:color w:val="005192"/>
        <w:sz w:val="16"/>
        <w:szCs w:val="16"/>
      </w:rPr>
      <w:t>Neefestraat</w:t>
    </w:r>
    <w:proofErr w:type="spellEnd"/>
    <w:r>
      <w:rPr>
        <w:snapToGrid w:val="0"/>
        <w:color w:val="005192"/>
        <w:sz w:val="16"/>
        <w:szCs w:val="16"/>
      </w:rPr>
      <w:t xml:space="preserve"> 2</w:t>
    </w:r>
    <w:r>
      <w:rPr>
        <w:snapToGrid w:val="0"/>
        <w:color w:val="005192"/>
        <w:sz w:val="16"/>
        <w:szCs w:val="16"/>
      </w:rPr>
      <w:tab/>
      <w:t>T</w:t>
    </w:r>
    <w:r>
      <w:rPr>
        <w:snapToGrid w:val="0"/>
        <w:color w:val="005192"/>
        <w:sz w:val="16"/>
        <w:szCs w:val="16"/>
      </w:rPr>
      <w:tab/>
      <w:t>+31 88 969 7833</w:t>
    </w:r>
  </w:p>
  <w:p w14:paraId="4B01CCBC" w14:textId="77777777" w:rsidR="006A5C22" w:rsidRPr="000C3070" w:rsidRDefault="006A5C22"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0C3070">
      <w:rPr>
        <w:snapToGrid w:val="0"/>
        <w:color w:val="005192"/>
        <w:sz w:val="16"/>
        <w:szCs w:val="16"/>
        <w:lang w:val="en-US"/>
      </w:rPr>
      <w:t>1077 WW  Amsterdam</w:t>
    </w:r>
    <w:r w:rsidRPr="000C3070">
      <w:rPr>
        <w:snapToGrid w:val="0"/>
        <w:color w:val="005192"/>
        <w:sz w:val="16"/>
        <w:szCs w:val="16"/>
        <w:lang w:val="en-US"/>
      </w:rPr>
      <w:tab/>
      <w:t>E</w:t>
    </w:r>
    <w:r w:rsidRPr="000C3070">
      <w:rPr>
        <w:snapToGrid w:val="0"/>
        <w:color w:val="005192"/>
        <w:sz w:val="16"/>
        <w:szCs w:val="16"/>
        <w:lang w:val="en-US"/>
      </w:rPr>
      <w:tab/>
      <w:t>media.relations@akzonobel.com</w:t>
    </w:r>
  </w:p>
  <w:p w14:paraId="1F18358B" w14:textId="77777777" w:rsidR="006A5C22" w:rsidRPr="000C3070" w:rsidRDefault="006A5C22"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0C3070">
      <w:rPr>
        <w:snapToGrid w:val="0"/>
        <w:color w:val="005192"/>
        <w:sz w:val="16"/>
        <w:szCs w:val="16"/>
        <w:lang w:val="en-US"/>
      </w:rPr>
      <w:t>P.O. Box 75730</w:t>
    </w:r>
    <w:r w:rsidRPr="000C3070">
      <w:rPr>
        <w:snapToGrid w:val="0"/>
        <w:color w:val="005192"/>
        <w:sz w:val="16"/>
        <w:szCs w:val="16"/>
        <w:lang w:val="en-US"/>
      </w:rPr>
      <w:tab/>
      <w:t>www.akzonobel.com</w:t>
    </w:r>
  </w:p>
  <w:p w14:paraId="7ECAE8E3" w14:textId="77777777" w:rsidR="006A5C22" w:rsidRPr="00F97195" w:rsidRDefault="006A5C22"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rPr>
    </w:pPr>
    <w:r>
      <w:rPr>
        <w:snapToGrid w:val="0"/>
        <w:color w:val="005192"/>
        <w:sz w:val="16"/>
        <w:szCs w:val="16"/>
      </w:rPr>
      <w:t xml:space="preserve">1070 </w:t>
    </w:r>
    <w:proofErr w:type="gramStart"/>
    <w:r>
      <w:rPr>
        <w:snapToGrid w:val="0"/>
        <w:color w:val="005192"/>
        <w:sz w:val="16"/>
        <w:szCs w:val="16"/>
      </w:rPr>
      <w:t>AS  Amsterdam</w:t>
    </w:r>
    <w:proofErr w:type="gramEnd"/>
    <w:r>
      <w:rPr>
        <w:snapToGrid w:val="0"/>
        <w:color w:val="005192"/>
        <w:sz w:val="16"/>
        <w:szCs w:val="16"/>
      </w:rPr>
      <w:tab/>
    </w:r>
  </w:p>
  <w:p w14:paraId="49555309" w14:textId="77777777" w:rsidR="006A5C22" w:rsidRPr="00F97195" w:rsidRDefault="006A5C22"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rPr>
    </w:pPr>
    <w:r>
      <w:rPr>
        <w:snapToGrid w:val="0"/>
        <w:color w:val="005192"/>
        <w:sz w:val="16"/>
        <w:szCs w:val="16"/>
      </w:rPr>
      <w:t>Niederlande</w:t>
    </w:r>
  </w:p>
  <w:p w14:paraId="695F62CC" w14:textId="77777777" w:rsidR="006A5C22" w:rsidRPr="004678D1" w:rsidRDefault="006A5C22" w:rsidP="00E954E7">
    <w:pPr>
      <w:pStyle w:val="ANRegister"/>
      <w:framePr w:wrap="aroun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50BF4"/>
    <w:multiLevelType w:val="hybridMultilevel"/>
    <w:tmpl w:val="90D6E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4A6D25"/>
    <w:multiLevelType w:val="hybridMultilevel"/>
    <w:tmpl w:val="F1F83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0458A"/>
    <w:multiLevelType w:val="hybridMultilevel"/>
    <w:tmpl w:val="BB1E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62B24"/>
    <w:multiLevelType w:val="hybridMultilevel"/>
    <w:tmpl w:val="F9EEA0E4"/>
    <w:lvl w:ilvl="0" w:tplc="42703C8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786C237C">
      <w:start w:val="155"/>
      <w:numFmt w:val="bullet"/>
      <w:lvlText w:val="–"/>
      <w:lvlJc w:val="left"/>
      <w:pPr>
        <w:tabs>
          <w:tab w:val="num" w:pos="1800"/>
        </w:tabs>
        <w:ind w:left="1800" w:hanging="360"/>
      </w:pPr>
      <w:rPr>
        <w:rFonts w:ascii="Arial" w:hAnsi="Arial" w:hint="default"/>
      </w:rPr>
    </w:lvl>
    <w:lvl w:ilvl="3" w:tplc="BFE098E0" w:tentative="1">
      <w:start w:val="1"/>
      <w:numFmt w:val="bullet"/>
      <w:lvlText w:val=""/>
      <w:lvlJc w:val="left"/>
      <w:pPr>
        <w:tabs>
          <w:tab w:val="num" w:pos="2520"/>
        </w:tabs>
        <w:ind w:left="2520" w:hanging="360"/>
      </w:pPr>
      <w:rPr>
        <w:rFonts w:ascii="Symbol" w:hAnsi="Symbol" w:hint="default"/>
      </w:rPr>
    </w:lvl>
    <w:lvl w:ilvl="4" w:tplc="45B23FFA" w:tentative="1">
      <w:start w:val="1"/>
      <w:numFmt w:val="bullet"/>
      <w:lvlText w:val=""/>
      <w:lvlJc w:val="left"/>
      <w:pPr>
        <w:tabs>
          <w:tab w:val="num" w:pos="3240"/>
        </w:tabs>
        <w:ind w:left="3240" w:hanging="360"/>
      </w:pPr>
      <w:rPr>
        <w:rFonts w:ascii="Symbol" w:hAnsi="Symbol" w:hint="default"/>
      </w:rPr>
    </w:lvl>
    <w:lvl w:ilvl="5" w:tplc="A5367C0E" w:tentative="1">
      <w:start w:val="1"/>
      <w:numFmt w:val="bullet"/>
      <w:lvlText w:val=""/>
      <w:lvlJc w:val="left"/>
      <w:pPr>
        <w:tabs>
          <w:tab w:val="num" w:pos="3960"/>
        </w:tabs>
        <w:ind w:left="3960" w:hanging="360"/>
      </w:pPr>
      <w:rPr>
        <w:rFonts w:ascii="Symbol" w:hAnsi="Symbol" w:hint="default"/>
      </w:rPr>
    </w:lvl>
    <w:lvl w:ilvl="6" w:tplc="BCAC9F52" w:tentative="1">
      <w:start w:val="1"/>
      <w:numFmt w:val="bullet"/>
      <w:lvlText w:val=""/>
      <w:lvlJc w:val="left"/>
      <w:pPr>
        <w:tabs>
          <w:tab w:val="num" w:pos="4680"/>
        </w:tabs>
        <w:ind w:left="4680" w:hanging="360"/>
      </w:pPr>
      <w:rPr>
        <w:rFonts w:ascii="Symbol" w:hAnsi="Symbol" w:hint="default"/>
      </w:rPr>
    </w:lvl>
    <w:lvl w:ilvl="7" w:tplc="81926396" w:tentative="1">
      <w:start w:val="1"/>
      <w:numFmt w:val="bullet"/>
      <w:lvlText w:val=""/>
      <w:lvlJc w:val="left"/>
      <w:pPr>
        <w:tabs>
          <w:tab w:val="num" w:pos="5400"/>
        </w:tabs>
        <w:ind w:left="5400" w:hanging="360"/>
      </w:pPr>
      <w:rPr>
        <w:rFonts w:ascii="Symbol" w:hAnsi="Symbol" w:hint="default"/>
      </w:rPr>
    </w:lvl>
    <w:lvl w:ilvl="8" w:tplc="0CE2BDC4" w:tentative="1">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D7"/>
    <w:rsid w:val="000020F3"/>
    <w:rsid w:val="0000323A"/>
    <w:rsid w:val="00007280"/>
    <w:rsid w:val="0001053E"/>
    <w:rsid w:val="00015AF3"/>
    <w:rsid w:val="000172F6"/>
    <w:rsid w:val="00020F0D"/>
    <w:rsid w:val="00021E33"/>
    <w:rsid w:val="00022973"/>
    <w:rsid w:val="00022F5B"/>
    <w:rsid w:val="000246F5"/>
    <w:rsid w:val="000266BE"/>
    <w:rsid w:val="00027BA0"/>
    <w:rsid w:val="0003131C"/>
    <w:rsid w:val="00032B15"/>
    <w:rsid w:val="00032D64"/>
    <w:rsid w:val="00033D84"/>
    <w:rsid w:val="0003438F"/>
    <w:rsid w:val="00034E5D"/>
    <w:rsid w:val="00035F28"/>
    <w:rsid w:val="00036238"/>
    <w:rsid w:val="00036F7E"/>
    <w:rsid w:val="00040106"/>
    <w:rsid w:val="00040118"/>
    <w:rsid w:val="000424D3"/>
    <w:rsid w:val="00043B65"/>
    <w:rsid w:val="0004428D"/>
    <w:rsid w:val="000442F7"/>
    <w:rsid w:val="00044569"/>
    <w:rsid w:val="00051AB2"/>
    <w:rsid w:val="00051E21"/>
    <w:rsid w:val="000524E8"/>
    <w:rsid w:val="00053333"/>
    <w:rsid w:val="00054312"/>
    <w:rsid w:val="000545BB"/>
    <w:rsid w:val="00054CAF"/>
    <w:rsid w:val="00056048"/>
    <w:rsid w:val="0005787E"/>
    <w:rsid w:val="00057EB3"/>
    <w:rsid w:val="00057F9D"/>
    <w:rsid w:val="00061B39"/>
    <w:rsid w:val="00061F00"/>
    <w:rsid w:val="00062EAD"/>
    <w:rsid w:val="0006337C"/>
    <w:rsid w:val="0006356B"/>
    <w:rsid w:val="00063D8F"/>
    <w:rsid w:val="000646D6"/>
    <w:rsid w:val="000646ED"/>
    <w:rsid w:val="00064A0F"/>
    <w:rsid w:val="00065580"/>
    <w:rsid w:val="000669F9"/>
    <w:rsid w:val="00066A92"/>
    <w:rsid w:val="00066F06"/>
    <w:rsid w:val="00067569"/>
    <w:rsid w:val="00070711"/>
    <w:rsid w:val="00071346"/>
    <w:rsid w:val="000724E7"/>
    <w:rsid w:val="00072526"/>
    <w:rsid w:val="0007314C"/>
    <w:rsid w:val="00074FC3"/>
    <w:rsid w:val="000751CB"/>
    <w:rsid w:val="00075279"/>
    <w:rsid w:val="0007684C"/>
    <w:rsid w:val="00076B74"/>
    <w:rsid w:val="0008073E"/>
    <w:rsid w:val="00080B6F"/>
    <w:rsid w:val="00081684"/>
    <w:rsid w:val="00085BB5"/>
    <w:rsid w:val="00087AD4"/>
    <w:rsid w:val="000922D5"/>
    <w:rsid w:val="0009232A"/>
    <w:rsid w:val="000938DD"/>
    <w:rsid w:val="000951D1"/>
    <w:rsid w:val="000958F2"/>
    <w:rsid w:val="00095A44"/>
    <w:rsid w:val="00095A6D"/>
    <w:rsid w:val="000972FA"/>
    <w:rsid w:val="000A15AC"/>
    <w:rsid w:val="000A25F9"/>
    <w:rsid w:val="000A33A6"/>
    <w:rsid w:val="000A3B2D"/>
    <w:rsid w:val="000A3FA5"/>
    <w:rsid w:val="000A42B9"/>
    <w:rsid w:val="000A4F4A"/>
    <w:rsid w:val="000B02DE"/>
    <w:rsid w:val="000B16C2"/>
    <w:rsid w:val="000B236E"/>
    <w:rsid w:val="000B3A31"/>
    <w:rsid w:val="000B3E5C"/>
    <w:rsid w:val="000B4554"/>
    <w:rsid w:val="000B6B43"/>
    <w:rsid w:val="000B6E9F"/>
    <w:rsid w:val="000B7258"/>
    <w:rsid w:val="000C0D40"/>
    <w:rsid w:val="000C178E"/>
    <w:rsid w:val="000C1C62"/>
    <w:rsid w:val="000C1DA8"/>
    <w:rsid w:val="000C1E38"/>
    <w:rsid w:val="000C230D"/>
    <w:rsid w:val="000C3070"/>
    <w:rsid w:val="000C461B"/>
    <w:rsid w:val="000C5421"/>
    <w:rsid w:val="000C5C38"/>
    <w:rsid w:val="000C5DC9"/>
    <w:rsid w:val="000C6782"/>
    <w:rsid w:val="000C6BDC"/>
    <w:rsid w:val="000C7A3F"/>
    <w:rsid w:val="000C7CE9"/>
    <w:rsid w:val="000C7D47"/>
    <w:rsid w:val="000D11B0"/>
    <w:rsid w:val="000D1AEA"/>
    <w:rsid w:val="000D3595"/>
    <w:rsid w:val="000D552F"/>
    <w:rsid w:val="000D7397"/>
    <w:rsid w:val="000E2A4B"/>
    <w:rsid w:val="000E31A8"/>
    <w:rsid w:val="000E407C"/>
    <w:rsid w:val="000E5990"/>
    <w:rsid w:val="000E599D"/>
    <w:rsid w:val="000E647C"/>
    <w:rsid w:val="000E6926"/>
    <w:rsid w:val="000E7C62"/>
    <w:rsid w:val="000F0FC8"/>
    <w:rsid w:val="000F1525"/>
    <w:rsid w:val="000F2F51"/>
    <w:rsid w:val="000F32A3"/>
    <w:rsid w:val="000F43DE"/>
    <w:rsid w:val="000F56B9"/>
    <w:rsid w:val="000F58C8"/>
    <w:rsid w:val="000F7A52"/>
    <w:rsid w:val="001006B3"/>
    <w:rsid w:val="00101A31"/>
    <w:rsid w:val="00101F5B"/>
    <w:rsid w:val="00102141"/>
    <w:rsid w:val="00103655"/>
    <w:rsid w:val="0010640D"/>
    <w:rsid w:val="00106A98"/>
    <w:rsid w:val="00110F7D"/>
    <w:rsid w:val="0011155C"/>
    <w:rsid w:val="00111833"/>
    <w:rsid w:val="001119FB"/>
    <w:rsid w:val="00111EA7"/>
    <w:rsid w:val="0011223F"/>
    <w:rsid w:val="00112792"/>
    <w:rsid w:val="00114D41"/>
    <w:rsid w:val="001173A5"/>
    <w:rsid w:val="00117D28"/>
    <w:rsid w:val="00120DBB"/>
    <w:rsid w:val="00121EEC"/>
    <w:rsid w:val="00122861"/>
    <w:rsid w:val="00122C0A"/>
    <w:rsid w:val="00123DC8"/>
    <w:rsid w:val="00124C58"/>
    <w:rsid w:val="001254E9"/>
    <w:rsid w:val="00126204"/>
    <w:rsid w:val="001265A6"/>
    <w:rsid w:val="00126898"/>
    <w:rsid w:val="00127053"/>
    <w:rsid w:val="00134159"/>
    <w:rsid w:val="00134526"/>
    <w:rsid w:val="00136B38"/>
    <w:rsid w:val="0014071D"/>
    <w:rsid w:val="001414FA"/>
    <w:rsid w:val="00143C44"/>
    <w:rsid w:val="00144218"/>
    <w:rsid w:val="001445B5"/>
    <w:rsid w:val="00144782"/>
    <w:rsid w:val="001455E3"/>
    <w:rsid w:val="00146266"/>
    <w:rsid w:val="00146BED"/>
    <w:rsid w:val="001512DB"/>
    <w:rsid w:val="00151603"/>
    <w:rsid w:val="001529B1"/>
    <w:rsid w:val="00153E92"/>
    <w:rsid w:val="00155517"/>
    <w:rsid w:val="001568CB"/>
    <w:rsid w:val="00157467"/>
    <w:rsid w:val="00157980"/>
    <w:rsid w:val="001606C6"/>
    <w:rsid w:val="0016276B"/>
    <w:rsid w:val="00162AF7"/>
    <w:rsid w:val="00163100"/>
    <w:rsid w:val="001641F9"/>
    <w:rsid w:val="00165C4E"/>
    <w:rsid w:val="0016773F"/>
    <w:rsid w:val="001727DB"/>
    <w:rsid w:val="00173177"/>
    <w:rsid w:val="001815A6"/>
    <w:rsid w:val="001818B7"/>
    <w:rsid w:val="001824C9"/>
    <w:rsid w:val="00182A38"/>
    <w:rsid w:val="00183880"/>
    <w:rsid w:val="00183977"/>
    <w:rsid w:val="00185187"/>
    <w:rsid w:val="00185863"/>
    <w:rsid w:val="001869EA"/>
    <w:rsid w:val="00190EAB"/>
    <w:rsid w:val="001929ED"/>
    <w:rsid w:val="00192ED4"/>
    <w:rsid w:val="00196184"/>
    <w:rsid w:val="00197518"/>
    <w:rsid w:val="001A1269"/>
    <w:rsid w:val="001A12FF"/>
    <w:rsid w:val="001A16D4"/>
    <w:rsid w:val="001A2BCA"/>
    <w:rsid w:val="001A3C2E"/>
    <w:rsid w:val="001A61EC"/>
    <w:rsid w:val="001A77D7"/>
    <w:rsid w:val="001A780A"/>
    <w:rsid w:val="001A7DAB"/>
    <w:rsid w:val="001A7F57"/>
    <w:rsid w:val="001B0A34"/>
    <w:rsid w:val="001B0DC9"/>
    <w:rsid w:val="001B11DB"/>
    <w:rsid w:val="001B1BFE"/>
    <w:rsid w:val="001B1FD0"/>
    <w:rsid w:val="001B2135"/>
    <w:rsid w:val="001B4C1A"/>
    <w:rsid w:val="001B4E02"/>
    <w:rsid w:val="001B7A4F"/>
    <w:rsid w:val="001C03EA"/>
    <w:rsid w:val="001C0829"/>
    <w:rsid w:val="001C0FFD"/>
    <w:rsid w:val="001C1B9B"/>
    <w:rsid w:val="001C34A2"/>
    <w:rsid w:val="001C44AF"/>
    <w:rsid w:val="001C5786"/>
    <w:rsid w:val="001C5F86"/>
    <w:rsid w:val="001C7A21"/>
    <w:rsid w:val="001D14CF"/>
    <w:rsid w:val="001D2EE9"/>
    <w:rsid w:val="001D370D"/>
    <w:rsid w:val="001D71AA"/>
    <w:rsid w:val="001E09D2"/>
    <w:rsid w:val="001E1D44"/>
    <w:rsid w:val="001E2CE7"/>
    <w:rsid w:val="001E3C7E"/>
    <w:rsid w:val="001E5183"/>
    <w:rsid w:val="001E5EE5"/>
    <w:rsid w:val="001F00AA"/>
    <w:rsid w:val="001F0936"/>
    <w:rsid w:val="001F1B61"/>
    <w:rsid w:val="001F583E"/>
    <w:rsid w:val="00200EE9"/>
    <w:rsid w:val="0020101E"/>
    <w:rsid w:val="00202F00"/>
    <w:rsid w:val="002034FF"/>
    <w:rsid w:val="00204259"/>
    <w:rsid w:val="00205D49"/>
    <w:rsid w:val="00205F2F"/>
    <w:rsid w:val="00210504"/>
    <w:rsid w:val="00211E04"/>
    <w:rsid w:val="00211E7B"/>
    <w:rsid w:val="00212222"/>
    <w:rsid w:val="00212C69"/>
    <w:rsid w:val="00213379"/>
    <w:rsid w:val="002145EE"/>
    <w:rsid w:val="0021778D"/>
    <w:rsid w:val="00217C4C"/>
    <w:rsid w:val="00220626"/>
    <w:rsid w:val="00220771"/>
    <w:rsid w:val="002214B6"/>
    <w:rsid w:val="00222FFC"/>
    <w:rsid w:val="0022310F"/>
    <w:rsid w:val="002270B1"/>
    <w:rsid w:val="00232DE9"/>
    <w:rsid w:val="00232FE5"/>
    <w:rsid w:val="00234881"/>
    <w:rsid w:val="00234FE8"/>
    <w:rsid w:val="002357FF"/>
    <w:rsid w:val="00236F00"/>
    <w:rsid w:val="002372A0"/>
    <w:rsid w:val="002411DD"/>
    <w:rsid w:val="00243B7A"/>
    <w:rsid w:val="0024497F"/>
    <w:rsid w:val="00246EC6"/>
    <w:rsid w:val="00247510"/>
    <w:rsid w:val="00251B7A"/>
    <w:rsid w:val="00254574"/>
    <w:rsid w:val="00254D71"/>
    <w:rsid w:val="0026087F"/>
    <w:rsid w:val="00264EC8"/>
    <w:rsid w:val="00265C22"/>
    <w:rsid w:val="00266543"/>
    <w:rsid w:val="00266960"/>
    <w:rsid w:val="002713ED"/>
    <w:rsid w:val="002716A9"/>
    <w:rsid w:val="0027307C"/>
    <w:rsid w:val="00276055"/>
    <w:rsid w:val="00277896"/>
    <w:rsid w:val="00277989"/>
    <w:rsid w:val="00277D07"/>
    <w:rsid w:val="00277DD7"/>
    <w:rsid w:val="002805E3"/>
    <w:rsid w:val="002814F2"/>
    <w:rsid w:val="00283EE9"/>
    <w:rsid w:val="002854EF"/>
    <w:rsid w:val="0028741B"/>
    <w:rsid w:val="00287AD2"/>
    <w:rsid w:val="00287FBC"/>
    <w:rsid w:val="0029076E"/>
    <w:rsid w:val="002925B9"/>
    <w:rsid w:val="00292942"/>
    <w:rsid w:val="002947AC"/>
    <w:rsid w:val="00296034"/>
    <w:rsid w:val="00296D0B"/>
    <w:rsid w:val="002A0ABB"/>
    <w:rsid w:val="002A1027"/>
    <w:rsid w:val="002A3733"/>
    <w:rsid w:val="002A57AA"/>
    <w:rsid w:val="002A5B07"/>
    <w:rsid w:val="002A5BC9"/>
    <w:rsid w:val="002B1D47"/>
    <w:rsid w:val="002B2E25"/>
    <w:rsid w:val="002B2E6B"/>
    <w:rsid w:val="002B50D6"/>
    <w:rsid w:val="002B5387"/>
    <w:rsid w:val="002B73E0"/>
    <w:rsid w:val="002C0E79"/>
    <w:rsid w:val="002C103A"/>
    <w:rsid w:val="002C2348"/>
    <w:rsid w:val="002C2DA4"/>
    <w:rsid w:val="002C6674"/>
    <w:rsid w:val="002C7C5D"/>
    <w:rsid w:val="002D056A"/>
    <w:rsid w:val="002D0570"/>
    <w:rsid w:val="002D0619"/>
    <w:rsid w:val="002D0A9D"/>
    <w:rsid w:val="002D1CF9"/>
    <w:rsid w:val="002D2E1D"/>
    <w:rsid w:val="002E079D"/>
    <w:rsid w:val="002E11C2"/>
    <w:rsid w:val="002E13CD"/>
    <w:rsid w:val="002E1FC3"/>
    <w:rsid w:val="002E2141"/>
    <w:rsid w:val="002E2CED"/>
    <w:rsid w:val="002E37A6"/>
    <w:rsid w:val="002E3A8A"/>
    <w:rsid w:val="002E3AA5"/>
    <w:rsid w:val="002E4281"/>
    <w:rsid w:val="002E4973"/>
    <w:rsid w:val="002E4C8B"/>
    <w:rsid w:val="002E4CA9"/>
    <w:rsid w:val="002E59DD"/>
    <w:rsid w:val="002E6499"/>
    <w:rsid w:val="002E6995"/>
    <w:rsid w:val="002E720D"/>
    <w:rsid w:val="002E7D52"/>
    <w:rsid w:val="002E7EB0"/>
    <w:rsid w:val="002F04B9"/>
    <w:rsid w:val="002F1D66"/>
    <w:rsid w:val="002F1F34"/>
    <w:rsid w:val="002F231C"/>
    <w:rsid w:val="002F240A"/>
    <w:rsid w:val="002F2852"/>
    <w:rsid w:val="002F2BFC"/>
    <w:rsid w:val="002F3F09"/>
    <w:rsid w:val="002F47F5"/>
    <w:rsid w:val="002F4B36"/>
    <w:rsid w:val="00300E5F"/>
    <w:rsid w:val="003018FA"/>
    <w:rsid w:val="0030318F"/>
    <w:rsid w:val="00303F8C"/>
    <w:rsid w:val="003058E4"/>
    <w:rsid w:val="003128BA"/>
    <w:rsid w:val="0031463A"/>
    <w:rsid w:val="00314CC3"/>
    <w:rsid w:val="003168FB"/>
    <w:rsid w:val="00321D2B"/>
    <w:rsid w:val="00325F5A"/>
    <w:rsid w:val="00326F2A"/>
    <w:rsid w:val="00327EC7"/>
    <w:rsid w:val="00330DD2"/>
    <w:rsid w:val="0033375B"/>
    <w:rsid w:val="00333BAC"/>
    <w:rsid w:val="00340A46"/>
    <w:rsid w:val="00341C09"/>
    <w:rsid w:val="003423D6"/>
    <w:rsid w:val="00342617"/>
    <w:rsid w:val="00342B74"/>
    <w:rsid w:val="0034328A"/>
    <w:rsid w:val="003432B8"/>
    <w:rsid w:val="003453C4"/>
    <w:rsid w:val="00346E4B"/>
    <w:rsid w:val="00346FA1"/>
    <w:rsid w:val="003479BC"/>
    <w:rsid w:val="00347D50"/>
    <w:rsid w:val="0035091E"/>
    <w:rsid w:val="003537A7"/>
    <w:rsid w:val="003548C5"/>
    <w:rsid w:val="00354EF2"/>
    <w:rsid w:val="00355C5D"/>
    <w:rsid w:val="00355DCE"/>
    <w:rsid w:val="003573E8"/>
    <w:rsid w:val="00357526"/>
    <w:rsid w:val="0036112A"/>
    <w:rsid w:val="00361E17"/>
    <w:rsid w:val="003629C1"/>
    <w:rsid w:val="0036315F"/>
    <w:rsid w:val="0036390E"/>
    <w:rsid w:val="00363BD4"/>
    <w:rsid w:val="00364787"/>
    <w:rsid w:val="003653DF"/>
    <w:rsid w:val="00365FD1"/>
    <w:rsid w:val="003679F5"/>
    <w:rsid w:val="0037027C"/>
    <w:rsid w:val="00370E77"/>
    <w:rsid w:val="00373F01"/>
    <w:rsid w:val="00374AAD"/>
    <w:rsid w:val="00375285"/>
    <w:rsid w:val="00376369"/>
    <w:rsid w:val="0037653A"/>
    <w:rsid w:val="003770D6"/>
    <w:rsid w:val="00382E5F"/>
    <w:rsid w:val="00385383"/>
    <w:rsid w:val="003857F6"/>
    <w:rsid w:val="00385DD7"/>
    <w:rsid w:val="00387183"/>
    <w:rsid w:val="00391322"/>
    <w:rsid w:val="003918C4"/>
    <w:rsid w:val="003920AA"/>
    <w:rsid w:val="0039318E"/>
    <w:rsid w:val="0039369E"/>
    <w:rsid w:val="00396B7B"/>
    <w:rsid w:val="00396D51"/>
    <w:rsid w:val="003A053F"/>
    <w:rsid w:val="003A0B53"/>
    <w:rsid w:val="003A0BAD"/>
    <w:rsid w:val="003A15D4"/>
    <w:rsid w:val="003A1785"/>
    <w:rsid w:val="003A21C6"/>
    <w:rsid w:val="003A3FFB"/>
    <w:rsid w:val="003A5073"/>
    <w:rsid w:val="003A5A86"/>
    <w:rsid w:val="003A7587"/>
    <w:rsid w:val="003B012D"/>
    <w:rsid w:val="003B1433"/>
    <w:rsid w:val="003B1553"/>
    <w:rsid w:val="003B19E4"/>
    <w:rsid w:val="003B232B"/>
    <w:rsid w:val="003B278C"/>
    <w:rsid w:val="003B2B57"/>
    <w:rsid w:val="003B39D1"/>
    <w:rsid w:val="003B430C"/>
    <w:rsid w:val="003B4741"/>
    <w:rsid w:val="003B58ED"/>
    <w:rsid w:val="003B5BEB"/>
    <w:rsid w:val="003B637B"/>
    <w:rsid w:val="003C07FF"/>
    <w:rsid w:val="003C1E6B"/>
    <w:rsid w:val="003C588B"/>
    <w:rsid w:val="003C5D45"/>
    <w:rsid w:val="003C639F"/>
    <w:rsid w:val="003C64EC"/>
    <w:rsid w:val="003D346A"/>
    <w:rsid w:val="003D5BEB"/>
    <w:rsid w:val="003D724C"/>
    <w:rsid w:val="003E0AD4"/>
    <w:rsid w:val="003E196C"/>
    <w:rsid w:val="003E3C19"/>
    <w:rsid w:val="003E41DF"/>
    <w:rsid w:val="003E58A6"/>
    <w:rsid w:val="003E59C3"/>
    <w:rsid w:val="003E60B7"/>
    <w:rsid w:val="003E7889"/>
    <w:rsid w:val="003E7B2A"/>
    <w:rsid w:val="003F0B5D"/>
    <w:rsid w:val="003F2E08"/>
    <w:rsid w:val="003F38BA"/>
    <w:rsid w:val="003F6054"/>
    <w:rsid w:val="003F6155"/>
    <w:rsid w:val="003F6A5D"/>
    <w:rsid w:val="00400F96"/>
    <w:rsid w:val="0040224D"/>
    <w:rsid w:val="0040450F"/>
    <w:rsid w:val="004047D1"/>
    <w:rsid w:val="00404CB6"/>
    <w:rsid w:val="004057E5"/>
    <w:rsid w:val="00405E55"/>
    <w:rsid w:val="0040750F"/>
    <w:rsid w:val="00407DDA"/>
    <w:rsid w:val="0041035B"/>
    <w:rsid w:val="0041215C"/>
    <w:rsid w:val="00412913"/>
    <w:rsid w:val="004158CA"/>
    <w:rsid w:val="0041640E"/>
    <w:rsid w:val="00416B3A"/>
    <w:rsid w:val="00417407"/>
    <w:rsid w:val="00417A8C"/>
    <w:rsid w:val="00420603"/>
    <w:rsid w:val="00420C38"/>
    <w:rsid w:val="00423BED"/>
    <w:rsid w:val="00425586"/>
    <w:rsid w:val="004258B1"/>
    <w:rsid w:val="00427ED5"/>
    <w:rsid w:val="00431151"/>
    <w:rsid w:val="00433702"/>
    <w:rsid w:val="004370E9"/>
    <w:rsid w:val="00437E24"/>
    <w:rsid w:val="00440AB9"/>
    <w:rsid w:val="00442232"/>
    <w:rsid w:val="004422A9"/>
    <w:rsid w:val="00444121"/>
    <w:rsid w:val="00444A41"/>
    <w:rsid w:val="00450249"/>
    <w:rsid w:val="0045032C"/>
    <w:rsid w:val="00451537"/>
    <w:rsid w:val="00451571"/>
    <w:rsid w:val="00451C3B"/>
    <w:rsid w:val="00451ED8"/>
    <w:rsid w:val="00452015"/>
    <w:rsid w:val="0045211F"/>
    <w:rsid w:val="0045312F"/>
    <w:rsid w:val="004535F1"/>
    <w:rsid w:val="00453B67"/>
    <w:rsid w:val="00457995"/>
    <w:rsid w:val="0046129C"/>
    <w:rsid w:val="004617A4"/>
    <w:rsid w:val="00462F79"/>
    <w:rsid w:val="00464CA3"/>
    <w:rsid w:val="004651DC"/>
    <w:rsid w:val="0046658D"/>
    <w:rsid w:val="00466B00"/>
    <w:rsid w:val="00466C70"/>
    <w:rsid w:val="004674E0"/>
    <w:rsid w:val="004678D1"/>
    <w:rsid w:val="0047056C"/>
    <w:rsid w:val="004715CA"/>
    <w:rsid w:val="00471770"/>
    <w:rsid w:val="00471FAA"/>
    <w:rsid w:val="004723CA"/>
    <w:rsid w:val="00472AD6"/>
    <w:rsid w:val="00473B58"/>
    <w:rsid w:val="00474A79"/>
    <w:rsid w:val="00476975"/>
    <w:rsid w:val="004777B3"/>
    <w:rsid w:val="004807FF"/>
    <w:rsid w:val="00480DCF"/>
    <w:rsid w:val="00484726"/>
    <w:rsid w:val="00490B14"/>
    <w:rsid w:val="00490DB0"/>
    <w:rsid w:val="00491066"/>
    <w:rsid w:val="00491160"/>
    <w:rsid w:val="0049251F"/>
    <w:rsid w:val="00493607"/>
    <w:rsid w:val="004942EA"/>
    <w:rsid w:val="004947AA"/>
    <w:rsid w:val="00495A10"/>
    <w:rsid w:val="00496105"/>
    <w:rsid w:val="00496871"/>
    <w:rsid w:val="0049701F"/>
    <w:rsid w:val="004A2843"/>
    <w:rsid w:val="004A55C9"/>
    <w:rsid w:val="004A6532"/>
    <w:rsid w:val="004A69AB"/>
    <w:rsid w:val="004A757B"/>
    <w:rsid w:val="004B0859"/>
    <w:rsid w:val="004B10CB"/>
    <w:rsid w:val="004B14A8"/>
    <w:rsid w:val="004B28D7"/>
    <w:rsid w:val="004B3695"/>
    <w:rsid w:val="004B7C40"/>
    <w:rsid w:val="004C1172"/>
    <w:rsid w:val="004C3DA0"/>
    <w:rsid w:val="004C4644"/>
    <w:rsid w:val="004C4E08"/>
    <w:rsid w:val="004C553D"/>
    <w:rsid w:val="004C6CC2"/>
    <w:rsid w:val="004D00F1"/>
    <w:rsid w:val="004D0EBB"/>
    <w:rsid w:val="004D2044"/>
    <w:rsid w:val="004D23BA"/>
    <w:rsid w:val="004D2BE3"/>
    <w:rsid w:val="004D2DD6"/>
    <w:rsid w:val="004D4737"/>
    <w:rsid w:val="004D5234"/>
    <w:rsid w:val="004D52B1"/>
    <w:rsid w:val="004D5B13"/>
    <w:rsid w:val="004D62EC"/>
    <w:rsid w:val="004E0695"/>
    <w:rsid w:val="004E2B7D"/>
    <w:rsid w:val="004E386F"/>
    <w:rsid w:val="004E5143"/>
    <w:rsid w:val="004F2D4A"/>
    <w:rsid w:val="004F3F23"/>
    <w:rsid w:val="004F480F"/>
    <w:rsid w:val="004F68DD"/>
    <w:rsid w:val="004F6EC8"/>
    <w:rsid w:val="004F72C1"/>
    <w:rsid w:val="00501AE7"/>
    <w:rsid w:val="00501C0B"/>
    <w:rsid w:val="00501D4D"/>
    <w:rsid w:val="00502790"/>
    <w:rsid w:val="00506235"/>
    <w:rsid w:val="0050665E"/>
    <w:rsid w:val="00507651"/>
    <w:rsid w:val="00510A60"/>
    <w:rsid w:val="00512175"/>
    <w:rsid w:val="00512E34"/>
    <w:rsid w:val="00515B1A"/>
    <w:rsid w:val="00517D6E"/>
    <w:rsid w:val="00522943"/>
    <w:rsid w:val="00525682"/>
    <w:rsid w:val="005266F3"/>
    <w:rsid w:val="00526A43"/>
    <w:rsid w:val="00527A7C"/>
    <w:rsid w:val="0053001C"/>
    <w:rsid w:val="00530450"/>
    <w:rsid w:val="005308D4"/>
    <w:rsid w:val="00531713"/>
    <w:rsid w:val="0053231F"/>
    <w:rsid w:val="005329F0"/>
    <w:rsid w:val="005331FA"/>
    <w:rsid w:val="00534730"/>
    <w:rsid w:val="005360C6"/>
    <w:rsid w:val="00536B42"/>
    <w:rsid w:val="0053794E"/>
    <w:rsid w:val="00541018"/>
    <w:rsid w:val="00541EFF"/>
    <w:rsid w:val="005420E9"/>
    <w:rsid w:val="00542B97"/>
    <w:rsid w:val="005430EA"/>
    <w:rsid w:val="005432C8"/>
    <w:rsid w:val="005455E8"/>
    <w:rsid w:val="00547C34"/>
    <w:rsid w:val="005509DD"/>
    <w:rsid w:val="0055104A"/>
    <w:rsid w:val="00551902"/>
    <w:rsid w:val="00551A05"/>
    <w:rsid w:val="005548F1"/>
    <w:rsid w:val="00555F57"/>
    <w:rsid w:val="00556F8C"/>
    <w:rsid w:val="0055701B"/>
    <w:rsid w:val="005570E1"/>
    <w:rsid w:val="00557808"/>
    <w:rsid w:val="00560206"/>
    <w:rsid w:val="005608FC"/>
    <w:rsid w:val="0056096C"/>
    <w:rsid w:val="00561247"/>
    <w:rsid w:val="0056128B"/>
    <w:rsid w:val="00561657"/>
    <w:rsid w:val="0056375B"/>
    <w:rsid w:val="005638BD"/>
    <w:rsid w:val="00564190"/>
    <w:rsid w:val="005648C0"/>
    <w:rsid w:val="0056507F"/>
    <w:rsid w:val="00566BE3"/>
    <w:rsid w:val="005676F7"/>
    <w:rsid w:val="0057027B"/>
    <w:rsid w:val="005724F4"/>
    <w:rsid w:val="00573A84"/>
    <w:rsid w:val="00574FD3"/>
    <w:rsid w:val="00575866"/>
    <w:rsid w:val="00577998"/>
    <w:rsid w:val="00577AD8"/>
    <w:rsid w:val="005826AA"/>
    <w:rsid w:val="005828ED"/>
    <w:rsid w:val="005832C2"/>
    <w:rsid w:val="0058447D"/>
    <w:rsid w:val="00584E9E"/>
    <w:rsid w:val="0058593D"/>
    <w:rsid w:val="0059036E"/>
    <w:rsid w:val="00590598"/>
    <w:rsid w:val="00590FD8"/>
    <w:rsid w:val="005A0BC4"/>
    <w:rsid w:val="005A1FD4"/>
    <w:rsid w:val="005A2354"/>
    <w:rsid w:val="005A33CB"/>
    <w:rsid w:val="005A5A65"/>
    <w:rsid w:val="005A7268"/>
    <w:rsid w:val="005A7446"/>
    <w:rsid w:val="005B0E48"/>
    <w:rsid w:val="005B2ACA"/>
    <w:rsid w:val="005B3E33"/>
    <w:rsid w:val="005B7142"/>
    <w:rsid w:val="005C1272"/>
    <w:rsid w:val="005C1BD3"/>
    <w:rsid w:val="005C1C52"/>
    <w:rsid w:val="005C2252"/>
    <w:rsid w:val="005C2E4C"/>
    <w:rsid w:val="005C4563"/>
    <w:rsid w:val="005C5325"/>
    <w:rsid w:val="005C6408"/>
    <w:rsid w:val="005D026B"/>
    <w:rsid w:val="005D0550"/>
    <w:rsid w:val="005D194E"/>
    <w:rsid w:val="005D1D14"/>
    <w:rsid w:val="005D2109"/>
    <w:rsid w:val="005D244A"/>
    <w:rsid w:val="005D2458"/>
    <w:rsid w:val="005D2F08"/>
    <w:rsid w:val="005D4E5D"/>
    <w:rsid w:val="005D5EF9"/>
    <w:rsid w:val="005E068D"/>
    <w:rsid w:val="005E07FC"/>
    <w:rsid w:val="005E30A8"/>
    <w:rsid w:val="005E3FFF"/>
    <w:rsid w:val="005E6F72"/>
    <w:rsid w:val="005E734E"/>
    <w:rsid w:val="005E7F1A"/>
    <w:rsid w:val="005F089D"/>
    <w:rsid w:val="005F107C"/>
    <w:rsid w:val="005F25DE"/>
    <w:rsid w:val="005F3ADD"/>
    <w:rsid w:val="005F3D0D"/>
    <w:rsid w:val="005F5266"/>
    <w:rsid w:val="005F5F92"/>
    <w:rsid w:val="005F6CDF"/>
    <w:rsid w:val="00600190"/>
    <w:rsid w:val="00604FD8"/>
    <w:rsid w:val="006059BD"/>
    <w:rsid w:val="00607679"/>
    <w:rsid w:val="0061006E"/>
    <w:rsid w:val="006107A1"/>
    <w:rsid w:val="006115B7"/>
    <w:rsid w:val="00611959"/>
    <w:rsid w:val="006131F7"/>
    <w:rsid w:val="00613209"/>
    <w:rsid w:val="0061367A"/>
    <w:rsid w:val="00616A4C"/>
    <w:rsid w:val="00616ABF"/>
    <w:rsid w:val="00616B4B"/>
    <w:rsid w:val="00617D64"/>
    <w:rsid w:val="00621778"/>
    <w:rsid w:val="0062408F"/>
    <w:rsid w:val="00625B9A"/>
    <w:rsid w:val="00625E9D"/>
    <w:rsid w:val="0062723D"/>
    <w:rsid w:val="006277BC"/>
    <w:rsid w:val="0063010E"/>
    <w:rsid w:val="006313F4"/>
    <w:rsid w:val="00631CD6"/>
    <w:rsid w:val="006341F7"/>
    <w:rsid w:val="00636CE6"/>
    <w:rsid w:val="00636DEF"/>
    <w:rsid w:val="00636F4F"/>
    <w:rsid w:val="0063728E"/>
    <w:rsid w:val="00640789"/>
    <w:rsid w:val="00642111"/>
    <w:rsid w:val="00642532"/>
    <w:rsid w:val="00642C26"/>
    <w:rsid w:val="00643426"/>
    <w:rsid w:val="00643F52"/>
    <w:rsid w:val="00645AA1"/>
    <w:rsid w:val="00646457"/>
    <w:rsid w:val="00647525"/>
    <w:rsid w:val="00647660"/>
    <w:rsid w:val="006504AC"/>
    <w:rsid w:val="006539C9"/>
    <w:rsid w:val="0065446A"/>
    <w:rsid w:val="00654A41"/>
    <w:rsid w:val="00657847"/>
    <w:rsid w:val="0066273F"/>
    <w:rsid w:val="00662DA9"/>
    <w:rsid w:val="00662FB2"/>
    <w:rsid w:val="00663621"/>
    <w:rsid w:val="006644F8"/>
    <w:rsid w:val="00664C3F"/>
    <w:rsid w:val="00665A89"/>
    <w:rsid w:val="00666E51"/>
    <w:rsid w:val="00666EC1"/>
    <w:rsid w:val="00666F54"/>
    <w:rsid w:val="00673C88"/>
    <w:rsid w:val="00673DBA"/>
    <w:rsid w:val="006744C3"/>
    <w:rsid w:val="00675636"/>
    <w:rsid w:val="00675BBB"/>
    <w:rsid w:val="00676590"/>
    <w:rsid w:val="00676D7A"/>
    <w:rsid w:val="00677FAE"/>
    <w:rsid w:val="00680239"/>
    <w:rsid w:val="00680729"/>
    <w:rsid w:val="00680E9D"/>
    <w:rsid w:val="00681BA8"/>
    <w:rsid w:val="00681D4D"/>
    <w:rsid w:val="00682B6D"/>
    <w:rsid w:val="00683250"/>
    <w:rsid w:val="0068411D"/>
    <w:rsid w:val="0068476E"/>
    <w:rsid w:val="00686900"/>
    <w:rsid w:val="0068710C"/>
    <w:rsid w:val="006872C8"/>
    <w:rsid w:val="00687944"/>
    <w:rsid w:val="0069139A"/>
    <w:rsid w:val="00693D5C"/>
    <w:rsid w:val="0069409C"/>
    <w:rsid w:val="006949D8"/>
    <w:rsid w:val="00695E5E"/>
    <w:rsid w:val="006964A1"/>
    <w:rsid w:val="00697381"/>
    <w:rsid w:val="006A01C4"/>
    <w:rsid w:val="006A025F"/>
    <w:rsid w:val="006A0ABE"/>
    <w:rsid w:val="006A154E"/>
    <w:rsid w:val="006A1717"/>
    <w:rsid w:val="006A2657"/>
    <w:rsid w:val="006A3314"/>
    <w:rsid w:val="006A34E5"/>
    <w:rsid w:val="006A4CD6"/>
    <w:rsid w:val="006A5446"/>
    <w:rsid w:val="006A5C22"/>
    <w:rsid w:val="006A5D53"/>
    <w:rsid w:val="006B0491"/>
    <w:rsid w:val="006B2897"/>
    <w:rsid w:val="006B3A74"/>
    <w:rsid w:val="006B5115"/>
    <w:rsid w:val="006B542A"/>
    <w:rsid w:val="006C08C0"/>
    <w:rsid w:val="006C22CE"/>
    <w:rsid w:val="006C22F5"/>
    <w:rsid w:val="006C3C95"/>
    <w:rsid w:val="006C4017"/>
    <w:rsid w:val="006C4117"/>
    <w:rsid w:val="006C47BD"/>
    <w:rsid w:val="006C563F"/>
    <w:rsid w:val="006C657D"/>
    <w:rsid w:val="006D231D"/>
    <w:rsid w:val="006D79A8"/>
    <w:rsid w:val="006E139F"/>
    <w:rsid w:val="006E2A5B"/>
    <w:rsid w:val="006E321E"/>
    <w:rsid w:val="006E44E2"/>
    <w:rsid w:val="006E55AD"/>
    <w:rsid w:val="006E68B0"/>
    <w:rsid w:val="006E6FF3"/>
    <w:rsid w:val="006F0EC0"/>
    <w:rsid w:val="006F12AA"/>
    <w:rsid w:val="006F33F3"/>
    <w:rsid w:val="006F4495"/>
    <w:rsid w:val="006F44D4"/>
    <w:rsid w:val="006F555B"/>
    <w:rsid w:val="006F5DB3"/>
    <w:rsid w:val="006F6BFF"/>
    <w:rsid w:val="006F6C0F"/>
    <w:rsid w:val="006F7881"/>
    <w:rsid w:val="00700C20"/>
    <w:rsid w:val="0070120B"/>
    <w:rsid w:val="00701B42"/>
    <w:rsid w:val="00702D34"/>
    <w:rsid w:val="00704188"/>
    <w:rsid w:val="00707CDD"/>
    <w:rsid w:val="00710216"/>
    <w:rsid w:val="00710303"/>
    <w:rsid w:val="00710952"/>
    <w:rsid w:val="0071298C"/>
    <w:rsid w:val="00712CAB"/>
    <w:rsid w:val="00712CE5"/>
    <w:rsid w:val="00713A11"/>
    <w:rsid w:val="00713EBB"/>
    <w:rsid w:val="007233CB"/>
    <w:rsid w:val="00724712"/>
    <w:rsid w:val="00725C35"/>
    <w:rsid w:val="00726AF9"/>
    <w:rsid w:val="00727985"/>
    <w:rsid w:val="00727A73"/>
    <w:rsid w:val="007305E4"/>
    <w:rsid w:val="00730F55"/>
    <w:rsid w:val="00731B8D"/>
    <w:rsid w:val="00732E95"/>
    <w:rsid w:val="007337A7"/>
    <w:rsid w:val="00733FB9"/>
    <w:rsid w:val="00734D4B"/>
    <w:rsid w:val="0073608F"/>
    <w:rsid w:val="00740DC9"/>
    <w:rsid w:val="00741775"/>
    <w:rsid w:val="0074420F"/>
    <w:rsid w:val="00744776"/>
    <w:rsid w:val="007464E5"/>
    <w:rsid w:val="00750061"/>
    <w:rsid w:val="0075099D"/>
    <w:rsid w:val="0075186E"/>
    <w:rsid w:val="00752552"/>
    <w:rsid w:val="007531FD"/>
    <w:rsid w:val="0075458F"/>
    <w:rsid w:val="0075470A"/>
    <w:rsid w:val="00754B71"/>
    <w:rsid w:val="007557B7"/>
    <w:rsid w:val="00755B5C"/>
    <w:rsid w:val="00756029"/>
    <w:rsid w:val="007606E8"/>
    <w:rsid w:val="00760871"/>
    <w:rsid w:val="00761B55"/>
    <w:rsid w:val="00762542"/>
    <w:rsid w:val="00762ACB"/>
    <w:rsid w:val="00762C61"/>
    <w:rsid w:val="00764440"/>
    <w:rsid w:val="007702E3"/>
    <w:rsid w:val="00770FD0"/>
    <w:rsid w:val="00775226"/>
    <w:rsid w:val="00775A9C"/>
    <w:rsid w:val="0077629C"/>
    <w:rsid w:val="007764FD"/>
    <w:rsid w:val="007773F0"/>
    <w:rsid w:val="00777B97"/>
    <w:rsid w:val="00780111"/>
    <w:rsid w:val="0078026F"/>
    <w:rsid w:val="00782B6B"/>
    <w:rsid w:val="00782C9C"/>
    <w:rsid w:val="007855E9"/>
    <w:rsid w:val="0078662C"/>
    <w:rsid w:val="00786AEE"/>
    <w:rsid w:val="00787EF8"/>
    <w:rsid w:val="007917FF"/>
    <w:rsid w:val="007918DB"/>
    <w:rsid w:val="00792BC7"/>
    <w:rsid w:val="00793ECF"/>
    <w:rsid w:val="007A210E"/>
    <w:rsid w:val="007A242F"/>
    <w:rsid w:val="007A30D7"/>
    <w:rsid w:val="007A31BD"/>
    <w:rsid w:val="007A3685"/>
    <w:rsid w:val="007A425F"/>
    <w:rsid w:val="007A4347"/>
    <w:rsid w:val="007A46CE"/>
    <w:rsid w:val="007A4BDF"/>
    <w:rsid w:val="007A5329"/>
    <w:rsid w:val="007A658C"/>
    <w:rsid w:val="007B0E38"/>
    <w:rsid w:val="007B1903"/>
    <w:rsid w:val="007B1BBB"/>
    <w:rsid w:val="007B1BDC"/>
    <w:rsid w:val="007B341A"/>
    <w:rsid w:val="007B37ED"/>
    <w:rsid w:val="007B3D2D"/>
    <w:rsid w:val="007B4CE7"/>
    <w:rsid w:val="007B4EA0"/>
    <w:rsid w:val="007B75F4"/>
    <w:rsid w:val="007C09F7"/>
    <w:rsid w:val="007C1573"/>
    <w:rsid w:val="007C57D9"/>
    <w:rsid w:val="007C603F"/>
    <w:rsid w:val="007C6788"/>
    <w:rsid w:val="007C692F"/>
    <w:rsid w:val="007C7EE8"/>
    <w:rsid w:val="007D15DC"/>
    <w:rsid w:val="007D2FE9"/>
    <w:rsid w:val="007D5041"/>
    <w:rsid w:val="007D5E77"/>
    <w:rsid w:val="007D6059"/>
    <w:rsid w:val="007D7112"/>
    <w:rsid w:val="007D7A27"/>
    <w:rsid w:val="007D7B9D"/>
    <w:rsid w:val="007E0305"/>
    <w:rsid w:val="007E0F6F"/>
    <w:rsid w:val="007E1174"/>
    <w:rsid w:val="007E39C4"/>
    <w:rsid w:val="007E3FAA"/>
    <w:rsid w:val="007E4345"/>
    <w:rsid w:val="007E4CF5"/>
    <w:rsid w:val="007E567E"/>
    <w:rsid w:val="007E691F"/>
    <w:rsid w:val="007E7508"/>
    <w:rsid w:val="007F02DC"/>
    <w:rsid w:val="007F4136"/>
    <w:rsid w:val="007F41FD"/>
    <w:rsid w:val="007F5E0F"/>
    <w:rsid w:val="007F6D3F"/>
    <w:rsid w:val="007F747E"/>
    <w:rsid w:val="007F7CF2"/>
    <w:rsid w:val="007F7EE2"/>
    <w:rsid w:val="00800250"/>
    <w:rsid w:val="00800556"/>
    <w:rsid w:val="00802650"/>
    <w:rsid w:val="00803EE9"/>
    <w:rsid w:val="00807480"/>
    <w:rsid w:val="00807ACA"/>
    <w:rsid w:val="0081230B"/>
    <w:rsid w:val="00812924"/>
    <w:rsid w:val="00812DD7"/>
    <w:rsid w:val="00814ED9"/>
    <w:rsid w:val="00816820"/>
    <w:rsid w:val="008174B7"/>
    <w:rsid w:val="00817F05"/>
    <w:rsid w:val="0082001C"/>
    <w:rsid w:val="00820BBA"/>
    <w:rsid w:val="0082160F"/>
    <w:rsid w:val="00823351"/>
    <w:rsid w:val="008235B2"/>
    <w:rsid w:val="00823E77"/>
    <w:rsid w:val="00823F63"/>
    <w:rsid w:val="00824022"/>
    <w:rsid w:val="00825A1B"/>
    <w:rsid w:val="008268A4"/>
    <w:rsid w:val="0082721B"/>
    <w:rsid w:val="00831174"/>
    <w:rsid w:val="0083118C"/>
    <w:rsid w:val="00831E7D"/>
    <w:rsid w:val="0083231C"/>
    <w:rsid w:val="0083279F"/>
    <w:rsid w:val="00833FFA"/>
    <w:rsid w:val="0083557E"/>
    <w:rsid w:val="00835583"/>
    <w:rsid w:val="00836DE2"/>
    <w:rsid w:val="00837858"/>
    <w:rsid w:val="00837BE0"/>
    <w:rsid w:val="00837C43"/>
    <w:rsid w:val="00837C5B"/>
    <w:rsid w:val="0084007C"/>
    <w:rsid w:val="00842609"/>
    <w:rsid w:val="00842A57"/>
    <w:rsid w:val="008445B0"/>
    <w:rsid w:val="00846304"/>
    <w:rsid w:val="00847302"/>
    <w:rsid w:val="00847B10"/>
    <w:rsid w:val="0085025F"/>
    <w:rsid w:val="00850B7C"/>
    <w:rsid w:val="00851D58"/>
    <w:rsid w:val="00851ECA"/>
    <w:rsid w:val="00852AAD"/>
    <w:rsid w:val="00853AB8"/>
    <w:rsid w:val="00853B10"/>
    <w:rsid w:val="00854700"/>
    <w:rsid w:val="008551E7"/>
    <w:rsid w:val="00860889"/>
    <w:rsid w:val="008608E0"/>
    <w:rsid w:val="0086303D"/>
    <w:rsid w:val="008647DF"/>
    <w:rsid w:val="00864CCA"/>
    <w:rsid w:val="00865D6B"/>
    <w:rsid w:val="008664DA"/>
    <w:rsid w:val="00867B5A"/>
    <w:rsid w:val="008706DF"/>
    <w:rsid w:val="00871849"/>
    <w:rsid w:val="00871B20"/>
    <w:rsid w:val="008724E3"/>
    <w:rsid w:val="0087285C"/>
    <w:rsid w:val="00874F65"/>
    <w:rsid w:val="00875C20"/>
    <w:rsid w:val="008809BF"/>
    <w:rsid w:val="00880D19"/>
    <w:rsid w:val="00881BBD"/>
    <w:rsid w:val="008820E6"/>
    <w:rsid w:val="0088392A"/>
    <w:rsid w:val="00883EDF"/>
    <w:rsid w:val="008845E0"/>
    <w:rsid w:val="0088761D"/>
    <w:rsid w:val="008905F3"/>
    <w:rsid w:val="00893A1C"/>
    <w:rsid w:val="008949F7"/>
    <w:rsid w:val="00895E9E"/>
    <w:rsid w:val="00897326"/>
    <w:rsid w:val="008A022C"/>
    <w:rsid w:val="008A0486"/>
    <w:rsid w:val="008A0829"/>
    <w:rsid w:val="008A277E"/>
    <w:rsid w:val="008A3C92"/>
    <w:rsid w:val="008A475D"/>
    <w:rsid w:val="008A503F"/>
    <w:rsid w:val="008B0D90"/>
    <w:rsid w:val="008B13D0"/>
    <w:rsid w:val="008B1400"/>
    <w:rsid w:val="008B30DE"/>
    <w:rsid w:val="008B35B2"/>
    <w:rsid w:val="008B42BF"/>
    <w:rsid w:val="008C0F71"/>
    <w:rsid w:val="008C1FCE"/>
    <w:rsid w:val="008C47B7"/>
    <w:rsid w:val="008C4C51"/>
    <w:rsid w:val="008C5897"/>
    <w:rsid w:val="008C630F"/>
    <w:rsid w:val="008C68DB"/>
    <w:rsid w:val="008C7423"/>
    <w:rsid w:val="008C7AF4"/>
    <w:rsid w:val="008D19D9"/>
    <w:rsid w:val="008D39A5"/>
    <w:rsid w:val="008D3E76"/>
    <w:rsid w:val="008D3FF8"/>
    <w:rsid w:val="008D5FBF"/>
    <w:rsid w:val="008D6ACF"/>
    <w:rsid w:val="008D7297"/>
    <w:rsid w:val="008E1181"/>
    <w:rsid w:val="008E11B1"/>
    <w:rsid w:val="008E2477"/>
    <w:rsid w:val="008E5F28"/>
    <w:rsid w:val="008E63F8"/>
    <w:rsid w:val="008E69CA"/>
    <w:rsid w:val="008F0C9E"/>
    <w:rsid w:val="008F0F9D"/>
    <w:rsid w:val="008F1A8D"/>
    <w:rsid w:val="008F2B46"/>
    <w:rsid w:val="008F2E8E"/>
    <w:rsid w:val="008F4189"/>
    <w:rsid w:val="008F5247"/>
    <w:rsid w:val="008F5DA9"/>
    <w:rsid w:val="008F62F7"/>
    <w:rsid w:val="008F6B14"/>
    <w:rsid w:val="008F7D83"/>
    <w:rsid w:val="009014F8"/>
    <w:rsid w:val="00901B88"/>
    <w:rsid w:val="00903AD0"/>
    <w:rsid w:val="00903B8F"/>
    <w:rsid w:val="00904932"/>
    <w:rsid w:val="00906D6B"/>
    <w:rsid w:val="009074F2"/>
    <w:rsid w:val="00907E73"/>
    <w:rsid w:val="00910637"/>
    <w:rsid w:val="00910A94"/>
    <w:rsid w:val="00911804"/>
    <w:rsid w:val="009125A5"/>
    <w:rsid w:val="00912B67"/>
    <w:rsid w:val="00912F6C"/>
    <w:rsid w:val="00913B0C"/>
    <w:rsid w:val="00916E91"/>
    <w:rsid w:val="00917D44"/>
    <w:rsid w:val="00921281"/>
    <w:rsid w:val="00922283"/>
    <w:rsid w:val="00922498"/>
    <w:rsid w:val="00922EAA"/>
    <w:rsid w:val="00922F6D"/>
    <w:rsid w:val="00923CE5"/>
    <w:rsid w:val="009277A9"/>
    <w:rsid w:val="009316BC"/>
    <w:rsid w:val="00933C48"/>
    <w:rsid w:val="009341A8"/>
    <w:rsid w:val="009356B4"/>
    <w:rsid w:val="00935A30"/>
    <w:rsid w:val="0093676B"/>
    <w:rsid w:val="00936C7C"/>
    <w:rsid w:val="00937B75"/>
    <w:rsid w:val="00940423"/>
    <w:rsid w:val="009406B1"/>
    <w:rsid w:val="009408BE"/>
    <w:rsid w:val="009448A4"/>
    <w:rsid w:val="00944BCA"/>
    <w:rsid w:val="0094661E"/>
    <w:rsid w:val="00947D4A"/>
    <w:rsid w:val="009512E5"/>
    <w:rsid w:val="009524F7"/>
    <w:rsid w:val="00954C59"/>
    <w:rsid w:val="00954FAB"/>
    <w:rsid w:val="009556F5"/>
    <w:rsid w:val="00957F4D"/>
    <w:rsid w:val="00963A37"/>
    <w:rsid w:val="009640A8"/>
    <w:rsid w:val="0096414C"/>
    <w:rsid w:val="009657F2"/>
    <w:rsid w:val="00971EE6"/>
    <w:rsid w:val="00972FD4"/>
    <w:rsid w:val="009768CE"/>
    <w:rsid w:val="0098045C"/>
    <w:rsid w:val="00984C4A"/>
    <w:rsid w:val="00984D49"/>
    <w:rsid w:val="0098531E"/>
    <w:rsid w:val="009856D1"/>
    <w:rsid w:val="0099175C"/>
    <w:rsid w:val="00992BFD"/>
    <w:rsid w:val="0099351E"/>
    <w:rsid w:val="009945DC"/>
    <w:rsid w:val="00994B62"/>
    <w:rsid w:val="00994D37"/>
    <w:rsid w:val="00994EA4"/>
    <w:rsid w:val="00994FFC"/>
    <w:rsid w:val="00995328"/>
    <w:rsid w:val="009962A7"/>
    <w:rsid w:val="009979F4"/>
    <w:rsid w:val="009A02D6"/>
    <w:rsid w:val="009A03EF"/>
    <w:rsid w:val="009A150A"/>
    <w:rsid w:val="009A15DB"/>
    <w:rsid w:val="009A19C6"/>
    <w:rsid w:val="009A1A0E"/>
    <w:rsid w:val="009A20BD"/>
    <w:rsid w:val="009A3954"/>
    <w:rsid w:val="009A3CA4"/>
    <w:rsid w:val="009A3EBA"/>
    <w:rsid w:val="009A3FA9"/>
    <w:rsid w:val="009A487B"/>
    <w:rsid w:val="009A49B6"/>
    <w:rsid w:val="009A621C"/>
    <w:rsid w:val="009A694F"/>
    <w:rsid w:val="009A6A42"/>
    <w:rsid w:val="009A6CBB"/>
    <w:rsid w:val="009A73AE"/>
    <w:rsid w:val="009A7BB1"/>
    <w:rsid w:val="009B2026"/>
    <w:rsid w:val="009B2081"/>
    <w:rsid w:val="009B2259"/>
    <w:rsid w:val="009B336F"/>
    <w:rsid w:val="009B3856"/>
    <w:rsid w:val="009B4CD5"/>
    <w:rsid w:val="009B4D95"/>
    <w:rsid w:val="009B51A0"/>
    <w:rsid w:val="009B53A1"/>
    <w:rsid w:val="009B54CB"/>
    <w:rsid w:val="009B5BB2"/>
    <w:rsid w:val="009B5D3E"/>
    <w:rsid w:val="009B6E40"/>
    <w:rsid w:val="009C538D"/>
    <w:rsid w:val="009C5F12"/>
    <w:rsid w:val="009C799A"/>
    <w:rsid w:val="009C7C84"/>
    <w:rsid w:val="009D02A0"/>
    <w:rsid w:val="009D09D4"/>
    <w:rsid w:val="009D39A7"/>
    <w:rsid w:val="009D5075"/>
    <w:rsid w:val="009D5C0B"/>
    <w:rsid w:val="009D6680"/>
    <w:rsid w:val="009D74C4"/>
    <w:rsid w:val="009E18DB"/>
    <w:rsid w:val="009E1DDD"/>
    <w:rsid w:val="009E1EC2"/>
    <w:rsid w:val="009E1F8E"/>
    <w:rsid w:val="009E2139"/>
    <w:rsid w:val="009E3B13"/>
    <w:rsid w:val="009E3BD1"/>
    <w:rsid w:val="009E3C97"/>
    <w:rsid w:val="009E72EE"/>
    <w:rsid w:val="009E7531"/>
    <w:rsid w:val="009E776F"/>
    <w:rsid w:val="009F05A3"/>
    <w:rsid w:val="009F2019"/>
    <w:rsid w:val="009F3BCB"/>
    <w:rsid w:val="009F46BC"/>
    <w:rsid w:val="009F54F2"/>
    <w:rsid w:val="009F5911"/>
    <w:rsid w:val="009F7151"/>
    <w:rsid w:val="009F7F91"/>
    <w:rsid w:val="00A01942"/>
    <w:rsid w:val="00A030B9"/>
    <w:rsid w:val="00A07A91"/>
    <w:rsid w:val="00A100FE"/>
    <w:rsid w:val="00A120F7"/>
    <w:rsid w:val="00A12B93"/>
    <w:rsid w:val="00A12F22"/>
    <w:rsid w:val="00A13A7E"/>
    <w:rsid w:val="00A15014"/>
    <w:rsid w:val="00A15F1B"/>
    <w:rsid w:val="00A175F7"/>
    <w:rsid w:val="00A17A3B"/>
    <w:rsid w:val="00A17D02"/>
    <w:rsid w:val="00A20973"/>
    <w:rsid w:val="00A20B32"/>
    <w:rsid w:val="00A227B4"/>
    <w:rsid w:val="00A24321"/>
    <w:rsid w:val="00A24DE0"/>
    <w:rsid w:val="00A25DAD"/>
    <w:rsid w:val="00A267E4"/>
    <w:rsid w:val="00A26FA7"/>
    <w:rsid w:val="00A2728E"/>
    <w:rsid w:val="00A273B3"/>
    <w:rsid w:val="00A27DFD"/>
    <w:rsid w:val="00A30898"/>
    <w:rsid w:val="00A30C45"/>
    <w:rsid w:val="00A320A6"/>
    <w:rsid w:val="00A32233"/>
    <w:rsid w:val="00A3267E"/>
    <w:rsid w:val="00A331E4"/>
    <w:rsid w:val="00A3332C"/>
    <w:rsid w:val="00A33905"/>
    <w:rsid w:val="00A33EB0"/>
    <w:rsid w:val="00A33FE7"/>
    <w:rsid w:val="00A35E9B"/>
    <w:rsid w:val="00A400C9"/>
    <w:rsid w:val="00A4095A"/>
    <w:rsid w:val="00A40AB5"/>
    <w:rsid w:val="00A423C4"/>
    <w:rsid w:val="00A476CF"/>
    <w:rsid w:val="00A479DB"/>
    <w:rsid w:val="00A47D1D"/>
    <w:rsid w:val="00A50BA3"/>
    <w:rsid w:val="00A52074"/>
    <w:rsid w:val="00A54891"/>
    <w:rsid w:val="00A60798"/>
    <w:rsid w:val="00A6091E"/>
    <w:rsid w:val="00A61AB7"/>
    <w:rsid w:val="00A64B29"/>
    <w:rsid w:val="00A71AC5"/>
    <w:rsid w:val="00A71E59"/>
    <w:rsid w:val="00A72966"/>
    <w:rsid w:val="00A74EB0"/>
    <w:rsid w:val="00A7678C"/>
    <w:rsid w:val="00A77D38"/>
    <w:rsid w:val="00A80722"/>
    <w:rsid w:val="00A83547"/>
    <w:rsid w:val="00A8368B"/>
    <w:rsid w:val="00A85B4A"/>
    <w:rsid w:val="00A867A1"/>
    <w:rsid w:val="00A919BF"/>
    <w:rsid w:val="00A921CF"/>
    <w:rsid w:val="00A92237"/>
    <w:rsid w:val="00A925F9"/>
    <w:rsid w:val="00A9328A"/>
    <w:rsid w:val="00A93DB4"/>
    <w:rsid w:val="00A94E47"/>
    <w:rsid w:val="00A95C07"/>
    <w:rsid w:val="00AA08F1"/>
    <w:rsid w:val="00AA1ABF"/>
    <w:rsid w:val="00AA1D57"/>
    <w:rsid w:val="00AA2259"/>
    <w:rsid w:val="00AA546F"/>
    <w:rsid w:val="00AA5C95"/>
    <w:rsid w:val="00AA5D7A"/>
    <w:rsid w:val="00AA63F4"/>
    <w:rsid w:val="00AA75F5"/>
    <w:rsid w:val="00AB05E5"/>
    <w:rsid w:val="00AB14E7"/>
    <w:rsid w:val="00AB1A7A"/>
    <w:rsid w:val="00AB1A84"/>
    <w:rsid w:val="00AB287C"/>
    <w:rsid w:val="00AB2C59"/>
    <w:rsid w:val="00AB2DCB"/>
    <w:rsid w:val="00AB454B"/>
    <w:rsid w:val="00AB4CE3"/>
    <w:rsid w:val="00AC039A"/>
    <w:rsid w:val="00AC0666"/>
    <w:rsid w:val="00AC5716"/>
    <w:rsid w:val="00AC7F7C"/>
    <w:rsid w:val="00AD07FD"/>
    <w:rsid w:val="00AD0CCA"/>
    <w:rsid w:val="00AD1EE5"/>
    <w:rsid w:val="00AD2A26"/>
    <w:rsid w:val="00AD3C6B"/>
    <w:rsid w:val="00AD5B31"/>
    <w:rsid w:val="00AD5E13"/>
    <w:rsid w:val="00AD5F9B"/>
    <w:rsid w:val="00AD75F1"/>
    <w:rsid w:val="00AD7C6B"/>
    <w:rsid w:val="00AE01F9"/>
    <w:rsid w:val="00AE2A45"/>
    <w:rsid w:val="00AE2C06"/>
    <w:rsid w:val="00AE3E62"/>
    <w:rsid w:val="00AE58E1"/>
    <w:rsid w:val="00AE59A4"/>
    <w:rsid w:val="00AE5A82"/>
    <w:rsid w:val="00AE667C"/>
    <w:rsid w:val="00AE7297"/>
    <w:rsid w:val="00AE7A11"/>
    <w:rsid w:val="00AE7A8F"/>
    <w:rsid w:val="00AF07EE"/>
    <w:rsid w:val="00AF07F7"/>
    <w:rsid w:val="00AF2648"/>
    <w:rsid w:val="00AF30EA"/>
    <w:rsid w:val="00AF3AF8"/>
    <w:rsid w:val="00AF5BEF"/>
    <w:rsid w:val="00AF6219"/>
    <w:rsid w:val="00AF74D2"/>
    <w:rsid w:val="00AF7C18"/>
    <w:rsid w:val="00AF7EEF"/>
    <w:rsid w:val="00B02721"/>
    <w:rsid w:val="00B03248"/>
    <w:rsid w:val="00B03963"/>
    <w:rsid w:val="00B03D9F"/>
    <w:rsid w:val="00B041BE"/>
    <w:rsid w:val="00B06631"/>
    <w:rsid w:val="00B06B6C"/>
    <w:rsid w:val="00B1024C"/>
    <w:rsid w:val="00B10FA6"/>
    <w:rsid w:val="00B1221B"/>
    <w:rsid w:val="00B12282"/>
    <w:rsid w:val="00B122E5"/>
    <w:rsid w:val="00B12F5E"/>
    <w:rsid w:val="00B13B26"/>
    <w:rsid w:val="00B162D5"/>
    <w:rsid w:val="00B205EC"/>
    <w:rsid w:val="00B20948"/>
    <w:rsid w:val="00B21E8E"/>
    <w:rsid w:val="00B21FB3"/>
    <w:rsid w:val="00B22203"/>
    <w:rsid w:val="00B2221E"/>
    <w:rsid w:val="00B236D8"/>
    <w:rsid w:val="00B237B1"/>
    <w:rsid w:val="00B23B21"/>
    <w:rsid w:val="00B27560"/>
    <w:rsid w:val="00B27DAB"/>
    <w:rsid w:val="00B3077A"/>
    <w:rsid w:val="00B32E37"/>
    <w:rsid w:val="00B33305"/>
    <w:rsid w:val="00B34C3C"/>
    <w:rsid w:val="00B3590F"/>
    <w:rsid w:val="00B36B83"/>
    <w:rsid w:val="00B36EF9"/>
    <w:rsid w:val="00B370B2"/>
    <w:rsid w:val="00B374E2"/>
    <w:rsid w:val="00B374E8"/>
    <w:rsid w:val="00B4017D"/>
    <w:rsid w:val="00B41704"/>
    <w:rsid w:val="00B422A3"/>
    <w:rsid w:val="00B457FA"/>
    <w:rsid w:val="00B45A54"/>
    <w:rsid w:val="00B45F28"/>
    <w:rsid w:val="00B461CC"/>
    <w:rsid w:val="00B47069"/>
    <w:rsid w:val="00B50FDB"/>
    <w:rsid w:val="00B51670"/>
    <w:rsid w:val="00B51732"/>
    <w:rsid w:val="00B5674F"/>
    <w:rsid w:val="00B608A4"/>
    <w:rsid w:val="00B60FE0"/>
    <w:rsid w:val="00B6116B"/>
    <w:rsid w:val="00B612D2"/>
    <w:rsid w:val="00B62462"/>
    <w:rsid w:val="00B62984"/>
    <w:rsid w:val="00B631DE"/>
    <w:rsid w:val="00B6421C"/>
    <w:rsid w:val="00B6454E"/>
    <w:rsid w:val="00B64630"/>
    <w:rsid w:val="00B65361"/>
    <w:rsid w:val="00B7044A"/>
    <w:rsid w:val="00B70E91"/>
    <w:rsid w:val="00B7189C"/>
    <w:rsid w:val="00B74BA0"/>
    <w:rsid w:val="00B76DC8"/>
    <w:rsid w:val="00B80AD8"/>
    <w:rsid w:val="00B81E91"/>
    <w:rsid w:val="00B82798"/>
    <w:rsid w:val="00B83A3E"/>
    <w:rsid w:val="00B84F03"/>
    <w:rsid w:val="00B903F2"/>
    <w:rsid w:val="00B9054A"/>
    <w:rsid w:val="00B95DD3"/>
    <w:rsid w:val="00B96089"/>
    <w:rsid w:val="00B96FEF"/>
    <w:rsid w:val="00BA202A"/>
    <w:rsid w:val="00BA39B3"/>
    <w:rsid w:val="00BA552E"/>
    <w:rsid w:val="00BA6D3E"/>
    <w:rsid w:val="00BA7D2D"/>
    <w:rsid w:val="00BA7E2B"/>
    <w:rsid w:val="00BB0DC9"/>
    <w:rsid w:val="00BB18CB"/>
    <w:rsid w:val="00BB21D0"/>
    <w:rsid w:val="00BB3CC8"/>
    <w:rsid w:val="00BB41B2"/>
    <w:rsid w:val="00BB4E04"/>
    <w:rsid w:val="00BB68FD"/>
    <w:rsid w:val="00BB6E9D"/>
    <w:rsid w:val="00BC0674"/>
    <w:rsid w:val="00BC4DBC"/>
    <w:rsid w:val="00BC5C06"/>
    <w:rsid w:val="00BC70C5"/>
    <w:rsid w:val="00BC7827"/>
    <w:rsid w:val="00BD0132"/>
    <w:rsid w:val="00BD0843"/>
    <w:rsid w:val="00BD08B7"/>
    <w:rsid w:val="00BD1F1A"/>
    <w:rsid w:val="00BD310A"/>
    <w:rsid w:val="00BD3BCE"/>
    <w:rsid w:val="00BD4E6A"/>
    <w:rsid w:val="00BE3772"/>
    <w:rsid w:val="00BE5260"/>
    <w:rsid w:val="00BE5AEF"/>
    <w:rsid w:val="00BE6675"/>
    <w:rsid w:val="00BE685F"/>
    <w:rsid w:val="00BF098C"/>
    <w:rsid w:val="00BF0E7E"/>
    <w:rsid w:val="00BF2EA9"/>
    <w:rsid w:val="00BF305C"/>
    <w:rsid w:val="00BF3548"/>
    <w:rsid w:val="00BF42ED"/>
    <w:rsid w:val="00BF503D"/>
    <w:rsid w:val="00BF6EB6"/>
    <w:rsid w:val="00C02BA1"/>
    <w:rsid w:val="00C02C10"/>
    <w:rsid w:val="00C039B1"/>
    <w:rsid w:val="00C03F4D"/>
    <w:rsid w:val="00C0492A"/>
    <w:rsid w:val="00C04C3D"/>
    <w:rsid w:val="00C05299"/>
    <w:rsid w:val="00C05426"/>
    <w:rsid w:val="00C06D76"/>
    <w:rsid w:val="00C1070E"/>
    <w:rsid w:val="00C10C9B"/>
    <w:rsid w:val="00C15017"/>
    <w:rsid w:val="00C16F83"/>
    <w:rsid w:val="00C172F2"/>
    <w:rsid w:val="00C20AED"/>
    <w:rsid w:val="00C230A7"/>
    <w:rsid w:val="00C23CE3"/>
    <w:rsid w:val="00C24076"/>
    <w:rsid w:val="00C2442B"/>
    <w:rsid w:val="00C2475C"/>
    <w:rsid w:val="00C25CF2"/>
    <w:rsid w:val="00C25D33"/>
    <w:rsid w:val="00C263AE"/>
    <w:rsid w:val="00C312BC"/>
    <w:rsid w:val="00C31554"/>
    <w:rsid w:val="00C31C23"/>
    <w:rsid w:val="00C3281E"/>
    <w:rsid w:val="00C32C14"/>
    <w:rsid w:val="00C346A9"/>
    <w:rsid w:val="00C34948"/>
    <w:rsid w:val="00C35262"/>
    <w:rsid w:val="00C352C4"/>
    <w:rsid w:val="00C35C46"/>
    <w:rsid w:val="00C35D02"/>
    <w:rsid w:val="00C37361"/>
    <w:rsid w:val="00C40E8C"/>
    <w:rsid w:val="00C41187"/>
    <w:rsid w:val="00C41A79"/>
    <w:rsid w:val="00C41D79"/>
    <w:rsid w:val="00C423DE"/>
    <w:rsid w:val="00C459B7"/>
    <w:rsid w:val="00C47795"/>
    <w:rsid w:val="00C51C99"/>
    <w:rsid w:val="00C52663"/>
    <w:rsid w:val="00C53658"/>
    <w:rsid w:val="00C53C89"/>
    <w:rsid w:val="00C54A67"/>
    <w:rsid w:val="00C557D7"/>
    <w:rsid w:val="00C60ADB"/>
    <w:rsid w:val="00C619DE"/>
    <w:rsid w:val="00C62420"/>
    <w:rsid w:val="00C63B37"/>
    <w:rsid w:val="00C65875"/>
    <w:rsid w:val="00C6618D"/>
    <w:rsid w:val="00C675BD"/>
    <w:rsid w:val="00C67BFC"/>
    <w:rsid w:val="00C703FE"/>
    <w:rsid w:val="00C71F6B"/>
    <w:rsid w:val="00C74103"/>
    <w:rsid w:val="00C76BC8"/>
    <w:rsid w:val="00C775D0"/>
    <w:rsid w:val="00C77F43"/>
    <w:rsid w:val="00C8083C"/>
    <w:rsid w:val="00C80A8F"/>
    <w:rsid w:val="00C828EE"/>
    <w:rsid w:val="00C82CC4"/>
    <w:rsid w:val="00C83009"/>
    <w:rsid w:val="00C83310"/>
    <w:rsid w:val="00C83482"/>
    <w:rsid w:val="00C84BA6"/>
    <w:rsid w:val="00C85415"/>
    <w:rsid w:val="00C857A3"/>
    <w:rsid w:val="00C85B5A"/>
    <w:rsid w:val="00C865D7"/>
    <w:rsid w:val="00C9317E"/>
    <w:rsid w:val="00C93E0A"/>
    <w:rsid w:val="00C9498E"/>
    <w:rsid w:val="00CA0068"/>
    <w:rsid w:val="00CA1FCC"/>
    <w:rsid w:val="00CA2960"/>
    <w:rsid w:val="00CA2E7E"/>
    <w:rsid w:val="00CA33C9"/>
    <w:rsid w:val="00CA37B9"/>
    <w:rsid w:val="00CA43E2"/>
    <w:rsid w:val="00CA4699"/>
    <w:rsid w:val="00CA4804"/>
    <w:rsid w:val="00CA4A57"/>
    <w:rsid w:val="00CA7396"/>
    <w:rsid w:val="00CA74E3"/>
    <w:rsid w:val="00CB1119"/>
    <w:rsid w:val="00CB1FF4"/>
    <w:rsid w:val="00CB2C92"/>
    <w:rsid w:val="00CB31E3"/>
    <w:rsid w:val="00CB5B4F"/>
    <w:rsid w:val="00CB5C64"/>
    <w:rsid w:val="00CB646E"/>
    <w:rsid w:val="00CB6D16"/>
    <w:rsid w:val="00CB79F6"/>
    <w:rsid w:val="00CB7A02"/>
    <w:rsid w:val="00CC2E05"/>
    <w:rsid w:val="00CC6BD9"/>
    <w:rsid w:val="00CD0504"/>
    <w:rsid w:val="00CD3A45"/>
    <w:rsid w:val="00CD3B1E"/>
    <w:rsid w:val="00CD3FF9"/>
    <w:rsid w:val="00CD5098"/>
    <w:rsid w:val="00CD50B5"/>
    <w:rsid w:val="00CD5313"/>
    <w:rsid w:val="00CD5417"/>
    <w:rsid w:val="00CD5DC4"/>
    <w:rsid w:val="00CD626D"/>
    <w:rsid w:val="00CD68D6"/>
    <w:rsid w:val="00CD6BCC"/>
    <w:rsid w:val="00CE0624"/>
    <w:rsid w:val="00CE3492"/>
    <w:rsid w:val="00CE3730"/>
    <w:rsid w:val="00CE400D"/>
    <w:rsid w:val="00CE4386"/>
    <w:rsid w:val="00CE4A2F"/>
    <w:rsid w:val="00CE64C0"/>
    <w:rsid w:val="00CE75FA"/>
    <w:rsid w:val="00CE7BF7"/>
    <w:rsid w:val="00CF1A74"/>
    <w:rsid w:val="00CF1FFA"/>
    <w:rsid w:val="00CF2706"/>
    <w:rsid w:val="00D0032E"/>
    <w:rsid w:val="00D00588"/>
    <w:rsid w:val="00D008C8"/>
    <w:rsid w:val="00D00B1A"/>
    <w:rsid w:val="00D0174B"/>
    <w:rsid w:val="00D021D8"/>
    <w:rsid w:val="00D029AC"/>
    <w:rsid w:val="00D03F5B"/>
    <w:rsid w:val="00D10D22"/>
    <w:rsid w:val="00D11496"/>
    <w:rsid w:val="00D127BE"/>
    <w:rsid w:val="00D12E26"/>
    <w:rsid w:val="00D136FA"/>
    <w:rsid w:val="00D15B88"/>
    <w:rsid w:val="00D16982"/>
    <w:rsid w:val="00D20D19"/>
    <w:rsid w:val="00D228A2"/>
    <w:rsid w:val="00D22CF1"/>
    <w:rsid w:val="00D2333D"/>
    <w:rsid w:val="00D2526C"/>
    <w:rsid w:val="00D25682"/>
    <w:rsid w:val="00D258B1"/>
    <w:rsid w:val="00D26425"/>
    <w:rsid w:val="00D30137"/>
    <w:rsid w:val="00D31CA4"/>
    <w:rsid w:val="00D32813"/>
    <w:rsid w:val="00D33D05"/>
    <w:rsid w:val="00D37757"/>
    <w:rsid w:val="00D40BFE"/>
    <w:rsid w:val="00D43C59"/>
    <w:rsid w:val="00D44740"/>
    <w:rsid w:val="00D44872"/>
    <w:rsid w:val="00D44A14"/>
    <w:rsid w:val="00D46054"/>
    <w:rsid w:val="00D462DF"/>
    <w:rsid w:val="00D46316"/>
    <w:rsid w:val="00D5260F"/>
    <w:rsid w:val="00D52C8F"/>
    <w:rsid w:val="00D5439B"/>
    <w:rsid w:val="00D55789"/>
    <w:rsid w:val="00D55C76"/>
    <w:rsid w:val="00D56BF4"/>
    <w:rsid w:val="00D57ACA"/>
    <w:rsid w:val="00D57F49"/>
    <w:rsid w:val="00D60D66"/>
    <w:rsid w:val="00D619EB"/>
    <w:rsid w:val="00D63432"/>
    <w:rsid w:val="00D643F9"/>
    <w:rsid w:val="00D6588B"/>
    <w:rsid w:val="00D658E4"/>
    <w:rsid w:val="00D65D73"/>
    <w:rsid w:val="00D66B19"/>
    <w:rsid w:val="00D670E6"/>
    <w:rsid w:val="00D703B0"/>
    <w:rsid w:val="00D7169D"/>
    <w:rsid w:val="00D7218B"/>
    <w:rsid w:val="00D737E2"/>
    <w:rsid w:val="00D740EC"/>
    <w:rsid w:val="00D74D96"/>
    <w:rsid w:val="00D75667"/>
    <w:rsid w:val="00D801C5"/>
    <w:rsid w:val="00D831C3"/>
    <w:rsid w:val="00D83857"/>
    <w:rsid w:val="00D840B6"/>
    <w:rsid w:val="00D846EA"/>
    <w:rsid w:val="00D85F39"/>
    <w:rsid w:val="00D87FD2"/>
    <w:rsid w:val="00D905B6"/>
    <w:rsid w:val="00D90766"/>
    <w:rsid w:val="00D935A8"/>
    <w:rsid w:val="00D94C00"/>
    <w:rsid w:val="00D9511B"/>
    <w:rsid w:val="00D95B22"/>
    <w:rsid w:val="00D9796E"/>
    <w:rsid w:val="00DA198C"/>
    <w:rsid w:val="00DA2701"/>
    <w:rsid w:val="00DA2BA9"/>
    <w:rsid w:val="00DA33BB"/>
    <w:rsid w:val="00DA39D6"/>
    <w:rsid w:val="00DA3CEB"/>
    <w:rsid w:val="00DA4915"/>
    <w:rsid w:val="00DA4D9A"/>
    <w:rsid w:val="00DA66D3"/>
    <w:rsid w:val="00DA6C4E"/>
    <w:rsid w:val="00DA6CF1"/>
    <w:rsid w:val="00DA7BA8"/>
    <w:rsid w:val="00DA7DCA"/>
    <w:rsid w:val="00DB1971"/>
    <w:rsid w:val="00DB3C67"/>
    <w:rsid w:val="00DB409A"/>
    <w:rsid w:val="00DB45C9"/>
    <w:rsid w:val="00DB482E"/>
    <w:rsid w:val="00DB5287"/>
    <w:rsid w:val="00DB58CD"/>
    <w:rsid w:val="00DB5D7D"/>
    <w:rsid w:val="00DC19BB"/>
    <w:rsid w:val="00DC29FC"/>
    <w:rsid w:val="00DC3391"/>
    <w:rsid w:val="00DC351A"/>
    <w:rsid w:val="00DC4DD9"/>
    <w:rsid w:val="00DC539A"/>
    <w:rsid w:val="00DC722D"/>
    <w:rsid w:val="00DC7685"/>
    <w:rsid w:val="00DD2477"/>
    <w:rsid w:val="00DD75D0"/>
    <w:rsid w:val="00DD79DF"/>
    <w:rsid w:val="00DD7D45"/>
    <w:rsid w:val="00DE0699"/>
    <w:rsid w:val="00DE342F"/>
    <w:rsid w:val="00DE40D7"/>
    <w:rsid w:val="00DE59EF"/>
    <w:rsid w:val="00DF0E05"/>
    <w:rsid w:val="00DF1020"/>
    <w:rsid w:val="00DF1CC7"/>
    <w:rsid w:val="00DF1EF8"/>
    <w:rsid w:val="00DF27CA"/>
    <w:rsid w:val="00DF3271"/>
    <w:rsid w:val="00DF3AAB"/>
    <w:rsid w:val="00DF5D71"/>
    <w:rsid w:val="00DF7160"/>
    <w:rsid w:val="00DF7793"/>
    <w:rsid w:val="00E0212A"/>
    <w:rsid w:val="00E07793"/>
    <w:rsid w:val="00E1017A"/>
    <w:rsid w:val="00E12C47"/>
    <w:rsid w:val="00E13183"/>
    <w:rsid w:val="00E135C8"/>
    <w:rsid w:val="00E1421B"/>
    <w:rsid w:val="00E1672D"/>
    <w:rsid w:val="00E179DF"/>
    <w:rsid w:val="00E2014B"/>
    <w:rsid w:val="00E20D2E"/>
    <w:rsid w:val="00E21798"/>
    <w:rsid w:val="00E228FC"/>
    <w:rsid w:val="00E23016"/>
    <w:rsid w:val="00E25F85"/>
    <w:rsid w:val="00E261DC"/>
    <w:rsid w:val="00E26424"/>
    <w:rsid w:val="00E2661F"/>
    <w:rsid w:val="00E267EC"/>
    <w:rsid w:val="00E27036"/>
    <w:rsid w:val="00E3492F"/>
    <w:rsid w:val="00E34A4A"/>
    <w:rsid w:val="00E36F6B"/>
    <w:rsid w:val="00E41EDC"/>
    <w:rsid w:val="00E42848"/>
    <w:rsid w:val="00E42D7B"/>
    <w:rsid w:val="00E43749"/>
    <w:rsid w:val="00E44DEC"/>
    <w:rsid w:val="00E45E82"/>
    <w:rsid w:val="00E46E7D"/>
    <w:rsid w:val="00E500F8"/>
    <w:rsid w:val="00E503FB"/>
    <w:rsid w:val="00E517B6"/>
    <w:rsid w:val="00E51ED3"/>
    <w:rsid w:val="00E52A6A"/>
    <w:rsid w:val="00E53169"/>
    <w:rsid w:val="00E53CB8"/>
    <w:rsid w:val="00E54764"/>
    <w:rsid w:val="00E54958"/>
    <w:rsid w:val="00E566AA"/>
    <w:rsid w:val="00E57B70"/>
    <w:rsid w:val="00E61683"/>
    <w:rsid w:val="00E61CB7"/>
    <w:rsid w:val="00E635E4"/>
    <w:rsid w:val="00E641E9"/>
    <w:rsid w:val="00E642CA"/>
    <w:rsid w:val="00E6521E"/>
    <w:rsid w:val="00E654D6"/>
    <w:rsid w:val="00E65554"/>
    <w:rsid w:val="00E662EF"/>
    <w:rsid w:val="00E67C65"/>
    <w:rsid w:val="00E703F2"/>
    <w:rsid w:val="00E71A66"/>
    <w:rsid w:val="00E7337A"/>
    <w:rsid w:val="00E73F5E"/>
    <w:rsid w:val="00E76CF0"/>
    <w:rsid w:val="00E80160"/>
    <w:rsid w:val="00E81D97"/>
    <w:rsid w:val="00E8207F"/>
    <w:rsid w:val="00E82F06"/>
    <w:rsid w:val="00E8348C"/>
    <w:rsid w:val="00E8500A"/>
    <w:rsid w:val="00E850D6"/>
    <w:rsid w:val="00E85297"/>
    <w:rsid w:val="00E85B4F"/>
    <w:rsid w:val="00E85FEC"/>
    <w:rsid w:val="00E87551"/>
    <w:rsid w:val="00E87FA0"/>
    <w:rsid w:val="00E87FFA"/>
    <w:rsid w:val="00E9135D"/>
    <w:rsid w:val="00E93C69"/>
    <w:rsid w:val="00E944CD"/>
    <w:rsid w:val="00E94B59"/>
    <w:rsid w:val="00E954E7"/>
    <w:rsid w:val="00E95520"/>
    <w:rsid w:val="00E95ACA"/>
    <w:rsid w:val="00E965E4"/>
    <w:rsid w:val="00E97C5C"/>
    <w:rsid w:val="00EA141C"/>
    <w:rsid w:val="00EA156C"/>
    <w:rsid w:val="00EA5462"/>
    <w:rsid w:val="00EA5ED3"/>
    <w:rsid w:val="00EA6A2A"/>
    <w:rsid w:val="00EA6E15"/>
    <w:rsid w:val="00EA7A4D"/>
    <w:rsid w:val="00EB0C7A"/>
    <w:rsid w:val="00EB1575"/>
    <w:rsid w:val="00EB62CA"/>
    <w:rsid w:val="00EB7560"/>
    <w:rsid w:val="00EC020B"/>
    <w:rsid w:val="00EC440E"/>
    <w:rsid w:val="00EC5449"/>
    <w:rsid w:val="00EC5C58"/>
    <w:rsid w:val="00EC613C"/>
    <w:rsid w:val="00EC798E"/>
    <w:rsid w:val="00EC7BEC"/>
    <w:rsid w:val="00EC7C34"/>
    <w:rsid w:val="00EC7D66"/>
    <w:rsid w:val="00ED3463"/>
    <w:rsid w:val="00ED3495"/>
    <w:rsid w:val="00ED3538"/>
    <w:rsid w:val="00ED376A"/>
    <w:rsid w:val="00ED3F99"/>
    <w:rsid w:val="00ED47AB"/>
    <w:rsid w:val="00ED545C"/>
    <w:rsid w:val="00ED669B"/>
    <w:rsid w:val="00ED76FF"/>
    <w:rsid w:val="00ED7CE2"/>
    <w:rsid w:val="00EE0130"/>
    <w:rsid w:val="00EE0136"/>
    <w:rsid w:val="00EE1458"/>
    <w:rsid w:val="00EE242F"/>
    <w:rsid w:val="00EE28A1"/>
    <w:rsid w:val="00EE2CDF"/>
    <w:rsid w:val="00EE2E29"/>
    <w:rsid w:val="00EE3082"/>
    <w:rsid w:val="00EE5A82"/>
    <w:rsid w:val="00EE6005"/>
    <w:rsid w:val="00EE62D2"/>
    <w:rsid w:val="00EE7B13"/>
    <w:rsid w:val="00EF1A82"/>
    <w:rsid w:val="00EF2D99"/>
    <w:rsid w:val="00EF759C"/>
    <w:rsid w:val="00F01E57"/>
    <w:rsid w:val="00F032DE"/>
    <w:rsid w:val="00F03524"/>
    <w:rsid w:val="00F03934"/>
    <w:rsid w:val="00F03F50"/>
    <w:rsid w:val="00F1066B"/>
    <w:rsid w:val="00F11F0E"/>
    <w:rsid w:val="00F13D28"/>
    <w:rsid w:val="00F13F85"/>
    <w:rsid w:val="00F14323"/>
    <w:rsid w:val="00F14E27"/>
    <w:rsid w:val="00F1512F"/>
    <w:rsid w:val="00F15DDF"/>
    <w:rsid w:val="00F16F14"/>
    <w:rsid w:val="00F21B83"/>
    <w:rsid w:val="00F21C63"/>
    <w:rsid w:val="00F228A4"/>
    <w:rsid w:val="00F25D4A"/>
    <w:rsid w:val="00F27DFB"/>
    <w:rsid w:val="00F30E1E"/>
    <w:rsid w:val="00F32C6C"/>
    <w:rsid w:val="00F32EF0"/>
    <w:rsid w:val="00F3354D"/>
    <w:rsid w:val="00F342EF"/>
    <w:rsid w:val="00F34689"/>
    <w:rsid w:val="00F36FFF"/>
    <w:rsid w:val="00F3770A"/>
    <w:rsid w:val="00F40FCE"/>
    <w:rsid w:val="00F41159"/>
    <w:rsid w:val="00F419BD"/>
    <w:rsid w:val="00F4519A"/>
    <w:rsid w:val="00F45CCF"/>
    <w:rsid w:val="00F46E58"/>
    <w:rsid w:val="00F470DC"/>
    <w:rsid w:val="00F504ED"/>
    <w:rsid w:val="00F50AE8"/>
    <w:rsid w:val="00F50F07"/>
    <w:rsid w:val="00F51C90"/>
    <w:rsid w:val="00F52614"/>
    <w:rsid w:val="00F53058"/>
    <w:rsid w:val="00F53948"/>
    <w:rsid w:val="00F54D49"/>
    <w:rsid w:val="00F5531C"/>
    <w:rsid w:val="00F55823"/>
    <w:rsid w:val="00F55AB3"/>
    <w:rsid w:val="00F565ED"/>
    <w:rsid w:val="00F56C13"/>
    <w:rsid w:val="00F63A90"/>
    <w:rsid w:val="00F65217"/>
    <w:rsid w:val="00F66FE6"/>
    <w:rsid w:val="00F70C0E"/>
    <w:rsid w:val="00F71AC5"/>
    <w:rsid w:val="00F7262E"/>
    <w:rsid w:val="00F746DC"/>
    <w:rsid w:val="00F76033"/>
    <w:rsid w:val="00F76966"/>
    <w:rsid w:val="00F77D49"/>
    <w:rsid w:val="00F80731"/>
    <w:rsid w:val="00F82B81"/>
    <w:rsid w:val="00F83961"/>
    <w:rsid w:val="00F846AA"/>
    <w:rsid w:val="00F84766"/>
    <w:rsid w:val="00F84B50"/>
    <w:rsid w:val="00F8524E"/>
    <w:rsid w:val="00F8709C"/>
    <w:rsid w:val="00F8744E"/>
    <w:rsid w:val="00F87486"/>
    <w:rsid w:val="00F87DB8"/>
    <w:rsid w:val="00F90918"/>
    <w:rsid w:val="00F90E21"/>
    <w:rsid w:val="00F918A3"/>
    <w:rsid w:val="00F91C23"/>
    <w:rsid w:val="00F92643"/>
    <w:rsid w:val="00F938C1"/>
    <w:rsid w:val="00F93996"/>
    <w:rsid w:val="00F968E3"/>
    <w:rsid w:val="00F97CBB"/>
    <w:rsid w:val="00FA071C"/>
    <w:rsid w:val="00FA0E43"/>
    <w:rsid w:val="00FA0F33"/>
    <w:rsid w:val="00FA1E88"/>
    <w:rsid w:val="00FA25E9"/>
    <w:rsid w:val="00FA3E67"/>
    <w:rsid w:val="00FA7117"/>
    <w:rsid w:val="00FA7A22"/>
    <w:rsid w:val="00FB030C"/>
    <w:rsid w:val="00FB4CB6"/>
    <w:rsid w:val="00FB5B41"/>
    <w:rsid w:val="00FB705F"/>
    <w:rsid w:val="00FB734F"/>
    <w:rsid w:val="00FC18B4"/>
    <w:rsid w:val="00FC1DD9"/>
    <w:rsid w:val="00FC394B"/>
    <w:rsid w:val="00FD1F06"/>
    <w:rsid w:val="00FD39AB"/>
    <w:rsid w:val="00FD3B4B"/>
    <w:rsid w:val="00FD42EC"/>
    <w:rsid w:val="00FD50BB"/>
    <w:rsid w:val="00FD71DD"/>
    <w:rsid w:val="00FE0A2E"/>
    <w:rsid w:val="00FE0EE0"/>
    <w:rsid w:val="00FE209D"/>
    <w:rsid w:val="00FE2A5E"/>
    <w:rsid w:val="00FE3347"/>
    <w:rsid w:val="00FE4AFA"/>
    <w:rsid w:val="00FE4F00"/>
    <w:rsid w:val="00FE698D"/>
    <w:rsid w:val="00FF07C7"/>
    <w:rsid w:val="00FF0F71"/>
    <w:rsid w:val="00FF189C"/>
    <w:rsid w:val="00FF2374"/>
    <w:rsid w:val="00FF376C"/>
    <w:rsid w:val="00FF66BE"/>
    <w:rsid w:val="00FF6A86"/>
    <w:rsid w:val="00FF7EE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33434F"/>
  <w15:docId w15:val="{6691B194-C183-44FF-BEF2-78F7BBE3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4DD9"/>
    <w:pPr>
      <w:spacing w:after="20" w:line="250" w:lineRule="atLeast"/>
    </w:pPr>
    <w:rPr>
      <w:rFonts w:ascii="Arial" w:hAnsi="Arial"/>
      <w:sz w:val="20"/>
    </w:rPr>
  </w:style>
  <w:style w:type="paragraph" w:styleId="berschrift1">
    <w:name w:val="heading 1"/>
    <w:basedOn w:val="Standard"/>
    <w:next w:val="Standard"/>
    <w:link w:val="berschrift1Zchn"/>
    <w:uiPriority w:val="9"/>
    <w:semiHidden/>
    <w:qFormat/>
    <w:rsid w:val="008D3F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442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952"/>
    <w:rPr>
      <w:rFonts w:ascii="Tahoma" w:hAnsi="Tahoma" w:cs="Tahoma"/>
      <w:sz w:val="16"/>
      <w:szCs w:val="16"/>
    </w:rPr>
  </w:style>
  <w:style w:type="paragraph" w:styleId="Kopfzeile">
    <w:name w:val="header"/>
    <w:basedOn w:val="Standard"/>
    <w:link w:val="KopfzeileZchn"/>
    <w:uiPriority w:val="99"/>
    <w:semiHidden/>
    <w:rsid w:val="002E649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10952"/>
    <w:rPr>
      <w:rFonts w:ascii="HelveticaNeueLT Std" w:hAnsi="HelveticaNeueLT Std"/>
      <w:sz w:val="20"/>
    </w:rPr>
  </w:style>
  <w:style w:type="paragraph" w:styleId="Fuzeile">
    <w:name w:val="footer"/>
    <w:basedOn w:val="Standard"/>
    <w:link w:val="FuzeileZchn"/>
    <w:uiPriority w:val="99"/>
    <w:rsid w:val="002E6499"/>
    <w:pPr>
      <w:tabs>
        <w:tab w:val="center" w:pos="4536"/>
        <w:tab w:val="right" w:pos="9072"/>
      </w:tabs>
      <w:spacing w:after="0"/>
    </w:pPr>
  </w:style>
  <w:style w:type="character" w:customStyle="1" w:styleId="FuzeileZchn">
    <w:name w:val="Fußzeile Zchn"/>
    <w:basedOn w:val="Absatz-Standardschriftart"/>
    <w:link w:val="Fuzeile"/>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Standard"/>
    <w:qFormat/>
    <w:rsid w:val="00662FB2"/>
    <w:pPr>
      <w:framePr w:w="5103" w:wrap="around" w:vAnchor="page" w:hAnchor="text" w:y="2042" w:anchorLock="1"/>
      <w:spacing w:after="0"/>
    </w:pPr>
    <w:rPr>
      <w:b/>
      <w:color w:val="005391"/>
      <w:sz w:val="40"/>
      <w:szCs w:val="16"/>
    </w:rPr>
  </w:style>
  <w:style w:type="character" w:styleId="Hyperlink">
    <w:name w:val="Hyperlink"/>
    <w:basedOn w:val="Absatz-Standardschriftart"/>
    <w:uiPriority w:val="99"/>
    <w:rsid w:val="00712CAB"/>
    <w:rPr>
      <w:color w:val="0000FF" w:themeColor="hyperlink"/>
      <w:u w:val="single"/>
    </w:rPr>
  </w:style>
  <w:style w:type="paragraph" w:customStyle="1" w:styleId="ANRegister">
    <w:name w:val="AN Register"/>
    <w:basedOn w:val="Kopfzeile"/>
    <w:qFormat/>
    <w:rsid w:val="00FF376C"/>
    <w:pPr>
      <w:framePr w:wrap="around" w:vAnchor="page" w:hAnchor="text" w:y="16189" w:anchorLock="1"/>
      <w:spacing w:line="240" w:lineRule="auto"/>
    </w:pPr>
    <w:rPr>
      <w:color w:val="005391"/>
      <w:sz w:val="12"/>
    </w:rPr>
  </w:style>
  <w:style w:type="paragraph" w:customStyle="1" w:styleId="ANAddress">
    <w:name w:val="AN Address"/>
    <w:basedOn w:val="Kopfzeile"/>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Standard"/>
    <w:qFormat/>
    <w:rsid w:val="00DC4DD9"/>
    <w:pPr>
      <w:spacing w:before="160" w:after="280"/>
    </w:pPr>
    <w:rPr>
      <w:sz w:val="24"/>
    </w:rPr>
  </w:style>
  <w:style w:type="paragraph" w:customStyle="1" w:styleId="ANNote">
    <w:name w:val="AN Note"/>
    <w:basedOn w:val="Standard"/>
    <w:qFormat/>
    <w:rsid w:val="00D831C3"/>
    <w:pPr>
      <w:spacing w:after="0" w:line="240" w:lineRule="auto"/>
    </w:pPr>
    <w:rPr>
      <w:sz w:val="14"/>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ellenraster">
    <w:name w:val="Table Grid"/>
    <w:basedOn w:val="NormaleTabelle"/>
    <w:rsid w:val="003918C4"/>
    <w:pPr>
      <w:widowControl w:val="0"/>
      <w:spacing w:after="0" w:line="250" w:lineRule="atLeast"/>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S List Paragraph"/>
    <w:basedOn w:val="Standard"/>
    <w:link w:val="ListenabsatzZchn"/>
    <w:uiPriority w:val="34"/>
    <w:qFormat/>
    <w:rsid w:val="003918C4"/>
    <w:pPr>
      <w:widowControl w:val="0"/>
      <w:spacing w:after="0"/>
      <w:ind w:left="720"/>
      <w:contextualSpacing/>
    </w:pPr>
    <w:rPr>
      <w:rFonts w:eastAsia="Times New Roman" w:cs="Times New Roman"/>
      <w:szCs w:val="20"/>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ANNormalText">
    <w:name w:val="AN Normal Text"/>
    <w:basedOn w:val="Standard"/>
    <w:rsid w:val="004678D1"/>
    <w:pPr>
      <w:widowControl w:val="0"/>
      <w:spacing w:after="240"/>
    </w:pPr>
    <w:rPr>
      <w:rFonts w:eastAsia="Times New Roman" w:cs="Times New Roman"/>
      <w:szCs w:val="20"/>
    </w:rPr>
  </w:style>
  <w:style w:type="paragraph" w:customStyle="1" w:styleId="ANSignoffs">
    <w:name w:val="AN Signoffs"/>
    <w:basedOn w:val="Standard"/>
    <w:rsid w:val="004678D1"/>
    <w:pPr>
      <w:widowControl w:val="0"/>
      <w:spacing w:after="0" w:line="160" w:lineRule="atLeast"/>
    </w:pPr>
    <w:rPr>
      <w:rFonts w:eastAsia="Times New Roman" w:cs="Times New Roman"/>
      <w:b/>
      <w:sz w:val="14"/>
      <w:szCs w:val="20"/>
    </w:rPr>
  </w:style>
  <w:style w:type="character" w:customStyle="1" w:styleId="apple-style-span">
    <w:name w:val="apple-style-span"/>
    <w:rsid w:val="004678D1"/>
  </w:style>
  <w:style w:type="character" w:styleId="Kommentarzeichen">
    <w:name w:val="annotation reference"/>
    <w:basedOn w:val="Absatz-Standardschriftart"/>
    <w:uiPriority w:val="99"/>
    <w:semiHidden/>
    <w:rsid w:val="00F8524E"/>
    <w:rPr>
      <w:sz w:val="16"/>
      <w:szCs w:val="16"/>
    </w:rPr>
  </w:style>
  <w:style w:type="paragraph" w:styleId="Kommentartext">
    <w:name w:val="annotation text"/>
    <w:basedOn w:val="Standard"/>
    <w:link w:val="KommentartextZchn"/>
    <w:uiPriority w:val="99"/>
    <w:semiHidden/>
    <w:rsid w:val="00F8524E"/>
    <w:pPr>
      <w:spacing w:line="240" w:lineRule="auto"/>
    </w:pPr>
    <w:rPr>
      <w:szCs w:val="20"/>
    </w:rPr>
  </w:style>
  <w:style w:type="character" w:customStyle="1" w:styleId="KommentartextZchn">
    <w:name w:val="Kommentartext Zchn"/>
    <w:basedOn w:val="Absatz-Standardschriftart"/>
    <w:link w:val="Kommentartext"/>
    <w:uiPriority w:val="99"/>
    <w:semiHidden/>
    <w:rsid w:val="00F8524E"/>
    <w:rPr>
      <w:rFonts w:ascii="Arial" w:hAnsi="Arial"/>
      <w:sz w:val="20"/>
      <w:szCs w:val="20"/>
    </w:rPr>
  </w:style>
  <w:style w:type="paragraph" w:styleId="Kommentarthema">
    <w:name w:val="annotation subject"/>
    <w:basedOn w:val="Kommentartext"/>
    <w:next w:val="Kommentartext"/>
    <w:link w:val="KommentarthemaZchn"/>
    <w:uiPriority w:val="99"/>
    <w:semiHidden/>
    <w:rsid w:val="00F8524E"/>
    <w:rPr>
      <w:b/>
      <w:bCs/>
    </w:rPr>
  </w:style>
  <w:style w:type="character" w:customStyle="1" w:styleId="KommentarthemaZchn">
    <w:name w:val="Kommentarthema Zchn"/>
    <w:basedOn w:val="KommentartextZchn"/>
    <w:link w:val="Kommentarthema"/>
    <w:uiPriority w:val="99"/>
    <w:semiHidden/>
    <w:rsid w:val="00F8524E"/>
    <w:rPr>
      <w:rFonts w:ascii="Arial" w:hAnsi="Arial"/>
      <w:b/>
      <w:bCs/>
      <w:sz w:val="20"/>
      <w:szCs w:val="20"/>
    </w:rPr>
  </w:style>
  <w:style w:type="character" w:customStyle="1" w:styleId="berschrift3Zchn">
    <w:name w:val="Überschrift 3 Zchn"/>
    <w:basedOn w:val="Absatz-Standardschriftart"/>
    <w:link w:val="berschrift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NormaleTabelle"/>
    <w:next w:val="Tabellenraster"/>
    <w:rsid w:val="00910A94"/>
    <w:pPr>
      <w:widowControl w:val="0"/>
      <w:spacing w:after="0" w:line="250" w:lineRule="atLeast"/>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E7C62"/>
    <w:rPr>
      <w:b/>
      <w:bCs/>
    </w:rPr>
  </w:style>
  <w:style w:type="character" w:styleId="BesuchterLink">
    <w:name w:val="FollowedHyperlink"/>
    <w:basedOn w:val="Absatz-Standardschriftart"/>
    <w:uiPriority w:val="99"/>
    <w:semiHidden/>
    <w:rsid w:val="00A17D02"/>
    <w:rPr>
      <w:color w:val="800080" w:themeColor="followedHyperlink"/>
      <w:u w:val="single"/>
    </w:rPr>
  </w:style>
  <w:style w:type="paragraph" w:customStyle="1" w:styleId="Pa6">
    <w:name w:val="Pa6"/>
    <w:basedOn w:val="Standard"/>
    <w:next w:val="Standard"/>
    <w:uiPriority w:val="99"/>
    <w:rsid w:val="006A34E5"/>
    <w:pPr>
      <w:autoSpaceDE w:val="0"/>
      <w:autoSpaceDN w:val="0"/>
      <w:adjustRightInd w:val="0"/>
      <w:spacing w:after="0" w:line="241" w:lineRule="atLeast"/>
    </w:pPr>
    <w:rPr>
      <w:rFonts w:ascii="HelveticaNeueLT Std" w:hAnsi="HelveticaNeueLT Std"/>
      <w:sz w:val="24"/>
      <w:szCs w:val="24"/>
    </w:rPr>
  </w:style>
  <w:style w:type="character" w:customStyle="1" w:styleId="ListenabsatzZchn">
    <w:name w:val="Listenabsatz Zchn"/>
    <w:aliases w:val="cS List Paragraph Zchn"/>
    <w:basedOn w:val="Absatz-Standardschriftart"/>
    <w:link w:val="Listenabsatz"/>
    <w:uiPriority w:val="34"/>
    <w:locked/>
    <w:rsid w:val="001F00AA"/>
    <w:rPr>
      <w:rFonts w:ascii="Arial" w:eastAsia="Times New Roman" w:hAnsi="Arial" w:cs="Times New Roman"/>
      <w:sz w:val="20"/>
      <w:szCs w:val="20"/>
      <w:lang w:val="de-DE"/>
    </w:rPr>
  </w:style>
  <w:style w:type="paragraph" w:customStyle="1" w:styleId="maincontent-introduction">
    <w:name w:val="maincontent-introduction"/>
    <w:basedOn w:val="Standard"/>
    <w:rsid w:val="007E4CF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tandardWeb">
    <w:name w:val="Normal (Web)"/>
    <w:basedOn w:val="Standard"/>
    <w:uiPriority w:val="99"/>
    <w:semiHidden/>
    <w:unhideWhenUsed/>
    <w:rsid w:val="007E4CF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berarbeitung">
    <w:name w:val="Revision"/>
    <w:hidden/>
    <w:uiPriority w:val="99"/>
    <w:semiHidden/>
    <w:rsid w:val="007557B7"/>
    <w:pPr>
      <w:spacing w:after="0" w:line="240" w:lineRule="auto"/>
    </w:pPr>
    <w:rPr>
      <w:rFonts w:ascii="Arial" w:hAnsi="Arial"/>
      <w:sz w:val="20"/>
    </w:rPr>
  </w:style>
  <w:style w:type="paragraph" w:styleId="Datum">
    <w:name w:val="Date"/>
    <w:basedOn w:val="Standard"/>
    <w:next w:val="Standard"/>
    <w:link w:val="DatumZchn"/>
    <w:uiPriority w:val="99"/>
    <w:semiHidden/>
    <w:rsid w:val="003B430C"/>
  </w:style>
  <w:style w:type="character" w:customStyle="1" w:styleId="DatumZchn">
    <w:name w:val="Datum Zchn"/>
    <w:basedOn w:val="Absatz-Standardschriftart"/>
    <w:link w:val="Datum"/>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Standard"/>
    <w:rsid w:val="00153E92"/>
    <w:pPr>
      <w:spacing w:after="0" w:line="240" w:lineRule="auto"/>
    </w:pPr>
    <w:rPr>
      <w:rFonts w:ascii="Times New Roman" w:hAnsi="Times New Roman" w:cs="Times New Roman"/>
      <w:sz w:val="24"/>
      <w:szCs w:val="24"/>
    </w:rPr>
  </w:style>
  <w:style w:type="character" w:customStyle="1" w:styleId="spellingerror">
    <w:name w:val="spellingerror"/>
    <w:basedOn w:val="Absatz-Standardschriftart"/>
    <w:rsid w:val="00153E92"/>
  </w:style>
  <w:style w:type="character" w:customStyle="1" w:styleId="normaltextrun1">
    <w:name w:val="normaltextrun1"/>
    <w:basedOn w:val="Absatz-Standardschriftart"/>
    <w:rsid w:val="00153E92"/>
  </w:style>
  <w:style w:type="character" w:customStyle="1" w:styleId="eop">
    <w:name w:val="eop"/>
    <w:basedOn w:val="Absatz-Standardschriftart"/>
    <w:rsid w:val="00153E92"/>
  </w:style>
  <w:style w:type="character" w:customStyle="1" w:styleId="UnresolvedMention1">
    <w:name w:val="Unresolved Mention1"/>
    <w:basedOn w:val="Absatz-Standardschriftart"/>
    <w:uiPriority w:val="99"/>
    <w:semiHidden/>
    <w:unhideWhenUsed/>
    <w:rsid w:val="00F21B83"/>
    <w:rPr>
      <w:color w:val="808080"/>
      <w:shd w:val="clear" w:color="auto" w:fill="E6E6E6"/>
    </w:rPr>
  </w:style>
  <w:style w:type="character" w:customStyle="1" w:styleId="berschrift1Zchn">
    <w:name w:val="Überschrift 1 Zchn"/>
    <w:basedOn w:val="Absatz-Standardschriftart"/>
    <w:link w:val="berschrift1"/>
    <w:uiPriority w:val="9"/>
    <w:semiHidden/>
    <w:rsid w:val="008D3FF8"/>
    <w:rPr>
      <w:rFonts w:asciiTheme="majorHAnsi" w:eastAsiaTheme="majorEastAsia" w:hAnsiTheme="majorHAnsi" w:cstheme="majorBidi"/>
      <w:color w:val="365F91" w:themeColor="accent1" w:themeShade="BF"/>
      <w:sz w:val="32"/>
      <w:szCs w:val="32"/>
    </w:rPr>
  </w:style>
  <w:style w:type="paragraph" w:customStyle="1" w:styleId="hs18">
    <w:name w:val="hs18"/>
    <w:basedOn w:val="Standard"/>
    <w:rsid w:val="008D3FF8"/>
    <w:pPr>
      <w:snapToGrid w:val="0"/>
      <w:spacing w:after="0" w:line="240" w:lineRule="auto"/>
    </w:pPr>
    <w:rPr>
      <w:rFonts w:ascii="Times New Roman" w:hAnsi="Times New Roman" w:cs="Times New Roman"/>
      <w:color w:val="000000"/>
      <w:szCs w:val="20"/>
    </w:rPr>
  </w:style>
  <w:style w:type="paragraph" w:customStyle="1" w:styleId="hs11">
    <w:name w:val="hs11"/>
    <w:basedOn w:val="Standard"/>
    <w:rsid w:val="008D3FF8"/>
    <w:pPr>
      <w:snapToGrid w:val="0"/>
      <w:spacing w:after="0" w:line="240" w:lineRule="auto"/>
    </w:pPr>
    <w:rPr>
      <w:rFonts w:ascii="Times New Roman" w:hAnsi="Times New Roman" w:cs="Times New Roman"/>
      <w:color w:val="000000"/>
      <w:szCs w:val="20"/>
    </w:rPr>
  </w:style>
  <w:style w:type="character" w:customStyle="1" w:styleId="hs41">
    <w:name w:val="hs41"/>
    <w:basedOn w:val="Absatz-Standardschriftart"/>
    <w:rsid w:val="008D3FF8"/>
    <w:rPr>
      <w:strike w:val="0"/>
      <w:dstrike w:val="0"/>
      <w:color w:val="auto"/>
      <w:u w:val="none"/>
      <w:effect w:val="none"/>
    </w:rPr>
  </w:style>
  <w:style w:type="character" w:customStyle="1" w:styleId="hs51">
    <w:name w:val="hs51"/>
    <w:basedOn w:val="Absatz-Standardschriftart"/>
    <w:rsid w:val="008D3FF8"/>
    <w:rPr>
      <w:color w:val="auto"/>
    </w:rPr>
  </w:style>
  <w:style w:type="character" w:customStyle="1" w:styleId="UnresolvedMention2">
    <w:name w:val="Unresolved Mention2"/>
    <w:basedOn w:val="Absatz-Standardschriftart"/>
    <w:uiPriority w:val="99"/>
    <w:semiHidden/>
    <w:unhideWhenUsed/>
    <w:rsid w:val="00C619DE"/>
    <w:rPr>
      <w:color w:val="808080"/>
      <w:shd w:val="clear" w:color="auto" w:fill="E6E6E6"/>
    </w:rPr>
  </w:style>
  <w:style w:type="paragraph" w:customStyle="1" w:styleId="NoParagraphStyle">
    <w:name w:val="[No Paragraph Style]"/>
    <w:basedOn w:val="Standard"/>
    <w:rsid w:val="001B4E02"/>
    <w:pPr>
      <w:autoSpaceDE w:val="0"/>
      <w:autoSpaceDN w:val="0"/>
      <w:spacing w:after="0" w:line="288" w:lineRule="auto"/>
    </w:pPr>
    <w:rPr>
      <w:rFonts w:ascii="Times Regular" w:hAnsi="Times Regular" w:cs="Calibri"/>
      <w:color w:val="000000"/>
      <w:sz w:val="24"/>
      <w:szCs w:val="24"/>
    </w:rPr>
  </w:style>
  <w:style w:type="paragraph" w:customStyle="1" w:styleId="Pa0">
    <w:name w:val="Pa0"/>
    <w:basedOn w:val="Default"/>
    <w:next w:val="Default"/>
    <w:uiPriority w:val="99"/>
    <w:rsid w:val="002E3A8A"/>
    <w:pPr>
      <w:spacing w:line="241" w:lineRule="atLeast"/>
    </w:pPr>
    <w:rPr>
      <w:rFonts w:ascii="HelveticaNeueLT Std" w:eastAsiaTheme="minorHAnsi" w:hAnsi="HelveticaNeueLT Std" w:cstheme="minorBidi"/>
      <w:color w:val="auto"/>
      <w:lang w:eastAsia="en-US"/>
    </w:rPr>
  </w:style>
  <w:style w:type="character" w:customStyle="1" w:styleId="A7">
    <w:name w:val="A7"/>
    <w:uiPriority w:val="99"/>
    <w:rsid w:val="002E3A8A"/>
    <w:rPr>
      <w:rFonts w:cs="HelveticaNeueLT Std"/>
      <w:b/>
      <w:bCs/>
      <w:color w:val="000000"/>
      <w:sz w:val="20"/>
      <w:szCs w:val="20"/>
    </w:rPr>
  </w:style>
  <w:style w:type="character" w:customStyle="1" w:styleId="UnresolvedMention3">
    <w:name w:val="Unresolved Mention3"/>
    <w:basedOn w:val="Absatz-Standardschriftart"/>
    <w:uiPriority w:val="99"/>
    <w:semiHidden/>
    <w:unhideWhenUsed/>
    <w:rsid w:val="00710216"/>
    <w:rPr>
      <w:color w:val="808080"/>
      <w:shd w:val="clear" w:color="auto" w:fill="E6E6E6"/>
    </w:rPr>
  </w:style>
  <w:style w:type="paragraph" w:customStyle="1" w:styleId="hs9">
    <w:name w:val="hs9"/>
    <w:basedOn w:val="Standard"/>
    <w:rsid w:val="008A022C"/>
    <w:pPr>
      <w:spacing w:after="0" w:line="240" w:lineRule="auto"/>
    </w:pPr>
    <w:rPr>
      <w:rFonts w:ascii="Times New Roman" w:hAnsi="Times New Roman" w:cs="Times New Roman"/>
      <w:color w:val="000000"/>
      <w:szCs w:val="20"/>
    </w:rPr>
  </w:style>
  <w:style w:type="character" w:customStyle="1" w:styleId="hs31">
    <w:name w:val="hs31"/>
    <w:basedOn w:val="Absatz-Standardschriftart"/>
    <w:rsid w:val="008A022C"/>
    <w:rPr>
      <w:color w:val="auto"/>
    </w:rPr>
  </w:style>
  <w:style w:type="character" w:customStyle="1" w:styleId="UnresolvedMention4">
    <w:name w:val="Unresolved Mention4"/>
    <w:basedOn w:val="Absatz-Standardschriftart"/>
    <w:uiPriority w:val="99"/>
    <w:semiHidden/>
    <w:unhideWhenUsed/>
    <w:rsid w:val="00663621"/>
    <w:rPr>
      <w:color w:val="605E5C"/>
      <w:shd w:val="clear" w:color="auto" w:fill="E1DFDD"/>
    </w:rPr>
  </w:style>
  <w:style w:type="character" w:customStyle="1" w:styleId="UnresolvedMention5">
    <w:name w:val="Unresolved Mention5"/>
    <w:basedOn w:val="Absatz-Standardschriftart"/>
    <w:uiPriority w:val="99"/>
    <w:semiHidden/>
    <w:unhideWhenUsed/>
    <w:rsid w:val="005B2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152">
      <w:bodyDiv w:val="1"/>
      <w:marLeft w:val="0"/>
      <w:marRight w:val="0"/>
      <w:marTop w:val="0"/>
      <w:marBottom w:val="0"/>
      <w:divBdr>
        <w:top w:val="none" w:sz="0" w:space="0" w:color="auto"/>
        <w:left w:val="none" w:sz="0" w:space="0" w:color="auto"/>
        <w:bottom w:val="none" w:sz="0" w:space="0" w:color="auto"/>
        <w:right w:val="none" w:sz="0" w:space="0" w:color="auto"/>
      </w:divBdr>
    </w:div>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202837389">
      <w:bodyDiv w:val="1"/>
      <w:marLeft w:val="0"/>
      <w:marRight w:val="0"/>
      <w:marTop w:val="0"/>
      <w:marBottom w:val="0"/>
      <w:divBdr>
        <w:top w:val="none" w:sz="0" w:space="0" w:color="auto"/>
        <w:left w:val="none" w:sz="0" w:space="0" w:color="auto"/>
        <w:bottom w:val="none" w:sz="0" w:space="0" w:color="auto"/>
        <w:right w:val="none" w:sz="0" w:space="0" w:color="auto"/>
      </w:divBdr>
    </w:div>
    <w:div w:id="208808960">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436099445">
      <w:bodyDiv w:val="1"/>
      <w:marLeft w:val="0"/>
      <w:marRight w:val="0"/>
      <w:marTop w:val="0"/>
      <w:marBottom w:val="0"/>
      <w:divBdr>
        <w:top w:val="none" w:sz="0" w:space="0" w:color="auto"/>
        <w:left w:val="none" w:sz="0" w:space="0" w:color="auto"/>
        <w:bottom w:val="none" w:sz="0" w:space="0" w:color="auto"/>
        <w:right w:val="none" w:sz="0" w:space="0" w:color="auto"/>
      </w:divBdr>
    </w:div>
    <w:div w:id="486093823">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852114560">
      <w:bodyDiv w:val="1"/>
      <w:marLeft w:val="0"/>
      <w:marRight w:val="0"/>
      <w:marTop w:val="0"/>
      <w:marBottom w:val="0"/>
      <w:divBdr>
        <w:top w:val="none" w:sz="0" w:space="0" w:color="auto"/>
        <w:left w:val="none" w:sz="0" w:space="0" w:color="auto"/>
        <w:bottom w:val="none" w:sz="0" w:space="0" w:color="auto"/>
        <w:right w:val="none" w:sz="0" w:space="0" w:color="auto"/>
      </w:divBdr>
      <w:divsChild>
        <w:div w:id="2000184722">
          <w:marLeft w:val="288"/>
          <w:marRight w:val="0"/>
          <w:marTop w:val="120"/>
          <w:marBottom w:val="40"/>
          <w:divBdr>
            <w:top w:val="none" w:sz="0" w:space="0" w:color="auto"/>
            <w:left w:val="none" w:sz="0" w:space="0" w:color="auto"/>
            <w:bottom w:val="none" w:sz="0" w:space="0" w:color="auto"/>
            <w:right w:val="none" w:sz="0" w:space="0" w:color="auto"/>
          </w:divBdr>
        </w:div>
      </w:divsChild>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250849866">
      <w:bodyDiv w:val="1"/>
      <w:marLeft w:val="0"/>
      <w:marRight w:val="0"/>
      <w:marTop w:val="0"/>
      <w:marBottom w:val="0"/>
      <w:divBdr>
        <w:top w:val="none" w:sz="0" w:space="0" w:color="auto"/>
        <w:left w:val="none" w:sz="0" w:space="0" w:color="auto"/>
        <w:bottom w:val="none" w:sz="0" w:space="0" w:color="auto"/>
        <w:right w:val="none" w:sz="0" w:space="0" w:color="auto"/>
      </w:divBdr>
      <w:divsChild>
        <w:div w:id="799759968">
          <w:marLeft w:val="288"/>
          <w:marRight w:val="0"/>
          <w:marTop w:val="120"/>
          <w:marBottom w:val="120"/>
          <w:divBdr>
            <w:top w:val="none" w:sz="0" w:space="0" w:color="auto"/>
            <w:left w:val="none" w:sz="0" w:space="0" w:color="auto"/>
            <w:bottom w:val="none" w:sz="0" w:space="0" w:color="auto"/>
            <w:right w:val="none" w:sz="0" w:space="0" w:color="auto"/>
          </w:divBdr>
        </w:div>
        <w:div w:id="168838670">
          <w:marLeft w:val="562"/>
          <w:marRight w:val="0"/>
          <w:marTop w:val="40"/>
          <w:marBottom w:val="120"/>
          <w:divBdr>
            <w:top w:val="none" w:sz="0" w:space="0" w:color="auto"/>
            <w:left w:val="none" w:sz="0" w:space="0" w:color="auto"/>
            <w:bottom w:val="none" w:sz="0" w:space="0" w:color="auto"/>
            <w:right w:val="none" w:sz="0" w:space="0" w:color="auto"/>
          </w:divBdr>
        </w:div>
        <w:div w:id="2136176488">
          <w:marLeft w:val="562"/>
          <w:marRight w:val="0"/>
          <w:marTop w:val="40"/>
          <w:marBottom w:val="120"/>
          <w:divBdr>
            <w:top w:val="none" w:sz="0" w:space="0" w:color="auto"/>
            <w:left w:val="none" w:sz="0" w:space="0" w:color="auto"/>
            <w:bottom w:val="none" w:sz="0" w:space="0" w:color="auto"/>
            <w:right w:val="none" w:sz="0" w:space="0" w:color="auto"/>
          </w:divBdr>
        </w:div>
        <w:div w:id="1278681323">
          <w:marLeft w:val="562"/>
          <w:marRight w:val="0"/>
          <w:marTop w:val="40"/>
          <w:marBottom w:val="120"/>
          <w:divBdr>
            <w:top w:val="none" w:sz="0" w:space="0" w:color="auto"/>
            <w:left w:val="none" w:sz="0" w:space="0" w:color="auto"/>
            <w:bottom w:val="none" w:sz="0" w:space="0" w:color="auto"/>
            <w:right w:val="none" w:sz="0" w:space="0" w:color="auto"/>
          </w:divBdr>
        </w:div>
        <w:div w:id="677001464">
          <w:marLeft w:val="288"/>
          <w:marRight w:val="0"/>
          <w:marTop w:val="120"/>
          <w:marBottom w:val="120"/>
          <w:divBdr>
            <w:top w:val="none" w:sz="0" w:space="0" w:color="auto"/>
            <w:left w:val="none" w:sz="0" w:space="0" w:color="auto"/>
            <w:bottom w:val="none" w:sz="0" w:space="0" w:color="auto"/>
            <w:right w:val="none" w:sz="0" w:space="0" w:color="auto"/>
          </w:divBdr>
        </w:div>
        <w:div w:id="375352204">
          <w:marLeft w:val="562"/>
          <w:marRight w:val="0"/>
          <w:marTop w:val="40"/>
          <w:marBottom w:val="120"/>
          <w:divBdr>
            <w:top w:val="none" w:sz="0" w:space="0" w:color="auto"/>
            <w:left w:val="none" w:sz="0" w:space="0" w:color="auto"/>
            <w:bottom w:val="none" w:sz="0" w:space="0" w:color="auto"/>
            <w:right w:val="none" w:sz="0" w:space="0" w:color="auto"/>
          </w:divBdr>
        </w:div>
        <w:div w:id="1512597239">
          <w:marLeft w:val="562"/>
          <w:marRight w:val="0"/>
          <w:marTop w:val="40"/>
          <w:marBottom w:val="120"/>
          <w:divBdr>
            <w:top w:val="none" w:sz="0" w:space="0" w:color="auto"/>
            <w:left w:val="none" w:sz="0" w:space="0" w:color="auto"/>
            <w:bottom w:val="none" w:sz="0" w:space="0" w:color="auto"/>
            <w:right w:val="none" w:sz="0" w:space="0" w:color="auto"/>
          </w:divBdr>
        </w:div>
        <w:div w:id="911624928">
          <w:marLeft w:val="288"/>
          <w:marRight w:val="0"/>
          <w:marTop w:val="120"/>
          <w:marBottom w:val="120"/>
          <w:divBdr>
            <w:top w:val="none" w:sz="0" w:space="0" w:color="auto"/>
            <w:left w:val="none" w:sz="0" w:space="0" w:color="auto"/>
            <w:bottom w:val="none" w:sz="0" w:space="0" w:color="auto"/>
            <w:right w:val="none" w:sz="0" w:space="0" w:color="auto"/>
          </w:divBdr>
        </w:div>
        <w:div w:id="1176924340">
          <w:marLeft w:val="288"/>
          <w:marRight w:val="0"/>
          <w:marTop w:val="120"/>
          <w:marBottom w:val="120"/>
          <w:divBdr>
            <w:top w:val="none" w:sz="0" w:space="0" w:color="auto"/>
            <w:left w:val="none" w:sz="0" w:space="0" w:color="auto"/>
            <w:bottom w:val="none" w:sz="0" w:space="0" w:color="auto"/>
            <w:right w:val="none" w:sz="0" w:space="0" w:color="auto"/>
          </w:divBdr>
        </w:div>
      </w:divsChild>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01831723">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885289992">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031711">
      <w:bodyDiv w:val="1"/>
      <w:marLeft w:val="0"/>
      <w:marRight w:val="0"/>
      <w:marTop w:val="0"/>
      <w:marBottom w:val="0"/>
      <w:divBdr>
        <w:top w:val="none" w:sz="0" w:space="0" w:color="auto"/>
        <w:left w:val="none" w:sz="0" w:space="0" w:color="auto"/>
        <w:bottom w:val="none" w:sz="0" w:space="0" w:color="auto"/>
        <w:right w:val="none" w:sz="0" w:space="0" w:color="auto"/>
      </w:divBdr>
    </w:div>
    <w:div w:id="1922059243">
      <w:bodyDiv w:val="1"/>
      <w:marLeft w:val="0"/>
      <w:marRight w:val="0"/>
      <w:marTop w:val="0"/>
      <w:marBottom w:val="0"/>
      <w:divBdr>
        <w:top w:val="none" w:sz="0" w:space="0" w:color="auto"/>
        <w:left w:val="none" w:sz="0" w:space="0" w:color="auto"/>
        <w:bottom w:val="none" w:sz="0" w:space="0" w:color="auto"/>
        <w:right w:val="none" w:sz="0" w:space="0" w:color="auto"/>
      </w:divBdr>
    </w:div>
    <w:div w:id="1933658420">
      <w:bodyDiv w:val="1"/>
      <w:marLeft w:val="0"/>
      <w:marRight w:val="0"/>
      <w:marTop w:val="0"/>
      <w:marBottom w:val="0"/>
      <w:divBdr>
        <w:top w:val="none" w:sz="0" w:space="0" w:color="auto"/>
        <w:left w:val="none" w:sz="0" w:space="0" w:color="auto"/>
        <w:bottom w:val="none" w:sz="0" w:space="0" w:color="auto"/>
        <w:right w:val="none" w:sz="0" w:space="0" w:color="auto"/>
      </w:divBdr>
    </w:div>
    <w:div w:id="2030834886">
      <w:bodyDiv w:val="1"/>
      <w:marLeft w:val="0"/>
      <w:marRight w:val="0"/>
      <w:marTop w:val="0"/>
      <w:marBottom w:val="0"/>
      <w:divBdr>
        <w:top w:val="none" w:sz="0" w:space="0" w:color="auto"/>
        <w:left w:val="none" w:sz="0" w:space="0" w:color="auto"/>
        <w:bottom w:val="none" w:sz="0" w:space="0" w:color="auto"/>
        <w:right w:val="none" w:sz="0" w:space="0" w:color="auto"/>
      </w:divBdr>
      <w:divsChild>
        <w:div w:id="1165393181">
          <w:marLeft w:val="288"/>
          <w:marRight w:val="0"/>
          <w:marTop w:val="120"/>
          <w:marBottom w:val="40"/>
          <w:divBdr>
            <w:top w:val="none" w:sz="0" w:space="0" w:color="auto"/>
            <w:left w:val="none" w:sz="0" w:space="0" w:color="auto"/>
            <w:bottom w:val="none" w:sz="0" w:space="0" w:color="auto"/>
            <w:right w:val="none" w:sz="0" w:space="0" w:color="auto"/>
          </w:divBdr>
        </w:div>
      </w:divsChild>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01443691">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dia.relations@akzonobe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akzo.no/Q220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kzonobel.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vestor.relations@akzonobe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32ae41130da493b86132e3a953071f9 xmlns="4fab6e6a-9d73-4e0c-873f-95a2af16e75c">
      <Terms xmlns="http://schemas.microsoft.com/office/infopath/2007/PartnerControls">
        <TermInfo xmlns="http://schemas.microsoft.com/office/infopath/2007/PartnerControls">
          <TermName xmlns="http://schemas.microsoft.com/office/infopath/2007/PartnerControls">Amsterdam</TermName>
          <TermId xmlns="http://schemas.microsoft.com/office/infopath/2007/PartnerControls">7372b14a-68dc-431b-9ebc-dc4e8e27c37f</TermId>
        </TermInfo>
      </Terms>
    </d32ae41130da493b86132e3a953071f9>
    <ocd95ad6b8e04e7f842942825668fbb5 xmlns="4fab6e6a-9d73-4e0c-873f-95a2af16e75c">
      <Terms xmlns="http://schemas.microsoft.com/office/infopath/2007/PartnerControls">
        <TermInfo xmlns="http://schemas.microsoft.com/office/infopath/2007/PartnerControls">
          <TermName xmlns="http://schemas.microsoft.com/office/infopath/2007/PartnerControls">Finance Functions</TermName>
          <TermId xmlns="http://schemas.microsoft.com/office/infopath/2007/PartnerControls">34b3a9ef-b841-40cb-a7e3-182842d17a91</TermId>
        </TermInfo>
      </Terms>
    </ocd95ad6b8e04e7f842942825668fbb5>
    <mda0baadc97c4db7badb76e25463554a xmlns="4fab6e6a-9d73-4e0c-873f-95a2af16e75c">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9f4958bd-1869-478b-8336-595b3208e9ea</TermId>
        </TermInfo>
      </Terms>
    </mda0baadc97c4db7badb76e25463554a>
    <aa8db5530e2a45348bde7c5817e341ff xmlns="4fab6e6a-9d73-4e0c-873f-95a2af16e75c">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bbd8224c-5f2c-46d6-b6c8-7d3985b69fd1</TermId>
        </TermInfo>
      </Terms>
    </aa8db5530e2a45348bde7c5817e341ff>
    <mae7e2ab67634575ac873c82e00fa1a0 xmlns="4fab6e6a-9d73-4e0c-873f-95a2af16e75c">
      <Terms xmlns="http://schemas.microsoft.com/office/infopath/2007/PartnerControls">
        <TermInfo xmlns="http://schemas.microsoft.com/office/infopath/2007/PartnerControls">
          <TermName xmlns="http://schemas.microsoft.com/office/infopath/2007/PartnerControls">Financial</TermName>
          <TermId xmlns="http://schemas.microsoft.com/office/infopath/2007/PartnerControls">fd2b1d53-d00c-4c74-9b9e-3e9d58cb1af0</TermId>
        </TermInfo>
      </Terms>
    </mae7e2ab67634575ac873c82e00fa1a0>
    <j66dce8a783c450aa3780bca39aa40ce xmlns="4fab6e6a-9d73-4e0c-873f-95a2af16e75c">
      <Terms xmlns="http://schemas.microsoft.com/office/infopath/2007/PartnerControls">
        <TermInfo xmlns="http://schemas.microsoft.com/office/infopath/2007/PartnerControls">
          <TermName xmlns="http://schemas.microsoft.com/office/infopath/2007/PartnerControls">Europe and Africa</TermName>
          <TermId xmlns="http://schemas.microsoft.com/office/infopath/2007/PartnerControls">58554c4e-5df7-4b89-af8c-c99a1ac8ea8d</TermId>
        </TermInfo>
      </Terms>
    </j66dce8a783c450aa3780bca39aa40ce>
    <cc2dd03876fb497f97efb31ac36a49be xmlns="4fab6e6a-9d73-4e0c-873f-95a2af16e75c">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28e9acb3-fbbc-4d9d-bba8-2ba86c5016d2</TermId>
        </TermInfo>
      </Terms>
    </cc2dd03876fb497f97efb31ac36a49be>
    <a3d9eac3772e4880895b85fe254adfa9 xmlns="4fab6e6a-9d73-4e0c-873f-95a2af16e75c">
      <Terms xmlns="http://schemas.microsoft.com/office/infopath/2007/PartnerControls">
        <TermInfo xmlns="http://schemas.microsoft.com/office/infopath/2007/PartnerControls">
          <TermName xmlns="http://schemas.microsoft.com/office/infopath/2007/PartnerControls">EURA</TermName>
          <TermId xmlns="http://schemas.microsoft.com/office/infopath/2007/PartnerControls">37519b14-9275-4619-a8f1-f7c9f2cc73a5</TermId>
        </TermInfo>
      </Terms>
    </a3d9eac3772e4880895b85fe254adfa9>
    <g9029d403c5c40e3b969b18adb6fd5b9 xmlns="4fab6e6a-9d73-4e0c-873f-95a2af16e75c">
      <Terms xmlns="http://schemas.microsoft.com/office/infopath/2007/PartnerControls">
        <TermInfo xmlns="http://schemas.microsoft.com/office/infopath/2007/PartnerControls">
          <TermName xmlns="http://schemas.microsoft.com/office/infopath/2007/PartnerControls">OC</TermName>
          <TermId xmlns="http://schemas.microsoft.com/office/infopath/2007/PartnerControls">f1b01b99-3585-40ee-98a3-9a7d88f753be</TermId>
        </TermInfo>
      </Terms>
    </g9029d403c5c40e3b969b18adb6fd5b9>
    <TaxCatchAll xmlns="4fab6e6a-9d73-4e0c-873f-95a2af16e75c">
      <Value>146</Value>
      <Value>31</Value>
      <Value>55</Value>
      <Value>45</Value>
      <Value>22</Value>
      <Value>21</Value>
      <Value>56</Value>
      <Value>18</Value>
      <Value>17</Value>
      <Value>28</Value>
      <Value>9</Value>
      <Value>8</Value>
      <Value>7</Value>
      <Value>6</Value>
    </TaxCatchAll>
    <d20803f3fe4247919b9b759f5e362834 xmlns="4fab6e6a-9d73-4e0c-873f-95a2af16e75c">
      <Terms xmlns="http://schemas.microsoft.com/office/infopath/2007/PartnerControls">
        <TermInfo xmlns="http://schemas.microsoft.com/office/infopath/2007/PartnerControls">
          <TermName xmlns="http://schemas.microsoft.com/office/infopath/2007/PartnerControls">AMS</TermName>
          <TermId xmlns="http://schemas.microsoft.com/office/infopath/2007/PartnerControls">abe4f3ba-b26c-49b3-b5e8-d02ff727835c</TermId>
        </TermInfo>
      </Terms>
    </d20803f3fe4247919b9b759f5e362834>
    <labc0929767c4783b2d8fa740ca218b7 xmlns="4fab6e6a-9d73-4e0c-873f-95a2af16e75c">
      <Terms xmlns="http://schemas.microsoft.com/office/infopath/2007/PartnerControls">
        <TermInfo xmlns="http://schemas.microsoft.com/office/infopath/2007/PartnerControls">
          <TermName xmlns="http://schemas.microsoft.com/office/infopath/2007/PartnerControls">Central Europe</TermName>
          <TermId xmlns="http://schemas.microsoft.com/office/infopath/2007/PartnerControls">b1cfca3a-f357-40e6-98ad-6479002c6777</TermId>
        </TermInfo>
      </Terms>
    </labc0929767c4783b2d8fa740ca218b7>
    <ef1fcb5509b14f4497a7b17975627e9f xmlns="4fab6e6a-9d73-4e0c-873f-95a2af16e75c">
      <Terms xmlns="http://schemas.microsoft.com/office/infopath/2007/PartnerControls">
        <TermInfo xmlns="http://schemas.microsoft.com/office/infopath/2007/PartnerControls">
          <TermName xmlns="http://schemas.microsoft.com/office/infopath/2007/PartnerControls">Netherlands</TermName>
          <TermId xmlns="http://schemas.microsoft.com/office/infopath/2007/PartnerControls">ed1c09d8-4a4e-45fe-97d5-146264f42403</TermId>
        </TermInfo>
      </Terms>
    </ef1fcb5509b14f4497a7b17975627e9f>
    <i7bf91362ff6412db9e6f8c4b81f26b3 xmlns="4fab6e6a-9d73-4e0c-873f-95a2af16e75c">
      <Terms xmlns="http://schemas.microsoft.com/office/infopath/2007/PartnerControls">
        <TermInfo xmlns="http://schemas.microsoft.com/office/infopath/2007/PartnerControls">
          <TermName xmlns="http://schemas.microsoft.com/office/infopath/2007/PartnerControls">CEUR</TermName>
          <TermId xmlns="http://schemas.microsoft.com/office/infopath/2007/PartnerControls">c2b0dd99-0ebb-4475-af32-8c000ce005d6</TermId>
        </TermInfo>
      </Terms>
    </i7bf91362ff6412db9e6f8c4b81f26b3>
    <d085d8b774b34c079f4d06fc1b85e285 xmlns="4fab6e6a-9d73-4e0c-873f-95a2af16e75c">
      <Terms xmlns="http://schemas.microsoft.com/office/infopath/2007/PartnerControls">
        <TermInfo xmlns="http://schemas.microsoft.com/office/infopath/2007/PartnerControls">
          <TermName xmlns="http://schemas.microsoft.com/office/infopath/2007/PartnerControls">HQFF</TermName>
          <TermId xmlns="http://schemas.microsoft.com/office/infopath/2007/PartnerControls">2f1abbdf-68e3-4d73-90ff-cf81ab2b227d</TermId>
        </TermInfo>
      </Terms>
    </d085d8b774b34c079f4d06fc1b85e285>
    <ol_Department xmlns="http://schemas.microsoft.com/sharepoint/v3">Investor Relations</ol_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817a06-5577-4462-8781-9851d056e4aa" ContentTypeId="0x0101005C1BEE2454CD7640B6C1B8BA67C5522501" PreviousValue="false"/>
</file>

<file path=customXml/item4.xml><?xml version="1.0" encoding="utf-8"?>
<ct:contentTypeSchema xmlns:ct="http://schemas.microsoft.com/office/2006/metadata/contentType" xmlns:ma="http://schemas.microsoft.com/office/2006/metadata/properties/metaAttributes" ct:_="" ma:_="" ma:contentTypeName="AN Working Document" ma:contentTypeID="0x0101005C1BEE2454CD7640B6C1B8BA67C55225010098FA4B1F93650C458FE36D4F395F15CB" ma:contentTypeVersion="11" ma:contentTypeDescription="Create a new document." ma:contentTypeScope="" ma:versionID="cabc304cde41eaf779eee2376e4102c1">
  <xsd:schema xmlns:xsd="http://www.w3.org/2001/XMLSchema" xmlns:xs="http://www.w3.org/2001/XMLSchema" xmlns:p="http://schemas.microsoft.com/office/2006/metadata/properties" xmlns:ns1="http://schemas.microsoft.com/sharepoint/v3" xmlns:ns2="4fab6e6a-9d73-4e0c-873f-95a2af16e75c" targetNamespace="http://schemas.microsoft.com/office/2006/metadata/properties" ma:root="true" ma:fieldsID="4edfaf72d9abafe65a91830805a2a7de" ns1:_="" ns2:_="">
    <xsd:import namespace="http://schemas.microsoft.com/sharepoint/v3"/>
    <xsd:import namespace="4fab6e6a-9d73-4e0c-873f-95a2af16e75c"/>
    <xsd:element name="properties">
      <xsd:complexType>
        <xsd:sequence>
          <xsd:element name="documentManagement">
            <xsd:complexType>
              <xsd:all>
                <xsd:element ref="ns2:g9029d403c5c40e3b969b18adb6fd5b9" minOccurs="0"/>
                <xsd:element ref="ns2:TaxCatchAll" minOccurs="0"/>
                <xsd:element ref="ns2:TaxCatchAllLabel" minOccurs="0"/>
                <xsd:element ref="ns2:cc2dd03876fb497f97efb31ac36a49be" minOccurs="0"/>
                <xsd:element ref="ns2:d085d8b774b34c079f4d06fc1b85e285" minOccurs="0"/>
                <xsd:element ref="ns2:ocd95ad6b8e04e7f842942825668fbb5" minOccurs="0"/>
                <xsd:element ref="ns1:ol_Department" minOccurs="0"/>
                <xsd:element ref="ns2:mae7e2ab67634575ac873c82e00fa1a0" minOccurs="0"/>
                <xsd:element ref="ns2:mda0baadc97c4db7badb76e25463554a" minOccurs="0"/>
                <xsd:element ref="ns2:ef1fcb5509b14f4497a7b17975627e9f" minOccurs="0"/>
                <xsd:element ref="ns2:aa8db5530e2a45348bde7c5817e341ff" minOccurs="0"/>
                <xsd:element ref="ns2:a3d9eac3772e4880895b85fe254adfa9" minOccurs="0"/>
                <xsd:element ref="ns2:j66dce8a783c450aa3780bca39aa40ce" minOccurs="0"/>
                <xsd:element ref="ns2:i7bf91362ff6412db9e6f8c4b81f26b3" minOccurs="0"/>
                <xsd:element ref="ns2:labc0929767c4783b2d8fa740ca218b7" minOccurs="0"/>
                <xsd:element ref="ns2:d20803f3fe4247919b9b759f5e362834" minOccurs="0"/>
                <xsd:element ref="ns2:d32ae41130da493b86132e3a953071f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8"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b6e6a-9d73-4e0c-873f-95a2af16e75c" elementFormDefault="qualified">
    <xsd:import namespace="http://schemas.microsoft.com/office/2006/documentManagement/types"/>
    <xsd:import namespace="http://schemas.microsoft.com/office/infopath/2007/PartnerControls"/>
    <xsd:element name="g9029d403c5c40e3b969b18adb6fd5b9" ma:index="8" ma:taxonomy="true" ma:internalName="g9029d403c5c40e3b969b18adb6fd5b9" ma:taxonomyFieldName="AN_x002d_BusinessAreaCode" ma:displayName="Business Area Code" ma:readOnly="false" ma:default="" ma:fieldId="{09029d40-3c5c-40e3-b969-b18adb6fd5b9}" ma:taxonomyMulti="true" ma:sspId="34817a06-5577-4462-8781-9851d056e4aa" ma:termSetId="4be3c42f-e5b6-4330-9300-cb1919e8b84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d0b3642-ed92-4732-a1a5-808fa1857b2a}" ma:internalName="TaxCatchAll" ma:showField="CatchAllData" ma:web="41df759b-35ea-4c04-b96e-d654c62f20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d0b3642-ed92-4732-a1a5-808fa1857b2a}" ma:internalName="TaxCatchAllLabel" ma:readOnly="true" ma:showField="CatchAllDataLabel" ma:web="41df759b-35ea-4c04-b96e-d654c62f204a">
      <xsd:complexType>
        <xsd:complexContent>
          <xsd:extension base="dms:MultiChoiceLookup">
            <xsd:sequence>
              <xsd:element name="Value" type="dms:Lookup" maxOccurs="unbounded" minOccurs="0" nillable="true"/>
            </xsd:sequence>
          </xsd:extension>
        </xsd:complexContent>
      </xsd:complexType>
    </xsd:element>
    <xsd:element name="cc2dd03876fb497f97efb31ac36a49be" ma:index="12" ma:taxonomy="true" ma:internalName="cc2dd03876fb497f97efb31ac36a49be" ma:taxonomyFieldName="AN_x002d_BusinessAreaName" ma:displayName="Business Area Name" ma:readOnly="false" ma:default="" ma:fieldId="{cc2dd038-76fb-497f-97ef-b31ac36a49be}" ma:taxonomyMulti="true" ma:sspId="34817a06-5577-4462-8781-9851d056e4aa" ma:termSetId="b4ba9ded-7c82-449c-8669-f58e84b8420c" ma:anchorId="00000000-0000-0000-0000-000000000000" ma:open="false" ma:isKeyword="false">
      <xsd:complexType>
        <xsd:sequence>
          <xsd:element ref="pc:Terms" minOccurs="0" maxOccurs="1"/>
        </xsd:sequence>
      </xsd:complexType>
    </xsd:element>
    <xsd:element name="d085d8b774b34c079f4d06fc1b85e285" ma:index="14" ma:taxonomy="true" ma:internalName="d085d8b774b34c079f4d06fc1b85e285" ma:taxonomyFieldName="AN_x002d_BusinessUnitCode" ma:displayName="Business Unit Code" ma:default="" ma:fieldId="{d085d8b7-74b3-4c07-9f4d-06fc1b85e285}" ma:taxonomyMulti="true" ma:sspId="34817a06-5577-4462-8781-9851d056e4aa" ma:termSetId="18ce08ee-805a-48c8-8f23-d5b3bf5757ba" ma:anchorId="00000000-0000-0000-0000-000000000000" ma:open="false" ma:isKeyword="false">
      <xsd:complexType>
        <xsd:sequence>
          <xsd:element ref="pc:Terms" minOccurs="0" maxOccurs="1"/>
        </xsd:sequence>
      </xsd:complexType>
    </xsd:element>
    <xsd:element name="ocd95ad6b8e04e7f842942825668fbb5" ma:index="16" ma:taxonomy="true" ma:internalName="ocd95ad6b8e04e7f842942825668fbb5" ma:taxonomyFieldName="AN_x002d_BusinessUnitName" ma:displayName="Business Unit Name" ma:default="" ma:fieldId="{8cd95ad6-b8e0-4e7f-8429-42825668fbb5}" ma:taxonomyMulti="true" ma:sspId="34817a06-5577-4462-8781-9851d056e4aa" ma:termSetId="065ab6a1-3071-4584-b682-6da83ab86c5a" ma:anchorId="00000000-0000-0000-0000-000000000000" ma:open="false" ma:isKeyword="false">
      <xsd:complexType>
        <xsd:sequence>
          <xsd:element ref="pc:Terms" minOccurs="0" maxOccurs="1"/>
        </xsd:sequence>
      </xsd:complexType>
    </xsd:element>
    <xsd:element name="mae7e2ab67634575ac873c82e00fa1a0" ma:index="19" ma:taxonomy="true" ma:internalName="mae7e2ab67634575ac873c82e00fa1a0" ma:taxonomyFieldName="AN_x002d_TopicArea" ma:displayName="Topic Area" ma:fieldId="{6ae7e2ab-6763-4575-ac87-3c82e00fa1a0}" ma:sspId="34817a06-5577-4462-8781-9851d056e4aa" ma:termSetId="b40e0041-f740-470c-9d94-0b547bccd21a" ma:anchorId="00000000-0000-0000-0000-000000000000" ma:open="false" ma:isKeyword="false">
      <xsd:complexType>
        <xsd:sequence>
          <xsd:element ref="pc:Terms" minOccurs="0" maxOccurs="1"/>
        </xsd:sequence>
      </xsd:complexType>
    </xsd:element>
    <xsd:element name="mda0baadc97c4db7badb76e25463554a" ma:index="21" ma:taxonomy="true" ma:internalName="mda0baadc97c4db7badb76e25463554a" ma:taxonomyFieldName="AN_x002d_CountryCode" ma:displayName="Country Code" ma:default="" ma:fieldId="{6da0baad-c97c-4db7-badb-76e25463554a}" ma:taxonomyMulti="true" ma:sspId="34817a06-5577-4462-8781-9851d056e4aa" ma:termSetId="7cb3b333-7ce8-493a-8c70-f93807ff97dd" ma:anchorId="00000000-0000-0000-0000-000000000000" ma:open="false" ma:isKeyword="false">
      <xsd:complexType>
        <xsd:sequence>
          <xsd:element ref="pc:Terms" minOccurs="0" maxOccurs="1"/>
        </xsd:sequence>
      </xsd:complexType>
    </xsd:element>
    <xsd:element name="ef1fcb5509b14f4497a7b17975627e9f" ma:index="23" ma:taxonomy="true" ma:internalName="ef1fcb5509b14f4497a7b17975627e9f" ma:taxonomyFieldName="AN_x002d_CountryName" ma:displayName="Country Name" ma:default="" ma:fieldId="{ef1fcb55-09b1-4f44-97a7-b17975627e9f}" ma:taxonomyMulti="true" ma:sspId="34817a06-5577-4462-8781-9851d056e4aa" ma:termSetId="82f4b838-eff4-4f3c-a1fd-2b4ec7e3b9d2" ma:anchorId="00000000-0000-0000-0000-000000000000" ma:open="false" ma:isKeyword="false">
      <xsd:complexType>
        <xsd:sequence>
          <xsd:element ref="pc:Terms" minOccurs="0" maxOccurs="1"/>
        </xsd:sequence>
      </xsd:complexType>
    </xsd:element>
    <xsd:element name="aa8db5530e2a45348bde7c5817e341ff" ma:index="25" ma:taxonomy="true" ma:internalName="aa8db5530e2a45348bde7c5817e341ff" ma:taxonomyFieldName="AN_x002d_SecurityClass" ma:displayName="Security Class" ma:fieldId="{aa8db553-0e2a-4534-8bde-7c5817e341ff}" ma:sspId="34817a06-5577-4462-8781-9851d056e4aa" ma:termSetId="aa54f70f-17d9-40ad-be86-41ba6aadaa28" ma:anchorId="00000000-0000-0000-0000-000000000000" ma:open="false" ma:isKeyword="false">
      <xsd:complexType>
        <xsd:sequence>
          <xsd:element ref="pc:Terms" minOccurs="0" maxOccurs="1"/>
        </xsd:sequence>
      </xsd:complexType>
    </xsd:element>
    <xsd:element name="a3d9eac3772e4880895b85fe254adfa9" ma:index="27" ma:taxonomy="true" ma:internalName="a3d9eac3772e4880895b85fe254adfa9" ma:taxonomyFieldName="AN_x002d_RegionCode" ma:displayName="Region Code" ma:fieldId="{a3d9eac3-772e-4880-895b-85fe254adfa9}" ma:sspId="34817a06-5577-4462-8781-9851d056e4aa" ma:termSetId="4b6f7656-1c15-4149-a07f-5ccc2445063c" ma:anchorId="00000000-0000-0000-0000-000000000000" ma:open="false" ma:isKeyword="false">
      <xsd:complexType>
        <xsd:sequence>
          <xsd:element ref="pc:Terms" minOccurs="0" maxOccurs="1"/>
        </xsd:sequence>
      </xsd:complexType>
    </xsd:element>
    <xsd:element name="j66dce8a783c450aa3780bca39aa40ce" ma:index="29" ma:taxonomy="true" ma:internalName="j66dce8a783c450aa3780bca39aa40ce" ma:taxonomyFieldName="AN_x002d_RegionName" ma:displayName="Region Name" ma:fieldId="{366dce8a-783c-450a-a378-0bca39aa40ce}" ma:sspId="34817a06-5577-4462-8781-9851d056e4aa" ma:termSetId="6ed19847-4020-4c57-904e-b70bd42e29c6" ma:anchorId="00000000-0000-0000-0000-000000000000" ma:open="false" ma:isKeyword="false">
      <xsd:complexType>
        <xsd:sequence>
          <xsd:element ref="pc:Terms" minOccurs="0" maxOccurs="1"/>
        </xsd:sequence>
      </xsd:complexType>
    </xsd:element>
    <xsd:element name="i7bf91362ff6412db9e6f8c4b81f26b3" ma:index="31" ma:taxonomy="true" ma:internalName="i7bf91362ff6412db9e6f8c4b81f26b3" ma:taxonomyFieldName="AN_x002d_ClusterCode" ma:displayName="Cluster Code" ma:fieldId="{27bf9136-2ff6-412d-b9e6-f8c4b81f26b3}" ma:sspId="34817a06-5577-4462-8781-9851d056e4aa" ma:termSetId="d5563a6b-3c50-42f9-a70e-dd40e3934e9f" ma:anchorId="00000000-0000-0000-0000-000000000000" ma:open="false" ma:isKeyword="false">
      <xsd:complexType>
        <xsd:sequence>
          <xsd:element ref="pc:Terms" minOccurs="0" maxOccurs="1"/>
        </xsd:sequence>
      </xsd:complexType>
    </xsd:element>
    <xsd:element name="labc0929767c4783b2d8fa740ca218b7" ma:index="33" ma:taxonomy="true" ma:internalName="labc0929767c4783b2d8fa740ca218b7" ma:taxonomyFieldName="AN_x002d_ClusterName" ma:displayName="Cluster Name" ma:fieldId="{5abc0929-767c-4783-b2d8-fa740ca218b7}" ma:sspId="34817a06-5577-4462-8781-9851d056e4aa" ma:termSetId="948d2c6f-5048-46cd-906c-1ac4b0e271e4" ma:anchorId="00000000-0000-0000-0000-000000000000" ma:open="false" ma:isKeyword="false">
      <xsd:complexType>
        <xsd:sequence>
          <xsd:element ref="pc:Terms" minOccurs="0" maxOccurs="1"/>
        </xsd:sequence>
      </xsd:complexType>
    </xsd:element>
    <xsd:element name="d20803f3fe4247919b9b759f5e362834" ma:index="35" ma:taxonomy="true" ma:internalName="d20803f3fe4247919b9b759f5e362834" ma:taxonomyFieldName="AN_x002d_SiteCode" ma:displayName="Site Code" ma:fieldId="{d20803f3-fe42-4791-9b9b-759f5e362834}" ma:sspId="34817a06-5577-4462-8781-9851d056e4aa" ma:termSetId="ba35cd31-86dc-4463-99fb-47af86809616" ma:anchorId="00000000-0000-0000-0000-000000000000" ma:open="false" ma:isKeyword="false">
      <xsd:complexType>
        <xsd:sequence>
          <xsd:element ref="pc:Terms" minOccurs="0" maxOccurs="1"/>
        </xsd:sequence>
      </xsd:complexType>
    </xsd:element>
    <xsd:element name="d32ae41130da493b86132e3a953071f9" ma:index="37" ma:taxonomy="true" ma:internalName="d32ae41130da493b86132e3a953071f9" ma:taxonomyFieldName="AN_x002d_SiteName" ma:displayName="Site Name" ma:fieldId="{d32ae411-30da-493b-8613-2e3a953071f9}" ma:sspId="34817a06-5577-4462-8781-9851d056e4aa" ma:termSetId="cd6c1a7e-5fc1-459f-98cf-50c16f72822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8E72-13D1-4657-A76B-07487D38EC12}">
  <ds:schemaRefs>
    <ds:schemaRef ds:uri="http://purl.org/dc/elements/1.1/"/>
    <ds:schemaRef ds:uri="http://schemas.microsoft.com/office/2006/metadata/properties"/>
    <ds:schemaRef ds:uri="http://schemas.microsoft.com/sharepoint/v3"/>
    <ds:schemaRef ds:uri="4fab6e6a-9d73-4e0c-873f-95a2af16e75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3.xml><?xml version="1.0" encoding="utf-8"?>
<ds:datastoreItem xmlns:ds="http://schemas.openxmlformats.org/officeDocument/2006/customXml" ds:itemID="{7E6A77A7-C0EE-434B-B96A-D613637B72BE}">
  <ds:schemaRefs>
    <ds:schemaRef ds:uri="Microsoft.SharePoint.Taxonomy.ContentTypeSync"/>
  </ds:schemaRefs>
</ds:datastoreItem>
</file>

<file path=customXml/itemProps4.xml><?xml version="1.0" encoding="utf-8"?>
<ds:datastoreItem xmlns:ds="http://schemas.openxmlformats.org/officeDocument/2006/customXml" ds:itemID="{C5082AA2-4A4E-4D5F-93B5-2A112343A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ab6e6a-9d73-4e0c-873f-95a2af16e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3EB6C5-1C39-4D38-8BD0-C6560564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9634</Characters>
  <Application>Microsoft Office Word</Application>
  <DocSecurity>4</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Ruempol, J.B. (Joost)</dc:creator>
  <cp:lastModifiedBy>Jenni, B. (Barbara)</cp:lastModifiedBy>
  <cp:revision>2</cp:revision>
  <cp:lastPrinted>2019-07-23T15:29:00Z</cp:lastPrinted>
  <dcterms:created xsi:type="dcterms:W3CDTF">2019-07-24T11:21:00Z</dcterms:created>
  <dcterms:modified xsi:type="dcterms:W3CDTF">2019-07-24T11:21:00Z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0x0101005C1BEE2454CD7640B6C1B8BA67C55225010098FA4B1F93650C458FE36D4F395F15CB</vt:lpwstr>
  </property>
  <property fmtid="{D5CDD505-2E9C-101B-9397-08002B2CF9AE}" pid="3" name="AN-ClusterCode">
    <vt:lpwstr>6;#CEUR|c2b0dd99-0ebb-4475-af32-8c000ce005d6</vt:lpwstr>
  </property>
  <property fmtid="{D5CDD505-2E9C-101B-9397-08002B2CF9AE}" pid="4" name="AN-CountryCode">
    <vt:lpwstr>21;#NL|9f4958bd-1869-478b-8336-595b3208e9ea</vt:lpwstr>
  </property>
  <property fmtid="{D5CDD505-2E9C-101B-9397-08002B2CF9AE}" pid="5" name="AN-ClusterName">
    <vt:lpwstr>7;#Central Europe|b1cfca3a-f357-40e6-98ad-6479002c6777</vt:lpwstr>
  </property>
  <property fmtid="{D5CDD505-2E9C-101B-9397-08002B2CF9AE}" pid="6" name="AN-BusinessAreaCode">
    <vt:lpwstr>17;#OC|f1b01b99-3585-40ee-98a3-9a7d88f753be</vt:lpwstr>
  </property>
  <property fmtid="{D5CDD505-2E9C-101B-9397-08002B2CF9AE}" pid="7" name="AN-Keywords">
    <vt:lpwstr/>
  </property>
  <property fmtid="{D5CDD505-2E9C-101B-9397-08002B2CF9AE}" pid="8" name="AN-BusinessUnitCode">
    <vt:lpwstr>55;#HQFF|2f1abbdf-68e3-4d73-90ff-cf81ab2b227d</vt:lpwstr>
  </property>
  <property fmtid="{D5CDD505-2E9C-101B-9397-08002B2CF9AE}" pid="9" name="AN-CountryName">
    <vt:lpwstr>22;#Netherlands|ed1c09d8-4a4e-45fe-97d5-146264f42403</vt:lpwstr>
  </property>
  <property fmtid="{D5CDD505-2E9C-101B-9397-08002B2CF9AE}" pid="10" name="AN-SecurityClass">
    <vt:lpwstr>45;#Restricted|bbd8224c-5f2c-46d6-b6c8-7d3985b69fd1</vt:lpwstr>
  </property>
  <property fmtid="{D5CDD505-2E9C-101B-9397-08002B2CF9AE}" pid="11" name="AN-BusinessAreaName">
    <vt:lpwstr>18;#Other|28e9acb3-fbbc-4d9d-bba8-2ba86c5016d2</vt:lpwstr>
  </property>
  <property fmtid="{D5CDD505-2E9C-101B-9397-08002B2CF9AE}" pid="12" name="AN-BusinessUnitName">
    <vt:lpwstr>56;#Finance Functions|34b3a9ef-b841-40cb-a7e3-182842d17a91</vt:lpwstr>
  </property>
  <property fmtid="{D5CDD505-2E9C-101B-9397-08002B2CF9AE}" pid="13" name="AN-SiteCode">
    <vt:lpwstr>31;#AMS|abe4f3ba-b26c-49b3-b5e8-d02ff727835c</vt:lpwstr>
  </property>
  <property fmtid="{D5CDD505-2E9C-101B-9397-08002B2CF9AE}" pid="14" name="AN-SiteName">
    <vt:lpwstr>28;#Amsterdam|7372b14a-68dc-431b-9ebc-dc4e8e27c37f</vt:lpwstr>
  </property>
  <property fmtid="{D5CDD505-2E9C-101B-9397-08002B2CF9AE}" pid="15" name="AN-TopicArea">
    <vt:lpwstr>146;#Financial|fd2b1d53-d00c-4c74-9b9e-3e9d58cb1af0</vt:lpwstr>
  </property>
  <property fmtid="{D5CDD505-2E9C-101B-9397-08002B2CF9AE}" pid="16" name="AN-RegionCode">
    <vt:lpwstr>8;#EURA|37519b14-9275-4619-a8f1-f7c9f2cc73a5</vt:lpwstr>
  </property>
  <property fmtid="{D5CDD505-2E9C-101B-9397-08002B2CF9AE}" pid="17" name="ad2168abc306415a91d71ea6c7fad86b">
    <vt:lpwstr/>
  </property>
  <property fmtid="{D5CDD505-2E9C-101B-9397-08002B2CF9AE}" pid="18" name="AN-RegionName">
    <vt:lpwstr>9;#Europe and Africa|58554c4e-5df7-4b89-af8c-c99a1ac8ea8d</vt:lpwstr>
  </property>
  <property fmtid="{D5CDD505-2E9C-101B-9397-08002B2CF9AE}" pid="19" name="_dlc_DocIdItemGuid">
    <vt:lpwstr>3299db6b-9f55-4fce-b7de-a20c29fb0ce4</vt:lpwstr>
  </property>
</Properties>
</file>