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7A2ED479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A8175C">
        <w:rPr>
          <w:noProof/>
          <w:color w:val="141414"/>
          <w:sz w:val="16"/>
          <w:szCs w:val="16"/>
          <w:lang w:val="sv-SE"/>
        </w:rPr>
        <w:t>3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2A0019">
        <w:rPr>
          <w:noProof/>
          <w:color w:val="141414"/>
          <w:sz w:val="16"/>
          <w:szCs w:val="16"/>
          <w:lang w:val="sv-SE"/>
        </w:rPr>
        <w:t>07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2A0019">
        <w:rPr>
          <w:noProof/>
          <w:color w:val="141414"/>
          <w:sz w:val="16"/>
          <w:szCs w:val="16"/>
          <w:lang w:val="sv-SE"/>
        </w:rPr>
        <w:t>2</w:t>
      </w:r>
      <w:r w:rsidR="00015A9F">
        <w:rPr>
          <w:noProof/>
          <w:color w:val="141414"/>
          <w:sz w:val="16"/>
          <w:szCs w:val="16"/>
          <w:lang w:val="sv-SE"/>
        </w:rPr>
        <w:t>0</w:t>
      </w:r>
    </w:p>
    <w:p w14:paraId="7DA85F6D" w14:textId="50FAD404" w:rsidR="00261A9E" w:rsidRPr="00F57ECE" w:rsidRDefault="00416CEE" w:rsidP="00261A9E">
      <w:pPr>
        <w:pStyle w:val="Rubrik1"/>
        <w:spacing w:before="320"/>
        <w:rPr>
          <w:sz w:val="32"/>
          <w:lang w:val="sv-SE"/>
        </w:rPr>
      </w:pPr>
      <w:proofErr w:type="spellStart"/>
      <w:r w:rsidRPr="00416CEE">
        <w:rPr>
          <w:sz w:val="32"/>
          <w:lang w:val="sv-SE"/>
        </w:rPr>
        <w:t>engcons</w:t>
      </w:r>
      <w:proofErr w:type="spellEnd"/>
      <w:r w:rsidRPr="00416CEE">
        <w:rPr>
          <w:sz w:val="32"/>
          <w:lang w:val="sv-SE"/>
        </w:rPr>
        <w:t xml:space="preserve"> delårsrapport för andra kvartalet 2023:</w:t>
      </w:r>
      <w:r w:rsidR="002A0019">
        <w:rPr>
          <w:sz w:val="32"/>
          <w:lang w:val="sv-SE"/>
        </w:rPr>
        <w:t xml:space="preserve"> </w:t>
      </w:r>
      <w:r w:rsidR="002A0019">
        <w:rPr>
          <w:sz w:val="32"/>
          <w:szCs w:val="24"/>
          <w:lang w:val="sv-SE"/>
        </w:rPr>
        <w:t>Bra lönsamhet och starkt kassaflöde</w:t>
      </w:r>
    </w:p>
    <w:p w14:paraId="0269A2DE" w14:textId="77777777" w:rsidR="001B05B0" w:rsidRDefault="001B05B0" w:rsidP="001B05B0">
      <w:pPr>
        <w:pStyle w:val="Rubrik2"/>
        <w:spacing w:before="0" w:line="276" w:lineRule="auto"/>
        <w:rPr>
          <w:lang w:val="sv-SE"/>
        </w:rPr>
      </w:pPr>
    </w:p>
    <w:p w14:paraId="755E6ABE" w14:textId="77777777" w:rsidR="008B6C28" w:rsidRDefault="001B05B0" w:rsidP="00200B14">
      <w:pPr>
        <w:pStyle w:val="Rubrik2"/>
        <w:spacing w:before="0" w:line="240" w:lineRule="auto"/>
        <w:rPr>
          <w:szCs w:val="28"/>
          <w:lang w:val="sv-SE"/>
        </w:rPr>
      </w:pPr>
      <w:r w:rsidRPr="001B05B0">
        <w:rPr>
          <w:szCs w:val="28"/>
          <w:lang w:val="sv-SE"/>
        </w:rPr>
        <w:t>Andra kvartalet 2023</w:t>
      </w:r>
    </w:p>
    <w:p w14:paraId="7B4CDF87" w14:textId="77777777" w:rsidR="008045BA" w:rsidRPr="00937404" w:rsidRDefault="008B6C28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 xml:space="preserve">Orderingången minskade med -34% till 341 (519) MSEK, den organiska ordertillväxten var -38%. </w:t>
      </w:r>
    </w:p>
    <w:p w14:paraId="11A12C6C" w14:textId="25925ED5" w:rsidR="008B6C28" w:rsidRPr="00937404" w:rsidRDefault="008B6C28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Nettoomsättningen minskade med -5% till 508 (534) MSEK, den organiska nettoomsättningstillväxten var -10%.</w:t>
      </w:r>
    </w:p>
    <w:p w14:paraId="0CEFF1A8" w14:textId="77777777" w:rsidR="008B6C28" w:rsidRPr="00937404" w:rsidRDefault="008B6C28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Rörelseresultatet ökade med 5% till 104 (99) MSEK och rörelsemarginalen var 20,5% (18,5%).</w:t>
      </w:r>
    </w:p>
    <w:p w14:paraId="7147D2ED" w14:textId="77777777" w:rsidR="008B6C28" w:rsidRPr="00937404" w:rsidRDefault="008B6C28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Kvartalets resultat ökade med 5% till 86 (82) MSEK.</w:t>
      </w:r>
    </w:p>
    <w:p w14:paraId="165EB045" w14:textId="71EEC1F8" w:rsidR="00272AA0" w:rsidRDefault="008B6C28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Resultat per aktie, före och efter utspädning, uppgick till 0,55 (0,47) SEK.</w:t>
      </w:r>
    </w:p>
    <w:p w14:paraId="23DF5E9F" w14:textId="77777777" w:rsidR="00A468C6" w:rsidRPr="00A468C6" w:rsidRDefault="00A468C6" w:rsidP="00200B14">
      <w:pPr>
        <w:pStyle w:val="Punktlista"/>
        <w:numPr>
          <w:ilvl w:val="0"/>
          <w:numId w:val="0"/>
        </w:numPr>
        <w:spacing w:line="240" w:lineRule="auto"/>
        <w:ind w:left="340"/>
        <w:rPr>
          <w:sz w:val="24"/>
          <w:lang w:val="sv-SE"/>
        </w:rPr>
      </w:pPr>
    </w:p>
    <w:p w14:paraId="258AFBE2" w14:textId="7127C9B3" w:rsidR="00261A9E" w:rsidRPr="008B6C28" w:rsidRDefault="00515E36" w:rsidP="00200B14">
      <w:pPr>
        <w:pStyle w:val="Rubrik2"/>
        <w:spacing w:before="0" w:line="240" w:lineRule="auto"/>
        <w:rPr>
          <w:szCs w:val="28"/>
          <w:lang w:val="sv-SE"/>
        </w:rPr>
      </w:pPr>
      <w:r w:rsidRPr="00515E36">
        <w:rPr>
          <w:lang w:val="sv-SE"/>
        </w:rPr>
        <w:t>Januari - juni 2023</w:t>
      </w:r>
    </w:p>
    <w:p w14:paraId="4F0ADE46" w14:textId="77777777" w:rsidR="00937404" w:rsidRPr="00937404" w:rsidRDefault="00977581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Orderingången minskade med -32% till 749 (1 101) MSEK, den organiska ordertillväxten var -35%.</w:t>
      </w:r>
    </w:p>
    <w:p w14:paraId="5EDB2400" w14:textId="16C2AE28" w:rsidR="00AA0DC4" w:rsidRPr="00937404" w:rsidRDefault="00977581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Nettoomsättningen ökade med 22% till 1 199 (981) MSEK, den organiska nettoomsättningstillväxten var 17%.</w:t>
      </w:r>
    </w:p>
    <w:p w14:paraId="185CB46F" w14:textId="19A9B3D5" w:rsidR="00AA0DC4" w:rsidRPr="00937404" w:rsidRDefault="00977581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Rörelseresultatet ökade med 59% till 302 (190) MSEK, och rörelsemarginalen var 25,2% (19,4%).</w:t>
      </w:r>
    </w:p>
    <w:p w14:paraId="266F4C64" w14:textId="1E64A961" w:rsidR="00CC4EEF" w:rsidRPr="00937404" w:rsidRDefault="00977581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Periodens resultat ökade med 51% till 235 (156) MSEK.</w:t>
      </w:r>
    </w:p>
    <w:p w14:paraId="779BE6A2" w14:textId="5FEF0D85" w:rsidR="00951F4E" w:rsidRDefault="00977581" w:rsidP="00200B14">
      <w:pPr>
        <w:pStyle w:val="Punktlista"/>
        <w:spacing w:line="240" w:lineRule="auto"/>
        <w:rPr>
          <w:sz w:val="24"/>
          <w:lang w:val="sv-SE"/>
        </w:rPr>
      </w:pPr>
      <w:r w:rsidRPr="00937404">
        <w:rPr>
          <w:sz w:val="24"/>
          <w:lang w:val="sv-SE"/>
        </w:rPr>
        <w:t>Resultat per aktie, före och efter utspädning, uppgick till 1,48 (0,93) SEK.</w:t>
      </w:r>
    </w:p>
    <w:p w14:paraId="2C2F7AB6" w14:textId="77777777" w:rsidR="00951F4E" w:rsidRPr="00951F4E" w:rsidRDefault="00951F4E" w:rsidP="00200B14">
      <w:pPr>
        <w:pStyle w:val="Punktlista"/>
        <w:numPr>
          <w:ilvl w:val="0"/>
          <w:numId w:val="0"/>
        </w:numPr>
        <w:spacing w:line="240" w:lineRule="auto"/>
        <w:rPr>
          <w:sz w:val="24"/>
          <w:lang w:val="sv-SE"/>
        </w:rPr>
      </w:pPr>
    </w:p>
    <w:p w14:paraId="32E7FB35" w14:textId="6D39DE02" w:rsidR="00F604DC" w:rsidRPr="00F604DC" w:rsidRDefault="007E0575" w:rsidP="00200B14">
      <w:pPr>
        <w:spacing w:after="0" w:line="240" w:lineRule="auto"/>
        <w:rPr>
          <w:b/>
          <w:bCs/>
          <w:sz w:val="28"/>
          <w:szCs w:val="28"/>
          <w:lang w:val="sv-SE"/>
        </w:rPr>
      </w:pPr>
      <w:r w:rsidRPr="007E0575">
        <w:rPr>
          <w:b/>
          <w:bCs/>
          <w:sz w:val="28"/>
          <w:szCs w:val="28"/>
          <w:lang w:val="sv-SE"/>
        </w:rPr>
        <w:t>VD Krister Blomgren kommenterar:</w:t>
      </w:r>
    </w:p>
    <w:p w14:paraId="792180EA" w14:textId="12EDE50B" w:rsidR="006138FE" w:rsidRPr="00F604DC" w:rsidRDefault="000233AD" w:rsidP="00200B14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lang w:val="sv-SE"/>
        </w:rPr>
        <w:t>–</w:t>
      </w:r>
      <w:r>
        <w:rPr>
          <w:sz w:val="24"/>
          <w:lang w:val="sv-SE"/>
        </w:rPr>
        <w:t xml:space="preserve"> </w:t>
      </w:r>
      <w:r w:rsidR="006138FE" w:rsidRPr="00F604DC">
        <w:rPr>
          <w:sz w:val="24"/>
          <w:szCs w:val="24"/>
          <w:lang w:val="sv-SE"/>
        </w:rPr>
        <w:t xml:space="preserve">Vi befinner oss i en fortsatt osäker makroekonomisk tid där höga räntor, inflation och allmän oro påverkar våra slutkunders investeringsvilja. Vi ser därmed en väntad minskning i orderingången, </w:t>
      </w:r>
      <w:r w:rsidR="002039F8" w:rsidRPr="00F604DC">
        <w:rPr>
          <w:sz w:val="24"/>
          <w:szCs w:val="24"/>
          <w:lang w:val="sv-SE"/>
        </w:rPr>
        <w:t>framför allt</w:t>
      </w:r>
      <w:r w:rsidR="006138FE" w:rsidRPr="00F604DC">
        <w:rPr>
          <w:sz w:val="24"/>
          <w:szCs w:val="24"/>
          <w:lang w:val="sv-SE"/>
        </w:rPr>
        <w:t xml:space="preserve"> i Norden och Europa, men också på övriga marknader. Den höga penetrationsgraden i Norden gör oss än mer beroende av utvecklingen inom bygg- och anläggningsindustrin samt grävmaskinsförsäljningen. Återförsäljare i Norden och Europa har dessutom byggt upp lager tidigare kvartal vilket ytterligare påverkar orderingång och omsättning. Positivt är att vissa delar av den europeiska marknaden visar tydliga tecken på återhämtning.</w:t>
      </w:r>
    </w:p>
    <w:p w14:paraId="27BBC506" w14:textId="4B789B41" w:rsidR="00041BCF" w:rsidRPr="00951F4E" w:rsidRDefault="000233AD" w:rsidP="00200B14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lang w:val="sv-SE"/>
        </w:rPr>
        <w:t>–</w:t>
      </w:r>
      <w:r>
        <w:rPr>
          <w:sz w:val="24"/>
          <w:lang w:val="sv-SE"/>
        </w:rPr>
        <w:t xml:space="preserve"> </w:t>
      </w:r>
      <w:r w:rsidR="006138FE" w:rsidRPr="00F604DC">
        <w:rPr>
          <w:sz w:val="24"/>
          <w:szCs w:val="24"/>
          <w:lang w:val="sv-SE"/>
        </w:rPr>
        <w:t xml:space="preserve">Vi fortsätter att investera långsiktigt med en </w:t>
      </w:r>
      <w:proofErr w:type="spellStart"/>
      <w:r w:rsidR="006138FE" w:rsidRPr="00F604DC">
        <w:rPr>
          <w:sz w:val="24"/>
          <w:szCs w:val="24"/>
          <w:lang w:val="sv-SE"/>
        </w:rPr>
        <w:t>logistikhub</w:t>
      </w:r>
      <w:proofErr w:type="spellEnd"/>
      <w:r w:rsidR="006138FE" w:rsidRPr="00F604DC">
        <w:rPr>
          <w:sz w:val="24"/>
          <w:szCs w:val="24"/>
          <w:lang w:val="sv-SE"/>
        </w:rPr>
        <w:t xml:space="preserve"> i USA samt utbyggnad av produktionsanläggningen i Polen samtidigt som vi har ökat fokus på kostnadskontroll i hela organisationen. Vårt fokus på slutkundens lönsamhet är extra relevant i dessa tider och i dialogen med våra kunder framhåller vi än tydligare våra produkters fördelar i form av kostnadsbesparingar och ökad lönsamhet. Vår globala närvaro, vår affärsmodell och vår starka finansiella ställning skapar goda förutsättningar för långsiktig och hållbar tillväxt. Med våra kompetenta och engagerade medarbetare </w:t>
      </w:r>
      <w:r w:rsidR="006138FE" w:rsidRPr="00F604DC">
        <w:rPr>
          <w:sz w:val="24"/>
          <w:szCs w:val="24"/>
          <w:lang w:val="sv-SE"/>
        </w:rPr>
        <w:lastRenderedPageBreak/>
        <w:t>fortsätter vi vårt arbete att möta slutkundernas behov och tillsammans förändra den grävande världen.</w:t>
      </w:r>
    </w:p>
    <w:p w14:paraId="04F91D60" w14:textId="56A58A69" w:rsidR="006B4469" w:rsidRPr="006B4469" w:rsidRDefault="006B4469" w:rsidP="00200B14">
      <w:pPr>
        <w:spacing w:after="0" w:line="240" w:lineRule="auto"/>
        <w:rPr>
          <w:b/>
          <w:bCs/>
          <w:sz w:val="28"/>
          <w:szCs w:val="28"/>
          <w:lang w:val="sv-SE"/>
        </w:rPr>
      </w:pPr>
      <w:r w:rsidRPr="006B4469">
        <w:rPr>
          <w:b/>
          <w:bCs/>
          <w:sz w:val="28"/>
          <w:szCs w:val="28"/>
          <w:lang w:val="sv-SE"/>
        </w:rPr>
        <w:t>Q2 presentation idag kl. 11.00</w:t>
      </w:r>
    </w:p>
    <w:p w14:paraId="708356DA" w14:textId="011EE8CE" w:rsidR="006B4469" w:rsidRPr="006B4469" w:rsidRDefault="006B4469" w:rsidP="00200B14">
      <w:pPr>
        <w:spacing w:line="240" w:lineRule="auto"/>
        <w:rPr>
          <w:rFonts w:cs="Arial"/>
          <w:sz w:val="24"/>
          <w:szCs w:val="24"/>
          <w:lang w:val="sv-SE"/>
        </w:rPr>
      </w:pPr>
      <w:r w:rsidRPr="006B4469">
        <w:rPr>
          <w:rFonts w:cs="Arial"/>
          <w:sz w:val="24"/>
          <w:szCs w:val="24"/>
          <w:lang w:val="sv-SE"/>
        </w:rPr>
        <w:t xml:space="preserve">Rapporten presenteras av Krister Blomgren, VD och Jens Blom, CFO idag kl. 11.00 genom en webbsänd telefonkonferens via denna länk: </w:t>
      </w:r>
      <w:hyperlink r:id="rId10" w:tgtFrame="_blank" w:history="1">
        <w:r w:rsidRPr="006B4469">
          <w:rPr>
            <w:rFonts w:cs="Arial"/>
            <w:sz w:val="24"/>
            <w:szCs w:val="24"/>
            <w:lang w:val="sv-SE"/>
          </w:rPr>
          <w:t>https://ir.financialhearings.com/engcon-q2-2023</w:t>
        </w:r>
      </w:hyperlink>
    </w:p>
    <w:p w14:paraId="79A7E81F" w14:textId="77777777" w:rsidR="006B4469" w:rsidRPr="006B4469" w:rsidRDefault="006B4469" w:rsidP="00200B14">
      <w:pPr>
        <w:spacing w:line="240" w:lineRule="auto"/>
        <w:rPr>
          <w:rFonts w:cs="Arial"/>
          <w:sz w:val="24"/>
          <w:szCs w:val="24"/>
          <w:lang w:val="sv-SE"/>
        </w:rPr>
      </w:pPr>
      <w:r w:rsidRPr="006B4469">
        <w:rPr>
          <w:rFonts w:cs="Arial"/>
          <w:sz w:val="24"/>
          <w:szCs w:val="24"/>
          <w:lang w:val="sv-SE"/>
        </w:rPr>
        <w:t>För att delta i telefonkonferensen, där möjlighet ges att ställa muntliga frågor, registrerar du dig via länken nedan. Efter registreringen får du telefonnummer och ett konferens-ID för att logga in.</w:t>
      </w:r>
    </w:p>
    <w:p w14:paraId="3980E213" w14:textId="00113B3D" w:rsidR="006B4469" w:rsidRPr="006B4469" w:rsidRDefault="000233AD" w:rsidP="00200B14">
      <w:pPr>
        <w:spacing w:line="240" w:lineRule="auto"/>
        <w:rPr>
          <w:rFonts w:cs="Arial"/>
          <w:sz w:val="24"/>
          <w:szCs w:val="24"/>
          <w:lang w:val="sv-SE"/>
        </w:rPr>
      </w:pPr>
      <w:hyperlink r:id="rId11" w:history="1">
        <w:r w:rsidR="006B4469" w:rsidRPr="006B4469">
          <w:rPr>
            <w:rFonts w:cs="Arial"/>
            <w:sz w:val="24"/>
            <w:szCs w:val="24"/>
            <w:lang w:val="sv-SE"/>
          </w:rPr>
          <w:t>https://conference.financialhearings.com/teleconference/?id=200865</w:t>
        </w:r>
      </w:hyperlink>
      <w:r w:rsidR="004231ED">
        <w:rPr>
          <w:rFonts w:cs="Arial"/>
          <w:sz w:val="24"/>
          <w:szCs w:val="24"/>
          <w:lang w:val="sv-SE"/>
        </w:rPr>
        <w:t xml:space="preserve"> </w:t>
      </w:r>
    </w:p>
    <w:p w14:paraId="749E0039" w14:textId="68C55AFE" w:rsidR="00A17003" w:rsidRPr="006B4469" w:rsidRDefault="006B4469" w:rsidP="00200B14">
      <w:pPr>
        <w:spacing w:line="240" w:lineRule="auto"/>
        <w:rPr>
          <w:rFonts w:cs="Arial"/>
          <w:sz w:val="24"/>
          <w:szCs w:val="24"/>
          <w:lang w:val="sv-SE"/>
        </w:rPr>
      </w:pPr>
      <w:r w:rsidRPr="006B4469">
        <w:rPr>
          <w:rFonts w:cs="Arial"/>
          <w:sz w:val="24"/>
          <w:szCs w:val="24"/>
          <w:lang w:val="sv-SE"/>
        </w:rPr>
        <w:t xml:space="preserve">Presentationsmaterialet och en inspelad version av konferensen kommer att finnas tillgängliga på </w:t>
      </w:r>
      <w:hyperlink r:id="rId12" w:history="1">
        <w:r w:rsidR="00A17003" w:rsidRPr="00AE0E40">
          <w:rPr>
            <w:rStyle w:val="Hyperlnk"/>
            <w:rFonts w:cs="Arial"/>
            <w:sz w:val="24"/>
            <w:szCs w:val="24"/>
            <w:lang w:val="sv-SE"/>
          </w:rPr>
          <w:t>www.engcongroup.com</w:t>
        </w:r>
      </w:hyperlink>
      <w:r w:rsidRPr="006B4469">
        <w:rPr>
          <w:rFonts w:cs="Arial"/>
          <w:sz w:val="24"/>
          <w:szCs w:val="24"/>
          <w:lang w:val="sv-SE"/>
        </w:rPr>
        <w:t>.</w:t>
      </w:r>
    </w:p>
    <w:p w14:paraId="6B9A1585" w14:textId="77777777" w:rsidR="00A468C6" w:rsidRDefault="00A468C6" w:rsidP="00D70B6E">
      <w:pPr>
        <w:rPr>
          <w:rFonts w:cs="Arial"/>
          <w:b/>
          <w:bCs/>
          <w:lang w:val="sv-SE"/>
        </w:rPr>
      </w:pPr>
    </w:p>
    <w:p w14:paraId="249B17E9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759A3486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5706E5DA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035762DE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0E318B4F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06D35FF1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07A8A289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4408F949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4CD4FB82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17089C75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45B3674E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1E4C466B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0D0BDE1C" w14:textId="77777777" w:rsidR="007F2056" w:rsidRDefault="007F2056" w:rsidP="00D70B6E">
      <w:pPr>
        <w:rPr>
          <w:rFonts w:cs="Arial"/>
          <w:b/>
          <w:bCs/>
          <w:lang w:val="sv-SE"/>
        </w:rPr>
      </w:pPr>
    </w:p>
    <w:p w14:paraId="497F0CBA" w14:textId="2086B9FE" w:rsidR="00A17003" w:rsidRPr="00A617A5" w:rsidRDefault="00D70B6E" w:rsidP="00D70B6E">
      <w:pPr>
        <w:rPr>
          <w:rFonts w:eastAsia="Arial" w:cs="Arial"/>
          <w:lang w:val="nl-NL" w:bidi="nl-NL"/>
        </w:rPr>
      </w:pPr>
      <w:r w:rsidRPr="00282DF5">
        <w:rPr>
          <w:rFonts w:cs="Arial"/>
          <w:b/>
          <w:bCs/>
          <w:lang w:val="sv-SE"/>
        </w:rPr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6B4469">
        <w:rPr>
          <w:rFonts w:cs="Arial"/>
          <w:lang w:val="sv-SE"/>
        </w:rPr>
        <w:t>Krister Blomgren</w:t>
      </w:r>
      <w:r w:rsidR="00C2709F" w:rsidRPr="00126E5F">
        <w:rPr>
          <w:rFonts w:eastAsia="Arial" w:cs="Arial"/>
          <w:lang w:val="nl-NL" w:bidi="nl-NL"/>
        </w:rPr>
        <w:t xml:space="preserve">, </w:t>
      </w:r>
      <w:proofErr w:type="spellStart"/>
      <w:r w:rsidR="00D75CCE">
        <w:rPr>
          <w:rFonts w:eastAsia="Arial" w:cs="Arial"/>
          <w:lang w:val="nl-NL" w:bidi="nl-NL"/>
        </w:rPr>
        <w:t>CEO</w:t>
      </w:r>
      <w:proofErr w:type="spellEnd"/>
      <w:r w:rsidR="00C2709F" w:rsidRPr="00126E5F">
        <w:rPr>
          <w:rFonts w:eastAsia="Arial" w:cs="Arial"/>
          <w:lang w:val="nl-NL" w:bidi="nl-NL"/>
        </w:rPr>
        <w:t xml:space="preserve"> | </w:t>
      </w:r>
      <w:proofErr w:type="spellStart"/>
      <w:r w:rsidR="00235B4C">
        <w:rPr>
          <w:rFonts w:cs="Arial"/>
          <w:lang w:val="nl-NL"/>
        </w:rPr>
        <w:t>krister</w:t>
      </w:r>
      <w:proofErr w:type="spellEnd"/>
      <w:r w:rsidR="00C2709F" w:rsidRPr="00235B4C">
        <w:rPr>
          <w:rFonts w:cs="Arial"/>
          <w:lang w:val="sv-SE"/>
        </w:rPr>
        <w:t>.</w:t>
      </w:r>
      <w:r w:rsidR="00235B4C">
        <w:rPr>
          <w:rFonts w:cs="Arial"/>
          <w:lang w:val="sv-SE"/>
        </w:rPr>
        <w:t>blomgren</w:t>
      </w:r>
      <w:r w:rsidR="00C2709F" w:rsidRPr="00235B4C">
        <w:rPr>
          <w:rFonts w:cs="Arial"/>
          <w:lang w:val="sv-SE"/>
        </w:rPr>
        <w:t>@engcon.se</w:t>
      </w:r>
      <w:r w:rsidR="00C2709F" w:rsidRPr="00C2709F">
        <w:rPr>
          <w:rFonts w:cs="Arial"/>
          <w:lang w:val="sv-SE"/>
        </w:rPr>
        <w:t xml:space="preserve"> </w:t>
      </w:r>
      <w:r w:rsidR="00C2709F" w:rsidRPr="00126E5F">
        <w:rPr>
          <w:rFonts w:eastAsia="Arial" w:cs="Arial"/>
          <w:lang w:val="nl-NL" w:bidi="nl-NL"/>
        </w:rPr>
        <w:t>| +46 [0]</w:t>
      </w:r>
      <w:r w:rsidR="00EE1F8F" w:rsidRPr="00EE1F8F">
        <w:rPr>
          <w:rFonts w:eastAsia="Arial" w:cs="Arial"/>
          <w:lang w:val="nl-NL" w:bidi="nl-NL"/>
        </w:rPr>
        <w:t>70 529 92 65</w:t>
      </w:r>
      <w:r w:rsidR="00A617A5">
        <w:rPr>
          <w:rFonts w:eastAsia="Arial" w:cs="Arial"/>
          <w:lang w:val="nl-NL" w:bidi="nl-NL"/>
        </w:rPr>
        <w:br/>
        <w:t>Jens</w:t>
      </w:r>
      <w:r w:rsidR="00247872">
        <w:rPr>
          <w:rFonts w:eastAsia="Arial" w:cs="Arial"/>
          <w:lang w:val="nl-NL" w:bidi="nl-NL"/>
        </w:rPr>
        <w:t xml:space="preserve"> Blom, </w:t>
      </w:r>
      <w:proofErr w:type="spellStart"/>
      <w:r w:rsidR="00247872">
        <w:rPr>
          <w:rFonts w:eastAsia="Arial" w:cs="Arial"/>
          <w:lang w:val="nl-NL" w:bidi="nl-NL"/>
        </w:rPr>
        <w:t>CFO</w:t>
      </w:r>
      <w:proofErr w:type="spellEnd"/>
      <w:r w:rsidR="00247872">
        <w:rPr>
          <w:rFonts w:eastAsia="Arial" w:cs="Arial"/>
          <w:lang w:val="nl-NL" w:bidi="nl-NL"/>
        </w:rPr>
        <w:t xml:space="preserve"> </w:t>
      </w:r>
      <w:r w:rsidR="00247872" w:rsidRPr="00126E5F">
        <w:rPr>
          <w:rFonts w:eastAsia="Arial" w:cs="Arial"/>
          <w:lang w:val="nl-NL" w:bidi="nl-NL"/>
        </w:rPr>
        <w:t xml:space="preserve">| </w:t>
      </w:r>
      <w:r w:rsidR="00247872">
        <w:rPr>
          <w:rFonts w:cs="Arial"/>
          <w:lang w:val="nl-NL"/>
        </w:rPr>
        <w:t>jens</w:t>
      </w:r>
      <w:r w:rsidR="00247872" w:rsidRPr="00235B4C">
        <w:rPr>
          <w:rFonts w:cs="Arial"/>
          <w:lang w:val="sv-SE"/>
        </w:rPr>
        <w:t>.</w:t>
      </w:r>
      <w:r w:rsidR="00247872">
        <w:rPr>
          <w:rFonts w:cs="Arial"/>
          <w:lang w:val="sv-SE"/>
        </w:rPr>
        <w:t>blom</w:t>
      </w:r>
      <w:r w:rsidR="00247872" w:rsidRPr="00235B4C">
        <w:rPr>
          <w:rFonts w:cs="Arial"/>
          <w:lang w:val="sv-SE"/>
        </w:rPr>
        <w:t>@engcon.se</w:t>
      </w:r>
      <w:r w:rsidR="00247872" w:rsidRPr="00C2709F">
        <w:rPr>
          <w:rFonts w:cs="Arial"/>
          <w:lang w:val="sv-SE"/>
        </w:rPr>
        <w:t xml:space="preserve"> </w:t>
      </w:r>
      <w:r w:rsidR="00247872" w:rsidRPr="00126E5F">
        <w:rPr>
          <w:rFonts w:eastAsia="Arial" w:cs="Arial"/>
          <w:lang w:val="nl-NL" w:bidi="nl-NL"/>
        </w:rPr>
        <w:t>| +46 [0]</w:t>
      </w:r>
      <w:r w:rsidR="00247872" w:rsidRPr="00EE1F8F">
        <w:rPr>
          <w:rFonts w:eastAsia="Arial" w:cs="Arial"/>
          <w:lang w:val="nl-NL" w:bidi="nl-NL"/>
        </w:rPr>
        <w:t>7</w:t>
      </w:r>
      <w:r w:rsidR="00D37A27">
        <w:rPr>
          <w:rFonts w:eastAsia="Arial" w:cs="Arial"/>
          <w:lang w:val="nl-NL" w:bidi="nl-NL"/>
        </w:rPr>
        <w:t>6</w:t>
      </w:r>
      <w:r w:rsidR="00247872" w:rsidRPr="00EE1F8F">
        <w:rPr>
          <w:rFonts w:eastAsia="Arial" w:cs="Arial"/>
          <w:lang w:val="nl-NL" w:bidi="nl-NL"/>
        </w:rPr>
        <w:t xml:space="preserve"> </w:t>
      </w:r>
      <w:r w:rsidR="00A17003" w:rsidRPr="00A17003">
        <w:rPr>
          <w:rFonts w:eastAsia="Arial" w:cs="Arial"/>
          <w:lang w:val="nl-NL" w:bidi="nl-NL"/>
        </w:rPr>
        <w:t>147 45 77</w:t>
      </w:r>
    </w:p>
    <w:p w14:paraId="4809972E" w14:textId="77777777" w:rsidR="00CF7CA8" w:rsidRPr="00CF7CA8" w:rsidRDefault="00CF7CA8" w:rsidP="00CF7CA8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  <w:proofErr w:type="spellStart"/>
      <w:r w:rsidRPr="00CF7CA8">
        <w:rPr>
          <w:rFonts w:ascii="Arial Nova Light" w:eastAsia="Times New Roman" w:hAnsi="Arial Nova Light"/>
          <w:b/>
          <w:bCs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är den ledande globala leverantören av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tiltrotatorer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drygt 400 medarbetare framgång för sina kunder.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2022.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B-aktie är noterad på Nasdaq Stockholm. </w:t>
      </w:r>
    </w:p>
    <w:p w14:paraId="32F993EE" w14:textId="77777777" w:rsidR="00CF7CA8" w:rsidRPr="00CF7CA8" w:rsidRDefault="00CF7CA8" w:rsidP="00CF7CA8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</w:p>
    <w:p w14:paraId="4DDE47F8" w14:textId="3F7937E3" w:rsidR="003A3661" w:rsidRPr="00D70B6E" w:rsidRDefault="00CF7CA8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För mer information, besök www.engcongroup.com</w:t>
      </w:r>
    </w:p>
    <w:sectPr w:rsidR="003A3661" w:rsidRPr="00D70B6E" w:rsidSect="009B6B8A">
      <w:headerReference w:type="default" r:id="rId13"/>
      <w:footerReference w:type="default" r:id="rId14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1B41" w14:textId="77777777" w:rsidR="00B64BF5" w:rsidRDefault="00B64BF5">
      <w:r>
        <w:separator/>
      </w:r>
    </w:p>
  </w:endnote>
  <w:endnote w:type="continuationSeparator" w:id="0">
    <w:p w14:paraId="52EBA208" w14:textId="77777777" w:rsidR="00B64BF5" w:rsidRDefault="00B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7460" w14:textId="77777777" w:rsidR="00B64BF5" w:rsidRDefault="00B64BF5">
      <w:r>
        <w:separator/>
      </w:r>
    </w:p>
  </w:footnote>
  <w:footnote w:type="continuationSeparator" w:id="0">
    <w:p w14:paraId="30B6B15A" w14:textId="77777777" w:rsidR="00B64BF5" w:rsidRDefault="00B6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F9012D"/>
    <w:multiLevelType w:val="hybridMultilevel"/>
    <w:tmpl w:val="958EE8E4"/>
    <w:lvl w:ilvl="0" w:tplc="2A06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16321"/>
    <w:multiLevelType w:val="hybridMultilevel"/>
    <w:tmpl w:val="6E529E8C"/>
    <w:lvl w:ilvl="0" w:tplc="2A06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C25A4"/>
    <w:multiLevelType w:val="hybridMultilevel"/>
    <w:tmpl w:val="943C3CB8"/>
    <w:lvl w:ilvl="0" w:tplc="2A06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5C44"/>
    <w:multiLevelType w:val="hybridMultilevel"/>
    <w:tmpl w:val="B79424D4"/>
    <w:lvl w:ilvl="0" w:tplc="2A06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3"/>
  </w:num>
  <w:num w:numId="13" w16cid:durableId="587426862">
    <w:abstractNumId w:val="17"/>
  </w:num>
  <w:num w:numId="14" w16cid:durableId="216429759">
    <w:abstractNumId w:val="14"/>
  </w:num>
  <w:num w:numId="15" w16cid:durableId="354699648">
    <w:abstractNumId w:val="11"/>
  </w:num>
  <w:num w:numId="16" w16cid:durableId="2032879886">
    <w:abstractNumId w:val="15"/>
  </w:num>
  <w:num w:numId="17" w16cid:durableId="65107157">
    <w:abstractNumId w:val="16"/>
  </w:num>
  <w:num w:numId="18" w16cid:durableId="1678534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15A9F"/>
    <w:rsid w:val="000233AD"/>
    <w:rsid w:val="00024A49"/>
    <w:rsid w:val="00024E6B"/>
    <w:rsid w:val="0002593A"/>
    <w:rsid w:val="00037629"/>
    <w:rsid w:val="00037F18"/>
    <w:rsid w:val="00041BCF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1B05B0"/>
    <w:rsid w:val="00200B14"/>
    <w:rsid w:val="002039F8"/>
    <w:rsid w:val="002070B6"/>
    <w:rsid w:val="00235B4C"/>
    <w:rsid w:val="00247872"/>
    <w:rsid w:val="00261A9E"/>
    <w:rsid w:val="002706DE"/>
    <w:rsid w:val="00272AA0"/>
    <w:rsid w:val="00282DF5"/>
    <w:rsid w:val="00295CB5"/>
    <w:rsid w:val="002A0019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94042"/>
    <w:rsid w:val="003A3661"/>
    <w:rsid w:val="003C5CFD"/>
    <w:rsid w:val="003D2430"/>
    <w:rsid w:val="00401C2F"/>
    <w:rsid w:val="00411E65"/>
    <w:rsid w:val="00416CEE"/>
    <w:rsid w:val="004224FA"/>
    <w:rsid w:val="004231ED"/>
    <w:rsid w:val="004300AA"/>
    <w:rsid w:val="00441C8F"/>
    <w:rsid w:val="004625C4"/>
    <w:rsid w:val="00475BD7"/>
    <w:rsid w:val="0048560F"/>
    <w:rsid w:val="004916AD"/>
    <w:rsid w:val="00515E36"/>
    <w:rsid w:val="00543A0B"/>
    <w:rsid w:val="00546193"/>
    <w:rsid w:val="00552E3A"/>
    <w:rsid w:val="0056307E"/>
    <w:rsid w:val="00593A39"/>
    <w:rsid w:val="00596123"/>
    <w:rsid w:val="005C1715"/>
    <w:rsid w:val="005D76CA"/>
    <w:rsid w:val="005F36CC"/>
    <w:rsid w:val="006138FE"/>
    <w:rsid w:val="00615FEE"/>
    <w:rsid w:val="00632957"/>
    <w:rsid w:val="006453C6"/>
    <w:rsid w:val="006949F4"/>
    <w:rsid w:val="006B4469"/>
    <w:rsid w:val="006D05F9"/>
    <w:rsid w:val="00710639"/>
    <w:rsid w:val="00756557"/>
    <w:rsid w:val="007822C1"/>
    <w:rsid w:val="00785E33"/>
    <w:rsid w:val="007E0575"/>
    <w:rsid w:val="007F2056"/>
    <w:rsid w:val="008045BA"/>
    <w:rsid w:val="00810FCD"/>
    <w:rsid w:val="0081748B"/>
    <w:rsid w:val="00851910"/>
    <w:rsid w:val="00864815"/>
    <w:rsid w:val="00866F43"/>
    <w:rsid w:val="008A3A88"/>
    <w:rsid w:val="008B6C28"/>
    <w:rsid w:val="008F457F"/>
    <w:rsid w:val="00937404"/>
    <w:rsid w:val="00951F4E"/>
    <w:rsid w:val="009564C9"/>
    <w:rsid w:val="00977581"/>
    <w:rsid w:val="009808A1"/>
    <w:rsid w:val="009B0489"/>
    <w:rsid w:val="009B6B8A"/>
    <w:rsid w:val="009C1D64"/>
    <w:rsid w:val="009E1BC5"/>
    <w:rsid w:val="009E3C94"/>
    <w:rsid w:val="009F0965"/>
    <w:rsid w:val="00A17003"/>
    <w:rsid w:val="00A468C6"/>
    <w:rsid w:val="00A617A5"/>
    <w:rsid w:val="00A63C43"/>
    <w:rsid w:val="00A8175C"/>
    <w:rsid w:val="00A8364C"/>
    <w:rsid w:val="00A9015D"/>
    <w:rsid w:val="00AA0DC4"/>
    <w:rsid w:val="00B00027"/>
    <w:rsid w:val="00B110C9"/>
    <w:rsid w:val="00B1346B"/>
    <w:rsid w:val="00B3495B"/>
    <w:rsid w:val="00B43D67"/>
    <w:rsid w:val="00B473F8"/>
    <w:rsid w:val="00B64BF5"/>
    <w:rsid w:val="00B86240"/>
    <w:rsid w:val="00B91588"/>
    <w:rsid w:val="00B9472C"/>
    <w:rsid w:val="00B96164"/>
    <w:rsid w:val="00BA41A1"/>
    <w:rsid w:val="00BC3374"/>
    <w:rsid w:val="00BD4323"/>
    <w:rsid w:val="00BD609A"/>
    <w:rsid w:val="00BF63AD"/>
    <w:rsid w:val="00C11A16"/>
    <w:rsid w:val="00C142D1"/>
    <w:rsid w:val="00C2066F"/>
    <w:rsid w:val="00C2709F"/>
    <w:rsid w:val="00C529ED"/>
    <w:rsid w:val="00C7170B"/>
    <w:rsid w:val="00C71986"/>
    <w:rsid w:val="00C86DA7"/>
    <w:rsid w:val="00C90356"/>
    <w:rsid w:val="00C965F8"/>
    <w:rsid w:val="00CC4EEF"/>
    <w:rsid w:val="00CE0F0C"/>
    <w:rsid w:val="00CE7CE5"/>
    <w:rsid w:val="00CF7CA8"/>
    <w:rsid w:val="00D066F6"/>
    <w:rsid w:val="00D1219D"/>
    <w:rsid w:val="00D24C1D"/>
    <w:rsid w:val="00D27FEB"/>
    <w:rsid w:val="00D37A27"/>
    <w:rsid w:val="00D70B6E"/>
    <w:rsid w:val="00D75CCE"/>
    <w:rsid w:val="00DA1F90"/>
    <w:rsid w:val="00DC38F1"/>
    <w:rsid w:val="00DE2AA9"/>
    <w:rsid w:val="00DF4B58"/>
    <w:rsid w:val="00E04B11"/>
    <w:rsid w:val="00E075AE"/>
    <w:rsid w:val="00E16CE1"/>
    <w:rsid w:val="00E24E0E"/>
    <w:rsid w:val="00E56621"/>
    <w:rsid w:val="00E6333C"/>
    <w:rsid w:val="00E83C1E"/>
    <w:rsid w:val="00E85A9E"/>
    <w:rsid w:val="00E86ABC"/>
    <w:rsid w:val="00EC1A22"/>
    <w:rsid w:val="00EE1F8F"/>
    <w:rsid w:val="00F32AC5"/>
    <w:rsid w:val="00F53DC1"/>
    <w:rsid w:val="00F54B00"/>
    <w:rsid w:val="00F57ECE"/>
    <w:rsid w:val="00F604DC"/>
    <w:rsid w:val="00F62AEB"/>
    <w:rsid w:val="00F7122C"/>
    <w:rsid w:val="00F72254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ference.financialhearings.com/teleconference/?id=20086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r.financialhearings.com/engcon-q2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3E982EE2-B1E5-4E74-97E1-C7DCF1DB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32</TotalTime>
  <Pages>2</Pages>
  <Words>626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3937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49</cp:revision>
  <dcterms:created xsi:type="dcterms:W3CDTF">2022-10-06T13:08:00Z</dcterms:created>
  <dcterms:modified xsi:type="dcterms:W3CDTF">2023-07-24T09:58:00Z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