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A" w:rsidRPr="0022346A" w:rsidRDefault="0022346A">
      <w:pPr>
        <w:rPr>
          <w:sz w:val="48"/>
          <w:szCs w:val="48"/>
          <w:lang w:val="sv-FI"/>
        </w:rPr>
      </w:pPr>
      <w:r w:rsidRPr="0022346A">
        <w:rPr>
          <w:sz w:val="48"/>
          <w:szCs w:val="48"/>
          <w:lang w:val="sv-FI"/>
        </w:rPr>
        <w:t>Aftonbladet slår nya rekord före sommaren</w:t>
      </w:r>
    </w:p>
    <w:p w:rsidR="007C0567" w:rsidRPr="008C3F30" w:rsidRDefault="008C3F30">
      <w:pPr>
        <w:rPr>
          <w:b/>
          <w:lang w:val="sv-FI"/>
        </w:rPr>
      </w:pPr>
      <w:r w:rsidRPr="008C3F30">
        <w:rPr>
          <w:b/>
          <w:lang w:val="sv-FI"/>
        </w:rPr>
        <w:t>Nu kan man slå vad om kvällstidningarnas besökssiffror. Enligt oddsen från spelbolaget Paf slår Aftonbladet dubbla rekord före sommaren.</w:t>
      </w:r>
    </w:p>
    <w:p w:rsidR="007C0567" w:rsidRDefault="007C0567">
      <w:pPr>
        <w:rPr>
          <w:lang w:val="sv-FI"/>
        </w:rPr>
      </w:pPr>
      <w:r>
        <w:rPr>
          <w:lang w:val="sv-FI"/>
        </w:rPr>
        <w:t xml:space="preserve">De digitala medierna ökar kraftigt och Aftonbladet </w:t>
      </w:r>
      <w:r w:rsidR="008F1464">
        <w:rPr>
          <w:lang w:val="sv-FI"/>
        </w:rPr>
        <w:t>nådde</w:t>
      </w:r>
      <w:r>
        <w:rPr>
          <w:lang w:val="sv-FI"/>
        </w:rPr>
        <w:t xml:space="preserve"> förra veckan sin högsta besökssiffra någonsin.</w:t>
      </w:r>
      <w:r w:rsidR="008F1464">
        <w:rPr>
          <w:lang w:val="sv-FI"/>
        </w:rPr>
        <w:t xml:space="preserve"> Nästan 5,8 miljoner unika webbläsare besökte webbplatsen som helhet och </w:t>
      </w:r>
      <w:r w:rsidR="0022346A">
        <w:rPr>
          <w:lang w:val="sv-FI"/>
        </w:rPr>
        <w:t>nästan 1,9 miljoner besökte Nöjesbladet.</w:t>
      </w:r>
    </w:p>
    <w:p w:rsidR="0022346A" w:rsidRDefault="0022346A">
      <w:pPr>
        <w:rPr>
          <w:lang w:val="sv-FI"/>
        </w:rPr>
      </w:pPr>
      <w:r>
        <w:rPr>
          <w:lang w:val="sv-FI"/>
        </w:rPr>
        <w:t xml:space="preserve">Enligt oddsen hos det åländska spelbolaget Paf kommer </w:t>
      </w:r>
      <w:r w:rsidR="00BC713A">
        <w:rPr>
          <w:lang w:val="sv-FI"/>
        </w:rPr>
        <w:t xml:space="preserve">de anställda på </w:t>
      </w:r>
      <w:r>
        <w:rPr>
          <w:lang w:val="sv-FI"/>
        </w:rPr>
        <w:t xml:space="preserve">Aftonbladet att få </w:t>
      </w:r>
      <w:r w:rsidR="00BC713A">
        <w:rPr>
          <w:lang w:val="sv-FI"/>
        </w:rPr>
        <w:t>äta tårta</w:t>
      </w:r>
      <w:r>
        <w:rPr>
          <w:lang w:val="sv-FI"/>
        </w:rPr>
        <w:t xml:space="preserve"> fler gånger under vintern och våren.</w:t>
      </w:r>
    </w:p>
    <w:p w:rsidR="0022346A" w:rsidRPr="0022346A" w:rsidRDefault="0022346A" w:rsidP="0022346A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 xml:space="preserve">Allt tyder på att </w:t>
      </w:r>
      <w:r w:rsidR="008C3F30">
        <w:rPr>
          <w:lang w:val="sv-FI"/>
        </w:rPr>
        <w:t xml:space="preserve">aftonbladet.se </w:t>
      </w:r>
      <w:r>
        <w:rPr>
          <w:lang w:val="sv-FI"/>
        </w:rPr>
        <w:t>kr</w:t>
      </w:r>
      <w:r w:rsidR="008C3F30">
        <w:rPr>
          <w:lang w:val="sv-FI"/>
        </w:rPr>
        <w:t>ånglar sig över sexmiljonersstre</w:t>
      </w:r>
      <w:r>
        <w:rPr>
          <w:lang w:val="sv-FI"/>
        </w:rPr>
        <w:t>cket inom en snar framtid, säger oddssättaren Anders Sims.</w:t>
      </w:r>
    </w:p>
    <w:p w:rsidR="007C0567" w:rsidRDefault="0022346A">
      <w:pPr>
        <w:rPr>
          <w:lang w:val="sv-FI"/>
        </w:rPr>
      </w:pPr>
      <w:r>
        <w:rPr>
          <w:lang w:val="sv-FI"/>
        </w:rPr>
        <w:br/>
      </w:r>
      <w:r w:rsidR="008C3F30" w:rsidRPr="008C3F30">
        <w:rPr>
          <w:b/>
          <w:lang w:val="sv-FI"/>
        </w:rPr>
        <w:t>Trögt för Expressen</w:t>
      </w:r>
      <w:r>
        <w:rPr>
          <w:lang w:val="sv-FI"/>
        </w:rPr>
        <w:br/>
      </w:r>
      <w:r w:rsidR="008F1464">
        <w:rPr>
          <w:lang w:val="sv-FI"/>
        </w:rPr>
        <w:t xml:space="preserve">För att få </w:t>
      </w:r>
      <w:r>
        <w:rPr>
          <w:lang w:val="sv-FI"/>
        </w:rPr>
        <w:t xml:space="preserve">dagliga </w:t>
      </w:r>
      <w:r w:rsidR="008F1464">
        <w:rPr>
          <w:lang w:val="sv-FI"/>
        </w:rPr>
        <w:t xml:space="preserve">nyhetsuppdateringar väljer en stor majoritet </w:t>
      </w:r>
      <w:r>
        <w:rPr>
          <w:lang w:val="sv-FI"/>
        </w:rPr>
        <w:t xml:space="preserve">internetanvändarna </w:t>
      </w:r>
      <w:r w:rsidR="008F1464">
        <w:rPr>
          <w:lang w:val="sv-FI"/>
        </w:rPr>
        <w:t>Afto</w:t>
      </w:r>
      <w:r>
        <w:rPr>
          <w:lang w:val="sv-FI"/>
        </w:rPr>
        <w:t>n</w:t>
      </w:r>
      <w:r w:rsidR="008F1464">
        <w:rPr>
          <w:lang w:val="sv-FI"/>
        </w:rPr>
        <w:t>bladet.</w:t>
      </w:r>
      <w:r w:rsidR="00BC713A">
        <w:rPr>
          <w:lang w:val="sv-FI"/>
        </w:rPr>
        <w:t xml:space="preserve"> Det talar för att ä</w:t>
      </w:r>
      <w:r w:rsidR="008C3F30">
        <w:rPr>
          <w:lang w:val="sv-FI"/>
        </w:rPr>
        <w:t>ven Nöjesbladet någon vecka före</w:t>
      </w:r>
      <w:r w:rsidR="00BC713A">
        <w:rPr>
          <w:lang w:val="sv-FI"/>
        </w:rPr>
        <w:t xml:space="preserve"> sommaren får fler än två miljoner besökare. Om man får tro Pafs odds går utvecklingen trögare för Expressen. I slutet av förra året satta nättidningen dock personligt rekord då man en vecka hade drygt 2,7 miljoner besök.</w:t>
      </w:r>
    </w:p>
    <w:p w:rsidR="007C0567" w:rsidRDefault="008F1464" w:rsidP="00BC713A">
      <w:pPr>
        <w:pStyle w:val="ListParagraph"/>
        <w:numPr>
          <w:ilvl w:val="0"/>
          <w:numId w:val="1"/>
        </w:numPr>
        <w:rPr>
          <w:lang w:val="sv-FI"/>
        </w:rPr>
      </w:pPr>
      <w:r w:rsidRPr="00BC713A">
        <w:rPr>
          <w:lang w:val="sv-FI"/>
        </w:rPr>
        <w:t xml:space="preserve">För </w:t>
      </w:r>
      <w:r w:rsidR="008C3F30">
        <w:rPr>
          <w:lang w:val="sv-FI"/>
        </w:rPr>
        <w:t xml:space="preserve">att </w:t>
      </w:r>
      <w:r w:rsidRPr="00BC713A">
        <w:rPr>
          <w:lang w:val="sv-FI"/>
        </w:rPr>
        <w:t xml:space="preserve">Expressen ska kunna </w:t>
      </w:r>
      <w:r w:rsidR="00BC713A">
        <w:rPr>
          <w:lang w:val="sv-FI"/>
        </w:rPr>
        <w:t>lyckas komma över tre miljoner unika besök</w:t>
      </w:r>
      <w:r w:rsidR="007C0567" w:rsidRPr="00BC713A">
        <w:rPr>
          <w:lang w:val="sv-FI"/>
        </w:rPr>
        <w:t xml:space="preserve"> </w:t>
      </w:r>
      <w:r w:rsidRPr="00BC713A">
        <w:rPr>
          <w:lang w:val="sv-FI"/>
        </w:rPr>
        <w:t>krävs</w:t>
      </w:r>
      <w:r w:rsidR="007C0567" w:rsidRPr="00BC713A">
        <w:rPr>
          <w:lang w:val="sv-FI"/>
        </w:rPr>
        <w:t xml:space="preserve"> en exceptionell </w:t>
      </w:r>
      <w:r w:rsidR="00BC713A">
        <w:rPr>
          <w:lang w:val="sv-FI"/>
        </w:rPr>
        <w:t>nyhetshändelse, säger Anders Sims</w:t>
      </w:r>
    </w:p>
    <w:p w:rsidR="00BC713A" w:rsidRPr="00BC713A" w:rsidRDefault="00BC713A" w:rsidP="00BC713A">
      <w:pPr>
        <w:spacing w:after="0" w:line="240" w:lineRule="auto"/>
        <w:rPr>
          <w:rFonts w:ascii="Calibri" w:eastAsia="Times New Roman" w:hAnsi="Calibri" w:cs="Calibri"/>
          <w:color w:val="000000"/>
          <w:lang w:val="sv-FI" w:eastAsia="fi-FI"/>
        </w:rPr>
      </w:pPr>
      <w:r>
        <w:rPr>
          <w:lang w:val="sv-FI"/>
        </w:rPr>
        <w:br/>
      </w:r>
      <w:r w:rsidRPr="00BC713A">
        <w:rPr>
          <w:rFonts w:ascii="Calibri" w:eastAsia="Times New Roman" w:hAnsi="Calibri" w:cs="Calibri"/>
          <w:color w:val="000000"/>
          <w:lang w:val="sv-FI" w:eastAsia="fi-FI"/>
        </w:rPr>
        <w:t>Vadet gäller veckorna före den som inleds den 23 maj 2011. Resultatet hämtas från KIA-index.</w:t>
      </w:r>
    </w:p>
    <w:p w:rsidR="00BC713A" w:rsidRDefault="00BC713A" w:rsidP="00BC713A">
      <w:pPr>
        <w:rPr>
          <w:lang w:val="sv-FI"/>
        </w:rPr>
      </w:pPr>
    </w:p>
    <w:p w:rsidR="00BC713A" w:rsidRDefault="00BC713A" w:rsidP="00BC713A">
      <w:pPr>
        <w:rPr>
          <w:lang w:val="sv-FI"/>
        </w:rPr>
      </w:pPr>
      <w:r>
        <w:rPr>
          <w:lang w:val="sv-FI"/>
        </w:rPr>
        <w:t xml:space="preserve">Här är oddsen på </w:t>
      </w:r>
      <w:hyperlink r:id="rId5" w:history="1">
        <w:r w:rsidRPr="000F1A46">
          <w:rPr>
            <w:rStyle w:val="Hyperlink"/>
            <w:lang w:val="sv-FI"/>
          </w:rPr>
          <w:t>www.paf.com</w:t>
        </w:r>
      </w:hyperlink>
      <w:r>
        <w:rPr>
          <w:lang w:val="sv-FI"/>
        </w:rPr>
        <w:t>:</w:t>
      </w:r>
    </w:p>
    <w:p w:rsidR="00CB768A" w:rsidRPr="00CB768A" w:rsidRDefault="00CB768A" w:rsidP="00CB768A">
      <w:pPr>
        <w:pStyle w:val="productproperty"/>
        <w:shd w:val="clear" w:color="auto" w:fill="FFFFFF"/>
        <w:rPr>
          <w:rFonts w:cs="Arial"/>
          <w:color w:val="000000"/>
          <w:sz w:val="24"/>
          <w:szCs w:val="24"/>
          <w:lang w:val="sv-FI"/>
        </w:rPr>
      </w:pPr>
      <w:r>
        <w:rPr>
          <w:rFonts w:cs="Arial"/>
          <w:color w:val="000000"/>
          <w:lang w:val="sv-FI"/>
        </w:rPr>
        <w:br/>
      </w:r>
      <w:r w:rsidRPr="00CB768A">
        <w:rPr>
          <w:rFonts w:cs="Arial"/>
          <w:color w:val="000000"/>
          <w:sz w:val="24"/>
          <w:szCs w:val="24"/>
          <w:lang w:val="sv-FI"/>
        </w:rPr>
        <w:t xml:space="preserve">Kommer Nöjesbladet på aftonbladet.se att få besök av fler än 2 miljoner unika webbläsare under någon vecka före sommaren?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CB768A" w:rsidRPr="00CB768A" w:rsidTr="00CB768A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CB768A" w:rsidRPr="00CB768A" w:rsidRDefault="00CB768A">
            <w:pPr>
              <w:pStyle w:val="NormalWeb"/>
              <w:jc w:val="center"/>
              <w:rPr>
                <w:sz w:val="24"/>
                <w:szCs w:val="24"/>
              </w:rPr>
            </w:pPr>
            <w:r w:rsidRPr="00CB768A">
              <w:rPr>
                <w:sz w:val="24"/>
                <w:szCs w:val="24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CB768A" w:rsidRPr="00CB768A" w:rsidRDefault="00CB768A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6" w:anchor="addChoice" w:history="1">
              <w:r w:rsidRPr="00CB768A">
                <w:rPr>
                  <w:rStyle w:val="Hyperlink"/>
                  <w:rFonts w:ascii="Verdana" w:hAnsi="Verdana"/>
                  <w:sz w:val="24"/>
                  <w:szCs w:val="24"/>
                  <w:bdr w:val="single" w:sz="6" w:space="0" w:color="DDDDDD" w:frame="1"/>
                  <w:shd w:val="clear" w:color="auto" w:fill="FFFFFF"/>
                </w:rPr>
                <w:t xml:space="preserve">1,60 </w:t>
              </w:r>
            </w:hyperlink>
          </w:p>
        </w:tc>
      </w:tr>
      <w:tr w:rsidR="00CB768A" w:rsidRPr="00CB768A" w:rsidTr="00CB768A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CB768A" w:rsidRPr="00CB768A" w:rsidRDefault="00CB768A">
            <w:pPr>
              <w:pStyle w:val="NormalWeb"/>
              <w:jc w:val="center"/>
              <w:rPr>
                <w:sz w:val="24"/>
                <w:szCs w:val="24"/>
              </w:rPr>
            </w:pPr>
            <w:r w:rsidRPr="00CB768A">
              <w:rPr>
                <w:sz w:val="24"/>
                <w:szCs w:val="24"/>
              </w:rPr>
              <w:t>Nej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CB768A" w:rsidRPr="00CB768A" w:rsidRDefault="00CB768A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7" w:anchor="addChoice" w:history="1">
              <w:r w:rsidRPr="00CB768A">
                <w:rPr>
                  <w:rStyle w:val="Hyperlink"/>
                  <w:rFonts w:ascii="Verdana" w:hAnsi="Verdana"/>
                  <w:sz w:val="24"/>
                  <w:szCs w:val="24"/>
                  <w:bdr w:val="single" w:sz="6" w:space="0" w:color="DDDDDD" w:frame="1"/>
                  <w:shd w:val="clear" w:color="auto" w:fill="FFFFFF"/>
                </w:rPr>
                <w:t xml:space="preserve">2,20 </w:t>
              </w:r>
            </w:hyperlink>
          </w:p>
        </w:tc>
      </w:tr>
    </w:tbl>
    <w:p w:rsidR="00CB768A" w:rsidRPr="00CB768A" w:rsidRDefault="00CB768A" w:rsidP="00CB768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CB768A">
        <w:rPr>
          <w:rFonts w:ascii="Arial" w:hAnsi="Arial" w:cs="Arial"/>
          <w:color w:val="000000"/>
          <w:sz w:val="24"/>
          <w:szCs w:val="24"/>
        </w:rPr>
        <w:t> </w:t>
      </w:r>
    </w:p>
    <w:p w:rsidR="00CB768A" w:rsidRPr="00CB768A" w:rsidRDefault="00CB768A" w:rsidP="00CB768A">
      <w:pPr>
        <w:pStyle w:val="productproperty"/>
        <w:shd w:val="clear" w:color="auto" w:fill="EEEEEE"/>
        <w:rPr>
          <w:rFonts w:cs="Arial"/>
          <w:color w:val="000000"/>
          <w:sz w:val="24"/>
          <w:szCs w:val="24"/>
          <w:lang w:val="sv-FI"/>
        </w:rPr>
      </w:pPr>
      <w:r w:rsidRPr="00CB768A">
        <w:rPr>
          <w:rFonts w:cs="Arial"/>
          <w:color w:val="000000"/>
          <w:sz w:val="24"/>
          <w:szCs w:val="24"/>
          <w:lang w:val="sv-FI"/>
        </w:rPr>
        <w:t xml:space="preserve">Kommer www.aftonbladet.se att få besök av fler än 6 miljoner unika webbläsare under någon vecka före sommaren?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CB768A" w:rsidRPr="00CB768A" w:rsidTr="00CB768A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CB768A" w:rsidRPr="00CB768A" w:rsidRDefault="00CB768A">
            <w:pPr>
              <w:pStyle w:val="NormalWeb"/>
              <w:jc w:val="center"/>
              <w:rPr>
                <w:sz w:val="24"/>
                <w:szCs w:val="24"/>
              </w:rPr>
            </w:pPr>
            <w:r w:rsidRPr="00CB768A">
              <w:rPr>
                <w:sz w:val="24"/>
                <w:szCs w:val="24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CB768A" w:rsidRPr="00CB768A" w:rsidRDefault="00CB768A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8" w:anchor="addChoice" w:history="1">
              <w:r w:rsidRPr="00CB768A">
                <w:rPr>
                  <w:rStyle w:val="Hyperlink"/>
                  <w:rFonts w:ascii="Verdana" w:hAnsi="Verdana"/>
                  <w:sz w:val="24"/>
                  <w:szCs w:val="24"/>
                  <w:bdr w:val="single" w:sz="6" w:space="0" w:color="DDDDDD" w:frame="1"/>
                  <w:shd w:val="clear" w:color="auto" w:fill="FFFFFF"/>
                </w:rPr>
                <w:t xml:space="preserve">1,60 </w:t>
              </w:r>
            </w:hyperlink>
          </w:p>
        </w:tc>
      </w:tr>
      <w:tr w:rsidR="00CB768A" w:rsidRPr="00CB768A" w:rsidTr="00CB768A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CB768A" w:rsidRPr="00CB768A" w:rsidRDefault="00CB768A">
            <w:pPr>
              <w:pStyle w:val="NormalWeb"/>
              <w:jc w:val="center"/>
              <w:rPr>
                <w:sz w:val="24"/>
                <w:szCs w:val="24"/>
              </w:rPr>
            </w:pPr>
            <w:r w:rsidRPr="00CB768A">
              <w:rPr>
                <w:sz w:val="24"/>
                <w:szCs w:val="24"/>
              </w:rPr>
              <w:t>Nej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CB768A" w:rsidRPr="00CB768A" w:rsidRDefault="00CB768A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9" w:anchor="addChoice" w:history="1">
              <w:r w:rsidRPr="00CB768A">
                <w:rPr>
                  <w:rStyle w:val="Hyperlink"/>
                  <w:rFonts w:ascii="Verdana" w:hAnsi="Verdana"/>
                  <w:sz w:val="24"/>
                  <w:szCs w:val="24"/>
                  <w:bdr w:val="single" w:sz="6" w:space="0" w:color="DDDDDD" w:frame="1"/>
                  <w:shd w:val="clear" w:color="auto" w:fill="FFFFFF"/>
                </w:rPr>
                <w:t xml:space="preserve">2,20 </w:t>
              </w:r>
            </w:hyperlink>
          </w:p>
        </w:tc>
      </w:tr>
    </w:tbl>
    <w:p w:rsidR="00CB768A" w:rsidRPr="00CB768A" w:rsidRDefault="00CB768A" w:rsidP="00CB768A">
      <w:pPr>
        <w:shd w:val="clear" w:color="auto" w:fill="EEEEEE"/>
        <w:rPr>
          <w:rFonts w:ascii="Arial" w:hAnsi="Arial" w:cs="Arial"/>
          <w:color w:val="000000"/>
          <w:sz w:val="24"/>
          <w:szCs w:val="24"/>
        </w:rPr>
      </w:pPr>
      <w:r w:rsidRPr="00CB768A">
        <w:rPr>
          <w:rFonts w:ascii="Arial" w:hAnsi="Arial" w:cs="Arial"/>
          <w:color w:val="000000"/>
          <w:sz w:val="24"/>
          <w:szCs w:val="24"/>
        </w:rPr>
        <w:t> </w:t>
      </w:r>
    </w:p>
    <w:p w:rsidR="00CB768A" w:rsidRPr="00CB768A" w:rsidRDefault="00CB768A" w:rsidP="00CB768A">
      <w:pPr>
        <w:pStyle w:val="productproperty"/>
        <w:shd w:val="clear" w:color="auto" w:fill="FFFFFF"/>
        <w:rPr>
          <w:rFonts w:cs="Arial"/>
          <w:color w:val="000000"/>
          <w:sz w:val="24"/>
          <w:szCs w:val="24"/>
          <w:lang w:val="sv-FI"/>
        </w:rPr>
      </w:pPr>
      <w:r w:rsidRPr="00CB768A">
        <w:rPr>
          <w:rFonts w:cs="Arial"/>
          <w:color w:val="000000"/>
          <w:sz w:val="24"/>
          <w:szCs w:val="24"/>
          <w:lang w:val="sv-FI"/>
        </w:rPr>
        <w:lastRenderedPageBreak/>
        <w:t xml:space="preserve">Kommer www.expressen.se att få besök av fler än 3 miljoner unika webbläsare under någon vecka före sommaren?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CB768A" w:rsidRPr="00CB768A" w:rsidTr="00CB768A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CB768A" w:rsidRPr="00CB768A" w:rsidRDefault="00CB768A">
            <w:pPr>
              <w:pStyle w:val="NormalWeb"/>
              <w:jc w:val="center"/>
              <w:rPr>
                <w:sz w:val="24"/>
                <w:szCs w:val="24"/>
              </w:rPr>
            </w:pPr>
            <w:r w:rsidRPr="00CB768A">
              <w:rPr>
                <w:sz w:val="24"/>
                <w:szCs w:val="24"/>
              </w:rPr>
              <w:t>Nej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CB768A" w:rsidRPr="00CB768A" w:rsidRDefault="00CB768A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10" w:anchor="addChoice" w:history="1">
              <w:r w:rsidRPr="00CB768A">
                <w:rPr>
                  <w:rStyle w:val="Hyperlink"/>
                  <w:rFonts w:ascii="Verdana" w:hAnsi="Verdana"/>
                  <w:sz w:val="24"/>
                  <w:szCs w:val="24"/>
                  <w:bdr w:val="single" w:sz="6" w:space="0" w:color="DDDDDD" w:frame="1"/>
                  <w:shd w:val="clear" w:color="auto" w:fill="FFFFFF"/>
                </w:rPr>
                <w:t xml:space="preserve">1,70 </w:t>
              </w:r>
            </w:hyperlink>
          </w:p>
        </w:tc>
      </w:tr>
      <w:tr w:rsidR="00CB768A" w:rsidRPr="00CB768A" w:rsidTr="00CB768A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CB768A" w:rsidRPr="00CB768A" w:rsidRDefault="00CB768A">
            <w:pPr>
              <w:pStyle w:val="NormalWeb"/>
              <w:jc w:val="center"/>
              <w:rPr>
                <w:sz w:val="24"/>
                <w:szCs w:val="24"/>
              </w:rPr>
            </w:pPr>
            <w:r w:rsidRPr="00CB768A">
              <w:rPr>
                <w:sz w:val="24"/>
                <w:szCs w:val="24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CB768A" w:rsidRPr="00CB768A" w:rsidRDefault="00CB768A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11" w:anchor="addChoice" w:history="1">
              <w:r w:rsidRPr="00CB768A">
                <w:rPr>
                  <w:rStyle w:val="Hyperlink"/>
                  <w:rFonts w:ascii="Verdana" w:hAnsi="Verdana"/>
                  <w:sz w:val="24"/>
                  <w:szCs w:val="24"/>
                  <w:bdr w:val="single" w:sz="6" w:space="0" w:color="DDDDDD" w:frame="1"/>
                  <w:shd w:val="clear" w:color="auto" w:fill="FFFFFF"/>
                </w:rPr>
                <w:t xml:space="preserve">2,00 </w:t>
              </w:r>
            </w:hyperlink>
          </w:p>
        </w:tc>
      </w:tr>
    </w:tbl>
    <w:p w:rsidR="00CB768A" w:rsidRPr="00EE74AD" w:rsidRDefault="00CB768A" w:rsidP="00CB768A">
      <w:pPr>
        <w:rPr>
          <w:b/>
          <w:sz w:val="28"/>
          <w:szCs w:val="28"/>
        </w:rPr>
      </w:pPr>
      <w:r w:rsidRPr="00B66B79">
        <w:rPr>
          <w:b/>
          <w:noProof/>
          <w:sz w:val="28"/>
          <w:szCs w:val="28"/>
          <w:lang w:val="sv-FI" w:eastAsia="sv-FI"/>
        </w:rPr>
        <w:pict>
          <v:roundrect id="_x0000_s1026" style="position:absolute;margin-left:-10.7pt;margin-top:7.25pt;width:312.55pt;height:96.55pt;z-index:251658240;mso-position-horizontal-relative:text;mso-position-vertical-relative:text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CB768A" w:rsidRPr="00FD0C2B" w:rsidRDefault="00CB768A" w:rsidP="00CB768A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CB768A" w:rsidRPr="00BC713A" w:rsidRDefault="00CB768A" w:rsidP="00BC713A">
      <w:pPr>
        <w:rPr>
          <w:lang w:val="sv-FI"/>
        </w:rPr>
      </w:pPr>
    </w:p>
    <w:sectPr w:rsidR="00CB768A" w:rsidRPr="00BC713A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F2B"/>
    <w:multiLevelType w:val="hybridMultilevel"/>
    <w:tmpl w:val="55B455C2"/>
    <w:lvl w:ilvl="0" w:tplc="16982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7C0567"/>
    <w:rsid w:val="00174351"/>
    <w:rsid w:val="0022346A"/>
    <w:rsid w:val="005760E5"/>
    <w:rsid w:val="00681C6E"/>
    <w:rsid w:val="007C0567"/>
    <w:rsid w:val="008C3F30"/>
    <w:rsid w:val="008F1464"/>
    <w:rsid w:val="00BC713A"/>
    <w:rsid w:val="00C31CEE"/>
    <w:rsid w:val="00CB768A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4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68A"/>
    <w:pPr>
      <w:spacing w:before="90" w:after="90" w:line="240" w:lineRule="auto"/>
    </w:pPr>
    <w:rPr>
      <w:rFonts w:ascii="Verdana" w:eastAsia="Times New Roman" w:hAnsi="Verdana" w:cs="Times New Roman"/>
      <w:sz w:val="17"/>
      <w:szCs w:val="17"/>
      <w:lang w:eastAsia="fi-FI"/>
    </w:rPr>
  </w:style>
  <w:style w:type="paragraph" w:customStyle="1" w:styleId="productproperty">
    <w:name w:val="product_property"/>
    <w:basedOn w:val="Normal"/>
    <w:rsid w:val="00CB768A"/>
    <w:pPr>
      <w:spacing w:after="30" w:line="150" w:lineRule="atLeast"/>
    </w:pPr>
    <w:rPr>
      <w:rFonts w:ascii="Verdana" w:eastAsia="Times New Roman" w:hAnsi="Verdana" w:cs="Times New Roman"/>
      <w:sz w:val="15"/>
      <w:szCs w:val="15"/>
      <w:lang w:eastAsia="fi-FI"/>
    </w:rPr>
  </w:style>
  <w:style w:type="paragraph" w:customStyle="1" w:styleId="clock">
    <w:name w:val="clock"/>
    <w:basedOn w:val="Normal"/>
    <w:rsid w:val="00CB768A"/>
    <w:pPr>
      <w:spacing w:before="90" w:after="90" w:line="240" w:lineRule="auto"/>
    </w:pPr>
    <w:rPr>
      <w:rFonts w:ascii="Verdana" w:eastAsia="Times New Roman" w:hAnsi="Verdana" w:cs="Times New Roman"/>
      <w:b/>
      <w:bCs/>
      <w:sz w:val="17"/>
      <w:szCs w:val="17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1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023628900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465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82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0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4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99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93858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33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74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8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84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5777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37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8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6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57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07821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f.com/bett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f.com/bett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f.com/betting/" TargetMode="External"/><Relationship Id="rId11" Type="http://schemas.openxmlformats.org/officeDocument/2006/relationships/hyperlink" Target="https://www.paf.com/betting/" TargetMode="External"/><Relationship Id="rId5" Type="http://schemas.openxmlformats.org/officeDocument/2006/relationships/hyperlink" Target="http://www.paf.com" TargetMode="External"/><Relationship Id="rId10" Type="http://schemas.openxmlformats.org/officeDocument/2006/relationships/hyperlink" Target="https://www.paf.com/bet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f.com/bet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dcterms:created xsi:type="dcterms:W3CDTF">2011-01-17T10:20:00Z</dcterms:created>
  <dcterms:modified xsi:type="dcterms:W3CDTF">2011-01-17T11:41:00Z</dcterms:modified>
</cp:coreProperties>
</file>