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003B" w:rsidRPr="00B3003B" w:rsidRDefault="00B3003B" w:rsidP="00B3003B">
      <w:pPr>
        <w:spacing w:after="0" w:line="288" w:lineRule="auto"/>
        <w:jc w:val="center"/>
        <w:outlineLvl w:val="0"/>
        <w:rPr>
          <w:rFonts w:ascii="Tahoma" w:eastAsia="Calibri" w:hAnsi="Tahoma" w:cs="Tahoma"/>
          <w:sz w:val="20"/>
          <w:szCs w:val="32"/>
          <w:u w:val="single"/>
          <w:lang w:val="en-GB" w:eastAsia="en-GB"/>
        </w:rPr>
      </w:pPr>
    </w:p>
    <w:p w:rsidR="00B3003B" w:rsidRPr="00B3003B" w:rsidRDefault="00B3003B" w:rsidP="00B3003B">
      <w:pPr>
        <w:autoSpaceDE w:val="0"/>
        <w:autoSpaceDN w:val="0"/>
        <w:adjustRightInd w:val="0"/>
        <w:spacing w:after="0" w:line="240" w:lineRule="auto"/>
        <w:rPr>
          <w:rFonts w:ascii="Tahoma" w:eastAsia="Calibri" w:hAnsi="Tahoma" w:cs="Tahoma"/>
          <w:color w:val="000000"/>
          <w:lang w:eastAsia="sv-SE"/>
        </w:rPr>
      </w:pPr>
    </w:p>
    <w:p w:rsidR="00B3003B" w:rsidRPr="00B3003B" w:rsidRDefault="00B3003B" w:rsidP="00B3003B">
      <w:pPr>
        <w:spacing w:after="0" w:line="288" w:lineRule="auto"/>
        <w:jc w:val="center"/>
        <w:rPr>
          <w:rFonts w:ascii="Tahoma" w:eastAsia="Calibri" w:hAnsi="Tahoma" w:cs="Tahoma"/>
          <w:u w:val="single"/>
          <w:lang w:val="en-GB" w:eastAsia="en-GB"/>
        </w:rPr>
      </w:pPr>
      <w:r w:rsidRPr="00B3003B">
        <w:rPr>
          <w:rFonts w:ascii="Tahoma" w:eastAsia="Calibri" w:hAnsi="Tahoma" w:cs="Tahoma"/>
          <w:u w:val="single"/>
          <w:lang w:val="en-GB" w:eastAsia="en-GB"/>
        </w:rPr>
        <w:t xml:space="preserve"> QUARTER ENDED DECEMBER 31, 2014/2015 FISCAL YEAR RESULTS</w:t>
      </w:r>
    </w:p>
    <w:p w:rsidR="00B3003B" w:rsidRPr="00B3003B" w:rsidRDefault="00B3003B" w:rsidP="00B3003B">
      <w:pPr>
        <w:spacing w:after="0" w:line="288" w:lineRule="auto"/>
        <w:jc w:val="center"/>
        <w:rPr>
          <w:rFonts w:ascii="Tahoma" w:eastAsia="Calibri" w:hAnsi="Tahoma" w:cs="Tahoma"/>
          <w:b/>
          <w:u w:val="single"/>
          <w:lang w:val="en-GB" w:eastAsia="en-GB"/>
        </w:rPr>
      </w:pPr>
    </w:p>
    <w:p w:rsidR="00B3003B" w:rsidRPr="00B3003B" w:rsidRDefault="00B3003B" w:rsidP="00B3003B">
      <w:pPr>
        <w:spacing w:after="0" w:line="288" w:lineRule="auto"/>
        <w:ind w:left="240"/>
        <w:jc w:val="center"/>
        <w:rPr>
          <w:rFonts w:ascii="Tahoma" w:eastAsia="Calibri" w:hAnsi="Tahoma" w:cs="Tahoma"/>
          <w:b/>
          <w:sz w:val="30"/>
          <w:szCs w:val="30"/>
          <w:lang w:val="en-GB" w:eastAsia="en-GB"/>
        </w:rPr>
      </w:pPr>
      <w:proofErr w:type="spellStart"/>
      <w:proofErr w:type="gramStart"/>
      <w:r w:rsidRPr="00B3003B">
        <w:rPr>
          <w:rFonts w:ascii="Tahoma" w:eastAsia="Calibri" w:hAnsi="Tahoma" w:cs="Times New Roman"/>
          <w:b/>
          <w:sz w:val="30"/>
          <w:lang w:val="en-GB" w:eastAsia="en-GB"/>
        </w:rPr>
        <w:t>eDreams</w:t>
      </w:r>
      <w:proofErr w:type="spellEnd"/>
      <w:proofErr w:type="gramEnd"/>
      <w:r w:rsidRPr="00B3003B">
        <w:rPr>
          <w:rFonts w:ascii="Tahoma" w:eastAsia="Calibri" w:hAnsi="Tahoma" w:cs="Times New Roman"/>
          <w:b/>
          <w:sz w:val="30"/>
          <w:lang w:val="en-GB" w:eastAsia="en-GB"/>
        </w:rPr>
        <w:t xml:space="preserve"> ODIGEO’s revenue margin grew by 2% to €317.4 million</w:t>
      </w:r>
    </w:p>
    <w:p w:rsidR="00B3003B" w:rsidRPr="00B3003B" w:rsidRDefault="00B3003B" w:rsidP="00B3003B">
      <w:pPr>
        <w:spacing w:after="0" w:line="288" w:lineRule="auto"/>
        <w:jc w:val="center"/>
        <w:rPr>
          <w:rFonts w:ascii="Tahoma" w:eastAsia="Calibri" w:hAnsi="Tahoma" w:cs="Tahoma"/>
          <w:b/>
          <w:lang w:val="en-GB" w:eastAsia="en-GB"/>
        </w:rPr>
      </w:pPr>
    </w:p>
    <w:p w:rsidR="00B3003B" w:rsidRPr="00B3003B" w:rsidRDefault="00B3003B" w:rsidP="00B3003B">
      <w:pPr>
        <w:numPr>
          <w:ilvl w:val="0"/>
          <w:numId w:val="1"/>
        </w:numPr>
        <w:spacing w:after="0" w:line="288" w:lineRule="auto"/>
        <w:jc w:val="both"/>
        <w:rPr>
          <w:rFonts w:ascii="Tahoma" w:eastAsia="Calibri" w:hAnsi="Tahoma" w:cs="Tahoma"/>
          <w:b/>
          <w:szCs w:val="32"/>
          <w:lang w:val="en-GB" w:eastAsia="en-GB"/>
        </w:rPr>
      </w:pPr>
      <w:r w:rsidRPr="00B3003B">
        <w:rPr>
          <w:rFonts w:ascii="Tahoma" w:eastAsia="Calibri" w:hAnsi="Tahoma" w:cs="Times New Roman"/>
          <w:b/>
          <w:lang w:val="en-GB" w:eastAsia="en-GB"/>
        </w:rPr>
        <w:t xml:space="preserve">The company is on track to meet annual target of €90 million in adjusted EBITDA </w:t>
      </w:r>
    </w:p>
    <w:p w:rsidR="00B3003B" w:rsidRPr="00B3003B" w:rsidRDefault="00B3003B" w:rsidP="00B3003B">
      <w:pPr>
        <w:spacing w:after="0" w:line="288" w:lineRule="auto"/>
        <w:ind w:left="720"/>
        <w:jc w:val="both"/>
        <w:rPr>
          <w:rFonts w:ascii="Tahoma" w:eastAsia="Calibri" w:hAnsi="Tahoma" w:cs="Tahoma"/>
          <w:b/>
          <w:szCs w:val="32"/>
          <w:lang w:val="en-GB" w:eastAsia="en-GB"/>
        </w:rPr>
      </w:pPr>
    </w:p>
    <w:p w:rsidR="00B3003B" w:rsidRPr="00B3003B" w:rsidRDefault="00B3003B" w:rsidP="00B3003B">
      <w:pPr>
        <w:numPr>
          <w:ilvl w:val="0"/>
          <w:numId w:val="1"/>
        </w:numPr>
        <w:spacing w:after="0" w:line="288" w:lineRule="auto"/>
        <w:jc w:val="both"/>
        <w:rPr>
          <w:rFonts w:ascii="Tahoma" w:eastAsia="Calibri" w:hAnsi="Tahoma" w:cs="Tahoma"/>
          <w:b/>
          <w:szCs w:val="32"/>
          <w:lang w:val="en-GB" w:eastAsia="en-GB"/>
        </w:rPr>
      </w:pPr>
      <w:r w:rsidRPr="00B3003B">
        <w:rPr>
          <w:rFonts w:ascii="Tahoma" w:eastAsia="Calibri" w:hAnsi="Tahoma" w:cs="Times New Roman"/>
          <w:b/>
          <w:lang w:val="en-GB" w:eastAsia="en-GB"/>
        </w:rPr>
        <w:t>Growth in expansion markets and in non-flights business saw 2% growth in revenue margin</w:t>
      </w:r>
    </w:p>
    <w:p w:rsidR="00B3003B" w:rsidRPr="00B3003B" w:rsidRDefault="00B3003B" w:rsidP="00B3003B">
      <w:pPr>
        <w:spacing w:after="0" w:line="288" w:lineRule="auto"/>
        <w:jc w:val="both"/>
        <w:rPr>
          <w:rFonts w:ascii="Tahoma" w:eastAsia="Calibri" w:hAnsi="Tahoma" w:cs="Tahoma"/>
          <w:b/>
          <w:szCs w:val="32"/>
          <w:lang w:val="en-GB" w:eastAsia="en-GB"/>
        </w:rPr>
      </w:pPr>
    </w:p>
    <w:p w:rsidR="00B3003B" w:rsidRPr="00B3003B" w:rsidRDefault="00B3003B" w:rsidP="00B3003B">
      <w:pPr>
        <w:numPr>
          <w:ilvl w:val="0"/>
          <w:numId w:val="1"/>
        </w:numPr>
        <w:spacing w:after="0" w:line="288" w:lineRule="auto"/>
        <w:jc w:val="both"/>
        <w:rPr>
          <w:rFonts w:ascii="Tahoma" w:eastAsia="Calibri" w:hAnsi="Tahoma" w:cs="Tahoma"/>
          <w:b/>
          <w:szCs w:val="32"/>
          <w:lang w:val="en-GB" w:eastAsia="en-GB"/>
        </w:rPr>
      </w:pPr>
      <w:r w:rsidRPr="00B3003B">
        <w:rPr>
          <w:rFonts w:ascii="Tahoma" w:eastAsia="Calibri" w:hAnsi="Tahoma" w:cs="Times New Roman"/>
          <w:b/>
          <w:lang w:val="en-GB" w:eastAsia="en-GB"/>
        </w:rPr>
        <w:t>Adjusted EBITDA was €65.1 million, in line with analyst consensus. Adjusted EBITDA margin was 20.5%</w:t>
      </w:r>
    </w:p>
    <w:p w:rsidR="00B3003B" w:rsidRPr="00B3003B" w:rsidRDefault="00B3003B" w:rsidP="00B3003B">
      <w:pPr>
        <w:spacing w:after="0" w:line="240" w:lineRule="auto"/>
        <w:ind w:left="708"/>
        <w:rPr>
          <w:rFonts w:ascii="Tahoma" w:eastAsia="Times New Roman" w:hAnsi="Tahoma" w:cs="Tahoma"/>
          <w:b/>
          <w:szCs w:val="32"/>
          <w:lang w:val="en-GB" w:eastAsia="en-GB"/>
        </w:rPr>
      </w:pPr>
    </w:p>
    <w:p w:rsidR="00B3003B" w:rsidRPr="00B3003B" w:rsidRDefault="00B3003B" w:rsidP="00B3003B">
      <w:pPr>
        <w:numPr>
          <w:ilvl w:val="0"/>
          <w:numId w:val="1"/>
        </w:numPr>
        <w:spacing w:after="0" w:line="288" w:lineRule="auto"/>
        <w:jc w:val="both"/>
        <w:rPr>
          <w:rFonts w:ascii="Tahoma" w:eastAsia="Calibri" w:hAnsi="Tahoma" w:cs="Tahoma"/>
          <w:b/>
          <w:szCs w:val="32"/>
          <w:lang w:val="en-GB" w:eastAsia="en-GB"/>
        </w:rPr>
      </w:pPr>
      <w:r w:rsidRPr="00B3003B">
        <w:rPr>
          <w:rFonts w:ascii="Tahoma" w:eastAsia="Calibri" w:hAnsi="Tahoma" w:cs="Times New Roman"/>
          <w:b/>
          <w:lang w:val="en-GB" w:eastAsia="en-GB"/>
        </w:rPr>
        <w:t>Adjusted net income at close of the third quarter was €10 million</w:t>
      </w:r>
    </w:p>
    <w:p w:rsidR="00B3003B" w:rsidRPr="00B3003B" w:rsidRDefault="00B3003B" w:rsidP="00B3003B">
      <w:pPr>
        <w:spacing w:after="0" w:line="240" w:lineRule="auto"/>
        <w:ind w:left="708"/>
        <w:rPr>
          <w:rFonts w:ascii="Tahoma" w:eastAsia="Times New Roman" w:hAnsi="Tahoma" w:cs="Tahoma"/>
          <w:b/>
          <w:szCs w:val="32"/>
          <w:lang w:val="en-GB" w:eastAsia="en-GB"/>
        </w:rPr>
      </w:pPr>
    </w:p>
    <w:p w:rsidR="00B3003B" w:rsidRPr="00B3003B" w:rsidRDefault="00B3003B" w:rsidP="00B3003B">
      <w:pPr>
        <w:numPr>
          <w:ilvl w:val="0"/>
          <w:numId w:val="1"/>
        </w:numPr>
        <w:spacing w:after="0" w:line="288" w:lineRule="auto"/>
        <w:jc w:val="both"/>
        <w:rPr>
          <w:rFonts w:ascii="Tahoma" w:eastAsia="Calibri" w:hAnsi="Tahoma" w:cs="Tahoma"/>
          <w:b/>
          <w:color w:val="7030A0"/>
          <w:szCs w:val="32"/>
          <w:lang w:val="en-GB" w:eastAsia="en-GB"/>
        </w:rPr>
      </w:pPr>
      <w:r w:rsidRPr="00B3003B">
        <w:rPr>
          <w:rFonts w:ascii="Tahoma" w:eastAsia="Calibri" w:hAnsi="Tahoma" w:cs="Times New Roman"/>
          <w:b/>
          <w:lang w:val="en-GB" w:eastAsia="en-GB"/>
        </w:rPr>
        <w:t>Cash at the end of the third quarter was €65 million</w:t>
      </w:r>
    </w:p>
    <w:p w:rsidR="00B3003B" w:rsidRPr="00B3003B" w:rsidRDefault="00B3003B" w:rsidP="00B3003B">
      <w:pPr>
        <w:spacing w:after="0" w:line="288" w:lineRule="auto"/>
        <w:jc w:val="both"/>
        <w:rPr>
          <w:rFonts w:ascii="Tahoma" w:eastAsia="Calibri" w:hAnsi="Tahoma" w:cs="Tahoma"/>
          <w:b/>
          <w:szCs w:val="32"/>
          <w:lang w:val="en-GB" w:eastAsia="en-GB"/>
        </w:rPr>
      </w:pPr>
    </w:p>
    <w:p w:rsidR="00B3003B" w:rsidRPr="00B3003B" w:rsidRDefault="00B3003B" w:rsidP="00B3003B">
      <w:pPr>
        <w:numPr>
          <w:ilvl w:val="0"/>
          <w:numId w:val="1"/>
        </w:numPr>
        <w:spacing w:after="0" w:line="288" w:lineRule="auto"/>
        <w:jc w:val="both"/>
        <w:rPr>
          <w:rFonts w:ascii="Tahoma" w:eastAsia="Calibri" w:hAnsi="Tahoma" w:cs="Tahoma"/>
          <w:b/>
          <w:szCs w:val="32"/>
          <w:lang w:val="en-GB" w:eastAsia="en-GB"/>
        </w:rPr>
      </w:pPr>
      <w:r w:rsidRPr="00B3003B">
        <w:rPr>
          <w:rFonts w:ascii="Tahoma" w:eastAsia="Calibri" w:hAnsi="Tahoma" w:cs="Times New Roman"/>
          <w:b/>
          <w:lang w:val="en-GB" w:eastAsia="en-GB"/>
        </w:rPr>
        <w:t>Net debt decreased by 6% to €405 million</w:t>
      </w:r>
      <w:r w:rsidRPr="00B3003B" w:rsidDel="0059624F">
        <w:rPr>
          <w:rFonts w:ascii="Tahoma" w:eastAsia="Calibri" w:hAnsi="Tahoma" w:cs="Times New Roman"/>
          <w:b/>
          <w:lang w:val="en-GB" w:eastAsia="en-GB"/>
        </w:rPr>
        <w:t xml:space="preserve"> </w:t>
      </w:r>
      <w:r w:rsidRPr="00B3003B">
        <w:rPr>
          <w:rFonts w:ascii="Tahoma" w:eastAsia="Calibri" w:hAnsi="Tahoma" w:cs="Times New Roman"/>
          <w:b/>
          <w:lang w:val="en-GB" w:eastAsia="en-GB"/>
        </w:rPr>
        <w:t xml:space="preserve">compared to the same period last year, </w:t>
      </w:r>
      <w:bookmarkStart w:id="0" w:name="_GoBack"/>
    </w:p>
    <w:p w:rsidR="00B3003B" w:rsidRPr="00B3003B" w:rsidRDefault="00B3003B" w:rsidP="00B3003B">
      <w:pPr>
        <w:spacing w:after="0" w:line="288" w:lineRule="auto"/>
        <w:jc w:val="both"/>
        <w:rPr>
          <w:rFonts w:ascii="Tahoma" w:eastAsia="Calibri" w:hAnsi="Tahoma" w:cs="Tahoma"/>
          <w:b/>
          <w:szCs w:val="32"/>
          <w:lang w:val="en-GB" w:eastAsia="en-GB"/>
        </w:rPr>
      </w:pPr>
    </w:p>
    <w:bookmarkEnd w:id="0"/>
    <w:p w:rsidR="00B3003B" w:rsidRPr="00B3003B" w:rsidRDefault="00B3003B" w:rsidP="00B3003B">
      <w:pPr>
        <w:spacing w:after="0"/>
        <w:ind w:left="360"/>
        <w:jc w:val="both"/>
        <w:rPr>
          <w:rFonts w:ascii="Tahoma" w:eastAsia="Times New Roman" w:hAnsi="Tahoma" w:cs="Tahoma"/>
          <w:color w:val="000000"/>
          <w:sz w:val="20"/>
          <w:szCs w:val="20"/>
          <w:lang w:val="en-GB" w:eastAsia="en-GB"/>
        </w:rPr>
      </w:pPr>
      <w:r w:rsidRPr="00B3003B">
        <w:rPr>
          <w:rFonts w:ascii="Tahoma" w:eastAsia="Times New Roman" w:hAnsi="Tahoma" w:cs="Times New Roman"/>
          <w:b/>
          <w:color w:val="000000"/>
          <w:sz w:val="20"/>
          <w:szCs w:val="24"/>
          <w:lang w:val="en-GB" w:eastAsia="en-GB"/>
        </w:rPr>
        <w:t>Barcelona, 26 February 2015 -</w:t>
      </w:r>
      <w:r w:rsidRPr="00B3003B">
        <w:rPr>
          <w:rFonts w:ascii="Tahoma" w:eastAsia="Times New Roman" w:hAnsi="Tahoma" w:cs="Times New Roman"/>
          <w:color w:val="000000"/>
          <w:sz w:val="20"/>
          <w:szCs w:val="24"/>
          <w:lang w:val="en-GB" w:eastAsia="en-GB"/>
        </w:rPr>
        <w:t xml:space="preserve"> </w:t>
      </w:r>
      <w:proofErr w:type="spellStart"/>
      <w:r w:rsidRPr="00B3003B">
        <w:rPr>
          <w:rFonts w:ascii="Tahoma" w:eastAsia="Times New Roman" w:hAnsi="Tahoma" w:cs="Times New Roman"/>
          <w:color w:val="000000"/>
          <w:sz w:val="20"/>
          <w:szCs w:val="24"/>
          <w:lang w:val="en-GB" w:eastAsia="en-GB"/>
        </w:rPr>
        <w:t>eDreams</w:t>
      </w:r>
      <w:proofErr w:type="spellEnd"/>
      <w:r w:rsidRPr="00B3003B">
        <w:rPr>
          <w:rFonts w:ascii="Tahoma" w:eastAsia="Times New Roman" w:hAnsi="Tahoma" w:cs="Times New Roman"/>
          <w:color w:val="000000"/>
          <w:sz w:val="20"/>
          <w:szCs w:val="24"/>
          <w:lang w:val="en-GB" w:eastAsia="en-GB"/>
        </w:rPr>
        <w:t xml:space="preserve"> ODIGEO (</w:t>
      </w:r>
      <w:hyperlink r:id="rId8" w:history="1">
        <w:r w:rsidRPr="00B3003B">
          <w:rPr>
            <w:rFonts w:ascii="Tahoma" w:eastAsia="Times New Roman" w:hAnsi="Tahoma" w:cs="Times New Roman"/>
            <w:color w:val="0000FF"/>
            <w:sz w:val="20"/>
            <w:szCs w:val="24"/>
            <w:u w:val="single"/>
            <w:lang w:val="en-GB" w:eastAsia="en-GB"/>
          </w:rPr>
          <w:t>www.</w:t>
        </w:r>
        <w:bookmarkStart w:id="1" w:name="_Hlt390776299"/>
        <w:bookmarkStart w:id="2" w:name="_Hlt390776300"/>
        <w:r w:rsidRPr="00B3003B">
          <w:rPr>
            <w:rFonts w:ascii="Tahoma" w:eastAsia="Times New Roman" w:hAnsi="Tahoma" w:cs="Times New Roman"/>
            <w:color w:val="0000FF"/>
            <w:sz w:val="20"/>
            <w:szCs w:val="24"/>
            <w:u w:val="single"/>
            <w:lang w:val="en-GB" w:eastAsia="en-GB"/>
          </w:rPr>
          <w:t>edreamso</w:t>
        </w:r>
        <w:bookmarkEnd w:id="1"/>
        <w:bookmarkEnd w:id="2"/>
        <w:r w:rsidRPr="00B3003B">
          <w:rPr>
            <w:rFonts w:ascii="Tahoma" w:eastAsia="Times New Roman" w:hAnsi="Tahoma" w:cs="Times New Roman"/>
            <w:color w:val="0000FF"/>
            <w:sz w:val="20"/>
            <w:szCs w:val="24"/>
            <w:u w:val="single"/>
            <w:lang w:val="en-GB" w:eastAsia="en-GB"/>
          </w:rPr>
          <w:t>digeo.com</w:t>
        </w:r>
      </w:hyperlink>
      <w:r w:rsidRPr="00B3003B">
        <w:rPr>
          <w:rFonts w:ascii="Tahoma" w:eastAsia="Times New Roman" w:hAnsi="Tahoma" w:cs="Times New Roman"/>
          <w:color w:val="000000"/>
          <w:sz w:val="20"/>
          <w:szCs w:val="24"/>
          <w:lang w:val="en-GB" w:eastAsia="en-GB"/>
        </w:rPr>
        <w:t>) closed its third quarter with a 2% increase in revenue margin compared to last year, amounting to €317.4 million</w:t>
      </w:r>
      <w:r w:rsidRPr="00B3003B">
        <w:rPr>
          <w:rFonts w:ascii="Tahoma" w:eastAsia="Times New Roman" w:hAnsi="Tahoma" w:cs="Times New Roman"/>
          <w:sz w:val="20"/>
          <w:szCs w:val="24"/>
          <w:lang w:val="en-GB" w:eastAsia="en-GB"/>
        </w:rPr>
        <w:t>. This growth was due to the improvement in revenue margin per booking, both in flights and non-flights, which grew by 4%. Adjusted EBITDA in the quarter is in line with the company</w:t>
      </w:r>
      <w:r w:rsidRPr="00B3003B">
        <w:rPr>
          <w:rFonts w:ascii="Tahoma" w:eastAsia="Times New Roman" w:hAnsi="Tahoma" w:cs="Tahoma"/>
          <w:sz w:val="20"/>
          <w:szCs w:val="24"/>
          <w:cs/>
          <w:lang w:val="en-GB" w:eastAsia="en-GB"/>
        </w:rPr>
        <w:t>’</w:t>
      </w:r>
      <w:r w:rsidRPr="00B3003B">
        <w:rPr>
          <w:rFonts w:ascii="Tahoma" w:eastAsia="Times New Roman" w:hAnsi="Tahoma" w:cs="Times New Roman"/>
          <w:sz w:val="20"/>
          <w:szCs w:val="24"/>
          <w:lang w:val="en-GB" w:eastAsia="en-GB"/>
        </w:rPr>
        <w:t xml:space="preserve">s forecast of €90 million for the full year. </w:t>
      </w:r>
    </w:p>
    <w:p w:rsidR="00B3003B" w:rsidRPr="00B3003B" w:rsidRDefault="00B3003B" w:rsidP="00B3003B">
      <w:pPr>
        <w:spacing w:after="0"/>
        <w:rPr>
          <w:rFonts w:ascii="Tahoma" w:eastAsia="Times New Roman" w:hAnsi="Tahoma" w:cs="Tahoma"/>
          <w:sz w:val="20"/>
          <w:szCs w:val="20"/>
          <w:lang w:val="en-GB" w:eastAsia="en-GB"/>
        </w:rPr>
      </w:pPr>
    </w:p>
    <w:p w:rsidR="00B3003B" w:rsidRPr="00B3003B" w:rsidRDefault="00B3003B" w:rsidP="00B3003B">
      <w:pPr>
        <w:spacing w:after="0"/>
        <w:ind w:left="360"/>
        <w:jc w:val="center"/>
        <w:rPr>
          <w:rFonts w:ascii="Tahoma" w:eastAsia="Times New Roman" w:hAnsi="Tahoma" w:cs="Tahoma"/>
          <w:sz w:val="20"/>
          <w:szCs w:val="20"/>
          <w:lang w:val="en-GB" w:eastAsia="en-GB"/>
        </w:rPr>
      </w:pPr>
    </w:p>
    <w:p w:rsidR="00B3003B" w:rsidRPr="00B3003B" w:rsidRDefault="00B3003B" w:rsidP="00B3003B">
      <w:pPr>
        <w:spacing w:after="0"/>
        <w:ind w:left="360"/>
        <w:jc w:val="center"/>
        <w:rPr>
          <w:rFonts w:ascii="Tahoma" w:eastAsia="Times New Roman" w:hAnsi="Tahoma" w:cs="Tahoma"/>
          <w:sz w:val="20"/>
          <w:szCs w:val="20"/>
          <w:lang w:val="en-GB" w:eastAsia="en-GB"/>
        </w:rPr>
      </w:pPr>
      <w:r>
        <w:rPr>
          <w:rFonts w:ascii="Times New Roman" w:eastAsia="Times New Roman" w:hAnsi="Times New Roman" w:cs="Times New Roman"/>
          <w:noProof/>
          <w:sz w:val="24"/>
          <w:szCs w:val="24"/>
          <w:lang w:eastAsia="sv-SE"/>
        </w:rPr>
        <w:drawing>
          <wp:inline distT="0" distB="0" distL="0" distR="0">
            <wp:extent cx="4286250" cy="1704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86250" cy="1704975"/>
                    </a:xfrm>
                    <a:prstGeom prst="rect">
                      <a:avLst/>
                    </a:prstGeom>
                    <a:noFill/>
                    <a:ln>
                      <a:noFill/>
                    </a:ln>
                  </pic:spPr>
                </pic:pic>
              </a:graphicData>
            </a:graphic>
          </wp:inline>
        </w:drawing>
      </w:r>
    </w:p>
    <w:p w:rsidR="00B3003B" w:rsidRPr="00B3003B" w:rsidRDefault="00B3003B" w:rsidP="00B3003B">
      <w:pPr>
        <w:spacing w:after="0"/>
        <w:ind w:left="360"/>
        <w:jc w:val="center"/>
        <w:rPr>
          <w:rFonts w:ascii="Tahoma" w:eastAsia="Times New Roman" w:hAnsi="Tahoma" w:cs="Tahoma"/>
          <w:sz w:val="20"/>
          <w:szCs w:val="20"/>
          <w:lang w:val="en-GB" w:eastAsia="en-GB"/>
        </w:rPr>
      </w:pPr>
    </w:p>
    <w:p w:rsidR="00B3003B" w:rsidRPr="00B3003B" w:rsidRDefault="00B3003B" w:rsidP="00B3003B">
      <w:pPr>
        <w:spacing w:after="0"/>
        <w:ind w:left="360"/>
        <w:jc w:val="center"/>
        <w:rPr>
          <w:rFonts w:ascii="Tahoma" w:eastAsia="Times New Roman" w:hAnsi="Tahoma" w:cs="Tahoma"/>
          <w:sz w:val="20"/>
          <w:szCs w:val="20"/>
          <w:lang w:val="en-GB" w:eastAsia="en-GB"/>
        </w:rPr>
      </w:pPr>
    </w:p>
    <w:p w:rsidR="00B3003B" w:rsidRPr="00B3003B" w:rsidRDefault="00B3003B" w:rsidP="00B3003B">
      <w:pPr>
        <w:spacing w:after="0"/>
        <w:ind w:left="360"/>
        <w:jc w:val="both"/>
        <w:rPr>
          <w:rFonts w:ascii="Tahoma" w:eastAsia="Times New Roman" w:hAnsi="Tahoma" w:cs="Tahoma"/>
          <w:sz w:val="20"/>
          <w:szCs w:val="20"/>
          <w:lang w:val="en-GB" w:eastAsia="en-GB"/>
        </w:rPr>
      </w:pPr>
      <w:r w:rsidRPr="00B3003B">
        <w:rPr>
          <w:rFonts w:ascii="Tahoma" w:eastAsia="Times New Roman" w:hAnsi="Tahoma" w:cs="Times New Roman"/>
          <w:color w:val="000000"/>
          <w:sz w:val="20"/>
          <w:szCs w:val="24"/>
          <w:lang w:val="en-GB" w:eastAsia="en-GB"/>
        </w:rPr>
        <w:t>During this period the company obtained a revenue margin in flights of €249.4 million and increased its revenue margin in the non-flight business, which comprises hotels, car rental, and other auxiliary services, by 12% to €68 million</w:t>
      </w:r>
      <w:r w:rsidRPr="00B3003B">
        <w:rPr>
          <w:rFonts w:ascii="Tahoma" w:eastAsia="Times New Roman" w:hAnsi="Tahoma" w:cs="Times New Roman"/>
          <w:sz w:val="20"/>
          <w:szCs w:val="24"/>
          <w:lang w:val="en-GB" w:eastAsia="en-GB"/>
        </w:rPr>
        <w:t xml:space="preserve">. The results also benefitted from the contribution from </w:t>
      </w:r>
      <w:proofErr w:type="spellStart"/>
      <w:r w:rsidRPr="00B3003B">
        <w:rPr>
          <w:rFonts w:ascii="Tahoma" w:eastAsia="Times New Roman" w:hAnsi="Tahoma" w:cs="Times New Roman"/>
          <w:sz w:val="20"/>
          <w:szCs w:val="24"/>
          <w:lang w:val="en-GB" w:eastAsia="en-GB"/>
        </w:rPr>
        <w:t>Liligo</w:t>
      </w:r>
      <w:proofErr w:type="spellEnd"/>
      <w:r w:rsidRPr="00B3003B">
        <w:rPr>
          <w:rFonts w:ascii="Tahoma" w:eastAsia="Times New Roman" w:hAnsi="Tahoma" w:cs="Times New Roman"/>
          <w:sz w:val="20"/>
          <w:szCs w:val="24"/>
          <w:lang w:val="en-GB" w:eastAsia="en-GB"/>
        </w:rPr>
        <w:t xml:space="preserve"> meta-search engine.</w:t>
      </w:r>
    </w:p>
    <w:p w:rsidR="00B3003B" w:rsidRPr="00B3003B" w:rsidRDefault="00B3003B" w:rsidP="00B3003B">
      <w:pPr>
        <w:spacing w:after="0"/>
        <w:rPr>
          <w:rFonts w:ascii="Tahoma" w:eastAsia="Times New Roman" w:hAnsi="Tahoma" w:cs="Tahoma"/>
          <w:sz w:val="20"/>
          <w:szCs w:val="20"/>
          <w:lang w:val="en-GB" w:eastAsia="en-GB"/>
        </w:rPr>
      </w:pPr>
    </w:p>
    <w:p w:rsidR="00B3003B" w:rsidRPr="00B3003B" w:rsidRDefault="00B3003B" w:rsidP="00B3003B">
      <w:pPr>
        <w:spacing w:after="0"/>
        <w:ind w:left="360"/>
        <w:jc w:val="both"/>
        <w:rPr>
          <w:rFonts w:ascii="Tahoma" w:eastAsia="Times New Roman" w:hAnsi="Tahoma" w:cs="Tahoma"/>
          <w:color w:val="000000"/>
          <w:sz w:val="20"/>
          <w:szCs w:val="20"/>
          <w:lang w:val="en-GB" w:eastAsia="en-GB"/>
        </w:rPr>
      </w:pPr>
      <w:r w:rsidRPr="00B3003B">
        <w:rPr>
          <w:rFonts w:ascii="Tahoma" w:eastAsia="Times New Roman" w:hAnsi="Tahoma" w:cs="Times New Roman"/>
          <w:sz w:val="20"/>
          <w:szCs w:val="24"/>
          <w:lang w:val="en-GB" w:eastAsia="en-GB"/>
        </w:rPr>
        <w:lastRenderedPageBreak/>
        <w:t>Growth in the third quarter this year was also supported by strong performance of bookings and revenue margin in Spain and the expansion markets (excludes Spain France and Italy).</w:t>
      </w:r>
    </w:p>
    <w:p w:rsidR="00B3003B" w:rsidRPr="00B3003B" w:rsidRDefault="00B3003B" w:rsidP="00B3003B">
      <w:pPr>
        <w:spacing w:after="0"/>
        <w:ind w:left="360"/>
        <w:jc w:val="both"/>
        <w:rPr>
          <w:rFonts w:ascii="Tahoma" w:eastAsia="Times New Roman" w:hAnsi="Tahoma" w:cs="Times New Roman"/>
          <w:color w:val="000000"/>
          <w:sz w:val="20"/>
          <w:szCs w:val="24"/>
          <w:lang w:val="en-GB" w:eastAsia="en-GB"/>
        </w:rPr>
      </w:pPr>
      <w:r w:rsidRPr="00B3003B">
        <w:rPr>
          <w:rFonts w:ascii="Tahoma" w:eastAsia="Times New Roman" w:hAnsi="Tahoma" w:cs="Times New Roman"/>
          <w:color w:val="000000"/>
          <w:sz w:val="20"/>
          <w:szCs w:val="24"/>
          <w:lang w:val="en-GB" w:eastAsia="en-GB"/>
        </w:rPr>
        <w:t xml:space="preserve">During the first 9 months of this year, revenue margin and bookings in the expansion markets grew by 9% and 12% respectively. </w:t>
      </w:r>
    </w:p>
    <w:p w:rsidR="00B3003B" w:rsidRPr="00B3003B" w:rsidRDefault="00B3003B" w:rsidP="00B3003B">
      <w:pPr>
        <w:spacing w:after="0"/>
        <w:jc w:val="both"/>
        <w:rPr>
          <w:rFonts w:ascii="Tahoma" w:eastAsia="Times New Roman" w:hAnsi="Tahoma" w:cs="Tahoma"/>
          <w:color w:val="000000"/>
          <w:sz w:val="20"/>
          <w:szCs w:val="20"/>
          <w:lang w:val="en-GB" w:eastAsia="en-GB"/>
        </w:rPr>
      </w:pPr>
    </w:p>
    <w:p w:rsidR="00B3003B" w:rsidRPr="00B3003B" w:rsidRDefault="00B3003B" w:rsidP="00B3003B">
      <w:pPr>
        <w:spacing w:after="0"/>
        <w:ind w:left="360"/>
        <w:jc w:val="both"/>
        <w:rPr>
          <w:rFonts w:ascii="Tahoma" w:eastAsia="Times New Roman" w:hAnsi="Tahoma" w:cs="Tahoma"/>
          <w:color w:val="000000"/>
          <w:sz w:val="20"/>
          <w:szCs w:val="20"/>
          <w:lang w:val="en-GB" w:eastAsia="en-GB"/>
        </w:rPr>
      </w:pPr>
      <w:r w:rsidRPr="00B3003B">
        <w:rPr>
          <w:rFonts w:ascii="Tahoma" w:eastAsia="Times New Roman" w:hAnsi="Tahoma" w:cs="Times New Roman"/>
          <w:color w:val="000000"/>
          <w:sz w:val="20"/>
          <w:szCs w:val="24"/>
          <w:lang w:val="en-GB" w:eastAsia="en-GB"/>
        </w:rPr>
        <w:t>In international markets (excluding Germany, the United Kingdom, and the Nordic region) saw revenue margin increase by 38% in the quarter compared to the same period last year (see graph) and by 24% for the nine months, reaching 14% of the company's total revenue margin.</w:t>
      </w:r>
    </w:p>
    <w:p w:rsidR="00B3003B" w:rsidRPr="00B3003B" w:rsidRDefault="00B3003B" w:rsidP="00B3003B">
      <w:pPr>
        <w:spacing w:after="0"/>
        <w:ind w:left="360"/>
        <w:jc w:val="both"/>
        <w:rPr>
          <w:rFonts w:ascii="Tahoma" w:eastAsia="Times New Roman" w:hAnsi="Tahoma" w:cs="Tahoma"/>
          <w:color w:val="000000"/>
          <w:sz w:val="20"/>
          <w:szCs w:val="20"/>
          <w:lang w:val="en-GB" w:eastAsia="en-GB"/>
        </w:rPr>
      </w:pPr>
    </w:p>
    <w:p w:rsidR="00B3003B" w:rsidRPr="00B3003B" w:rsidRDefault="00B3003B" w:rsidP="00B3003B">
      <w:pPr>
        <w:spacing w:after="0"/>
        <w:ind w:left="360"/>
        <w:jc w:val="both"/>
        <w:rPr>
          <w:rFonts w:ascii="Tahoma" w:eastAsia="Times New Roman" w:hAnsi="Tahoma" w:cs="Tahoma"/>
          <w:color w:val="000000"/>
          <w:sz w:val="20"/>
          <w:szCs w:val="20"/>
          <w:lang w:val="en-GB" w:eastAsia="en-GB"/>
        </w:rPr>
      </w:pPr>
    </w:p>
    <w:p w:rsidR="00B3003B" w:rsidRPr="00B3003B" w:rsidRDefault="00B3003B" w:rsidP="00B3003B">
      <w:pPr>
        <w:spacing w:after="0"/>
        <w:jc w:val="center"/>
        <w:rPr>
          <w:rFonts w:ascii="Tahoma" w:eastAsia="Times New Roman" w:hAnsi="Tahoma" w:cs="Tahoma"/>
          <w:b/>
          <w:color w:val="000000"/>
          <w:sz w:val="20"/>
          <w:szCs w:val="20"/>
          <w:lang w:val="en-GB" w:eastAsia="en-GB"/>
        </w:rPr>
      </w:pPr>
      <w:r w:rsidRPr="00B3003B">
        <w:rPr>
          <w:rFonts w:ascii="Tahoma" w:eastAsia="Times New Roman" w:hAnsi="Tahoma" w:cs="Times New Roman"/>
          <w:b/>
          <w:color w:val="000000"/>
          <w:sz w:val="20"/>
          <w:szCs w:val="24"/>
          <w:lang w:val="en-GB" w:eastAsia="en-GB"/>
        </w:rPr>
        <w:t>International Market Evolution</w:t>
      </w:r>
    </w:p>
    <w:p w:rsidR="00B3003B" w:rsidRPr="00B3003B" w:rsidRDefault="00B3003B" w:rsidP="00B3003B">
      <w:pPr>
        <w:spacing w:after="0"/>
        <w:ind w:left="360"/>
        <w:jc w:val="center"/>
        <w:rPr>
          <w:rFonts w:ascii="Tahoma" w:eastAsia="Times New Roman" w:hAnsi="Tahoma" w:cs="Tahoma"/>
          <w:color w:val="000000"/>
          <w:sz w:val="20"/>
          <w:szCs w:val="20"/>
          <w:lang w:val="en-GB" w:eastAsia="en-GB"/>
        </w:rPr>
      </w:pPr>
      <w:r>
        <w:rPr>
          <w:rFonts w:ascii="Tahoma" w:eastAsia="Times New Roman" w:hAnsi="Tahoma" w:cs="Times New Roman"/>
          <w:noProof/>
          <w:color w:val="000000"/>
          <w:sz w:val="20"/>
          <w:szCs w:val="24"/>
          <w:lang w:eastAsia="sv-SE"/>
        </w:rPr>
        <w:drawing>
          <wp:inline distT="0" distB="0" distL="0" distR="0">
            <wp:extent cx="3286125" cy="23241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86125" cy="2324100"/>
                    </a:xfrm>
                    <a:prstGeom prst="rect">
                      <a:avLst/>
                    </a:prstGeom>
                    <a:noFill/>
                    <a:ln>
                      <a:noFill/>
                    </a:ln>
                  </pic:spPr>
                </pic:pic>
              </a:graphicData>
            </a:graphic>
          </wp:inline>
        </w:drawing>
      </w:r>
    </w:p>
    <w:p w:rsidR="00B3003B" w:rsidRPr="00B3003B" w:rsidRDefault="00B3003B" w:rsidP="00B3003B">
      <w:pPr>
        <w:spacing w:after="0"/>
        <w:ind w:left="360"/>
        <w:jc w:val="both"/>
        <w:rPr>
          <w:rFonts w:ascii="Tahoma" w:eastAsia="Times New Roman" w:hAnsi="Tahoma" w:cs="Tahoma"/>
          <w:color w:val="000000"/>
          <w:sz w:val="20"/>
          <w:szCs w:val="20"/>
          <w:lang w:val="en-GB" w:eastAsia="en-GB"/>
        </w:rPr>
      </w:pPr>
    </w:p>
    <w:p w:rsidR="00B3003B" w:rsidRPr="00B3003B" w:rsidRDefault="00B3003B" w:rsidP="00B3003B">
      <w:pPr>
        <w:spacing w:after="0"/>
        <w:ind w:left="360"/>
        <w:jc w:val="both"/>
        <w:rPr>
          <w:rFonts w:ascii="Tahoma" w:eastAsia="Times New Roman" w:hAnsi="Tahoma" w:cs="Tahoma"/>
          <w:color w:val="000000"/>
          <w:sz w:val="20"/>
          <w:szCs w:val="20"/>
          <w:lang w:val="en-GB" w:eastAsia="en-GB"/>
        </w:rPr>
      </w:pPr>
    </w:p>
    <w:p w:rsidR="00B3003B" w:rsidRPr="00B3003B" w:rsidRDefault="00B3003B" w:rsidP="00B3003B">
      <w:pPr>
        <w:spacing w:after="0"/>
        <w:ind w:left="360"/>
        <w:jc w:val="both"/>
        <w:rPr>
          <w:rFonts w:ascii="Tahoma" w:eastAsia="Times New Roman" w:hAnsi="Tahoma" w:cs="Tahoma"/>
          <w:sz w:val="20"/>
          <w:szCs w:val="20"/>
          <w:lang w:val="en-GB" w:eastAsia="en-GB"/>
        </w:rPr>
      </w:pPr>
      <w:r w:rsidRPr="00B3003B">
        <w:rPr>
          <w:rFonts w:ascii="Tahoma" w:eastAsia="Times New Roman" w:hAnsi="Tahoma" w:cs="Times New Roman"/>
          <w:color w:val="000000"/>
          <w:sz w:val="20"/>
          <w:szCs w:val="24"/>
          <w:lang w:val="en-GB" w:eastAsia="en-GB"/>
        </w:rPr>
        <w:t xml:space="preserve">The CEO of </w:t>
      </w:r>
      <w:proofErr w:type="spellStart"/>
      <w:r w:rsidRPr="00B3003B">
        <w:rPr>
          <w:rFonts w:ascii="Tahoma" w:eastAsia="Times New Roman" w:hAnsi="Tahoma" w:cs="Times New Roman"/>
          <w:color w:val="000000"/>
          <w:sz w:val="20"/>
          <w:szCs w:val="24"/>
          <w:lang w:val="en-GB" w:eastAsia="en-GB"/>
        </w:rPr>
        <w:t>eDreams</w:t>
      </w:r>
      <w:proofErr w:type="spellEnd"/>
      <w:r w:rsidRPr="00B3003B">
        <w:rPr>
          <w:rFonts w:ascii="Tahoma" w:eastAsia="Times New Roman" w:hAnsi="Tahoma" w:cs="Times New Roman"/>
          <w:color w:val="000000"/>
          <w:sz w:val="20"/>
          <w:szCs w:val="24"/>
          <w:lang w:val="en-GB" w:eastAsia="en-GB"/>
        </w:rPr>
        <w:t xml:space="preserve"> ODIGEO, Dana Dunne, said "I am pleased with our performance in the third quarter which is fully in line with our annual targets of flat revenue margin and an adjusted EBITDA of €90 million at close of year. I am working closely with the teams across our business to develop plans to support the long-term development of </w:t>
      </w:r>
      <w:proofErr w:type="spellStart"/>
      <w:r w:rsidRPr="00B3003B">
        <w:rPr>
          <w:rFonts w:ascii="Tahoma" w:eastAsia="Times New Roman" w:hAnsi="Tahoma" w:cs="Times New Roman"/>
          <w:color w:val="000000"/>
          <w:sz w:val="20"/>
          <w:szCs w:val="24"/>
          <w:lang w:val="en-GB" w:eastAsia="en-GB"/>
        </w:rPr>
        <w:t>eDreams</w:t>
      </w:r>
      <w:proofErr w:type="spellEnd"/>
      <w:r w:rsidRPr="00B3003B">
        <w:rPr>
          <w:rFonts w:ascii="Tahoma" w:eastAsia="Times New Roman" w:hAnsi="Tahoma" w:cs="Times New Roman"/>
          <w:color w:val="000000"/>
          <w:sz w:val="20"/>
          <w:szCs w:val="24"/>
          <w:lang w:val="en-GB" w:eastAsia="en-GB"/>
        </w:rPr>
        <w:t xml:space="preserve"> ODIGEO.” </w:t>
      </w:r>
    </w:p>
    <w:p w:rsidR="00B3003B" w:rsidRPr="00B3003B" w:rsidRDefault="00B3003B" w:rsidP="00B3003B">
      <w:pPr>
        <w:spacing w:after="0"/>
        <w:ind w:left="360"/>
        <w:jc w:val="both"/>
        <w:rPr>
          <w:rFonts w:ascii="Tahoma" w:eastAsia="Times New Roman" w:hAnsi="Tahoma" w:cs="Tahoma"/>
          <w:sz w:val="20"/>
          <w:szCs w:val="20"/>
          <w:lang w:val="en-GB" w:eastAsia="en-GB"/>
        </w:rPr>
      </w:pPr>
    </w:p>
    <w:p w:rsidR="00B3003B" w:rsidRPr="00B3003B" w:rsidRDefault="00B3003B" w:rsidP="00B3003B">
      <w:pPr>
        <w:spacing w:after="0"/>
        <w:ind w:left="360"/>
        <w:jc w:val="both"/>
        <w:rPr>
          <w:rFonts w:ascii="Tahoma" w:eastAsia="Times New Roman" w:hAnsi="Tahoma" w:cs="Tahoma"/>
          <w:sz w:val="18"/>
          <w:szCs w:val="20"/>
          <w:lang w:val="en-GB" w:eastAsia="en-GB"/>
        </w:rPr>
      </w:pPr>
      <w:r w:rsidRPr="00B3003B">
        <w:rPr>
          <w:rFonts w:ascii="Tahoma" w:eastAsia="Times New Roman" w:hAnsi="Tahoma" w:cs="Times New Roman"/>
          <w:sz w:val="18"/>
          <w:szCs w:val="24"/>
          <w:lang w:val="en-GB" w:eastAsia="en-GB"/>
        </w:rPr>
        <w:t>________________________________________________________________________________</w:t>
      </w:r>
    </w:p>
    <w:p w:rsidR="00B3003B" w:rsidRPr="00B3003B" w:rsidRDefault="00B3003B" w:rsidP="00B3003B">
      <w:pPr>
        <w:spacing w:after="0"/>
        <w:ind w:left="360"/>
        <w:jc w:val="both"/>
        <w:rPr>
          <w:rFonts w:ascii="Tahoma" w:eastAsia="Calibri" w:hAnsi="Tahoma" w:cs="Times New Roman"/>
          <w:b/>
          <w:sz w:val="16"/>
          <w:lang w:val="en-GB" w:eastAsia="en-GB"/>
        </w:rPr>
      </w:pPr>
    </w:p>
    <w:p w:rsidR="00B3003B" w:rsidRPr="00B3003B" w:rsidRDefault="00B3003B" w:rsidP="00B3003B">
      <w:pPr>
        <w:spacing w:after="0"/>
        <w:ind w:left="360"/>
        <w:jc w:val="both"/>
        <w:rPr>
          <w:rFonts w:ascii="Tahoma" w:eastAsia="Calibri" w:hAnsi="Tahoma" w:cs="Tahoma"/>
          <w:b/>
          <w:sz w:val="16"/>
          <w:szCs w:val="20"/>
          <w:lang w:val="en-GB" w:eastAsia="en-GB"/>
        </w:rPr>
      </w:pPr>
      <w:r w:rsidRPr="00B3003B">
        <w:rPr>
          <w:rFonts w:ascii="Tahoma" w:eastAsia="Calibri" w:hAnsi="Tahoma" w:cs="Times New Roman"/>
          <w:b/>
          <w:sz w:val="16"/>
          <w:lang w:val="en-GB" w:eastAsia="en-GB"/>
        </w:rPr>
        <w:t xml:space="preserve">About </w:t>
      </w:r>
      <w:proofErr w:type="spellStart"/>
      <w:r w:rsidRPr="00B3003B">
        <w:rPr>
          <w:rFonts w:ascii="Tahoma" w:eastAsia="Calibri" w:hAnsi="Tahoma" w:cs="Times New Roman"/>
          <w:b/>
          <w:sz w:val="16"/>
          <w:lang w:val="en-GB" w:eastAsia="en-GB"/>
        </w:rPr>
        <w:t>eDreams</w:t>
      </w:r>
      <w:proofErr w:type="spellEnd"/>
      <w:r w:rsidRPr="00B3003B">
        <w:rPr>
          <w:rFonts w:ascii="Tahoma" w:eastAsia="Calibri" w:hAnsi="Tahoma" w:cs="Times New Roman"/>
          <w:b/>
          <w:sz w:val="16"/>
          <w:lang w:val="en-GB" w:eastAsia="en-GB"/>
        </w:rPr>
        <w:t xml:space="preserve"> ODIGEO</w:t>
      </w:r>
    </w:p>
    <w:p w:rsidR="00B3003B" w:rsidRPr="00B3003B" w:rsidRDefault="00B3003B" w:rsidP="00B3003B">
      <w:pPr>
        <w:ind w:left="360"/>
        <w:jc w:val="both"/>
        <w:rPr>
          <w:rFonts w:ascii="Tahoma" w:eastAsia="Calibri" w:hAnsi="Tahoma" w:cs="Tahoma"/>
          <w:sz w:val="16"/>
          <w:szCs w:val="20"/>
          <w:lang w:val="en-GB" w:eastAsia="en-GB"/>
        </w:rPr>
      </w:pPr>
      <w:proofErr w:type="spellStart"/>
      <w:proofErr w:type="gramStart"/>
      <w:r w:rsidRPr="00B3003B">
        <w:rPr>
          <w:rFonts w:ascii="Tahoma" w:eastAsia="Calibri" w:hAnsi="Tahoma" w:cs="Times New Roman"/>
          <w:sz w:val="16"/>
          <w:lang w:val="en-GB" w:eastAsia="en-GB"/>
        </w:rPr>
        <w:t>eDreams</w:t>
      </w:r>
      <w:proofErr w:type="spellEnd"/>
      <w:proofErr w:type="gramEnd"/>
      <w:r w:rsidRPr="00B3003B">
        <w:rPr>
          <w:rFonts w:ascii="Tahoma" w:eastAsia="Calibri" w:hAnsi="Tahoma" w:cs="Times New Roman"/>
          <w:sz w:val="16"/>
          <w:lang w:val="en-GB" w:eastAsia="en-GB"/>
        </w:rPr>
        <w:t xml:space="preserve"> ODIGEO (</w:t>
      </w:r>
      <w:hyperlink r:id="rId11" w:history="1">
        <w:r w:rsidRPr="00B3003B">
          <w:rPr>
            <w:rFonts w:ascii="Tahoma" w:eastAsia="Calibri" w:hAnsi="Tahoma" w:cs="Times New Roman"/>
            <w:color w:val="0000FF"/>
            <w:sz w:val="16"/>
            <w:u w:val="single"/>
            <w:lang w:val="en-GB" w:eastAsia="en-GB"/>
          </w:rPr>
          <w:t>www.edreamsodigeo.com</w:t>
        </w:r>
      </w:hyperlink>
      <w:r w:rsidRPr="00B3003B">
        <w:rPr>
          <w:rFonts w:ascii="Tahoma" w:eastAsia="Calibri" w:hAnsi="Tahoma" w:cs="Times New Roman"/>
          <w:sz w:val="16"/>
          <w:lang w:val="en-GB" w:eastAsia="en-GB"/>
        </w:rPr>
        <w:t xml:space="preserve">) is one of the main distributor of online flights in the world (in terms of revenue) and one of the largest European e-commerce companies. Under its five brands - </w:t>
      </w:r>
      <w:proofErr w:type="spellStart"/>
      <w:r w:rsidRPr="00B3003B">
        <w:rPr>
          <w:rFonts w:ascii="Tahoma" w:eastAsia="Calibri" w:hAnsi="Tahoma" w:cs="Times New Roman"/>
          <w:sz w:val="16"/>
          <w:lang w:val="en-GB" w:eastAsia="en-GB"/>
        </w:rPr>
        <w:t>eDreams</w:t>
      </w:r>
      <w:proofErr w:type="spellEnd"/>
      <w:r w:rsidRPr="00B3003B">
        <w:rPr>
          <w:rFonts w:ascii="Tahoma" w:eastAsia="Calibri" w:hAnsi="Tahoma" w:cs="Times New Roman"/>
          <w:sz w:val="16"/>
          <w:lang w:val="en-GB" w:eastAsia="en-GB"/>
        </w:rPr>
        <w:t xml:space="preserve">, GO Voyages, </w:t>
      </w:r>
      <w:proofErr w:type="spellStart"/>
      <w:r w:rsidRPr="00B3003B">
        <w:rPr>
          <w:rFonts w:ascii="Tahoma" w:eastAsia="Calibri" w:hAnsi="Tahoma" w:cs="Times New Roman"/>
          <w:sz w:val="16"/>
          <w:lang w:val="en-GB" w:eastAsia="en-GB"/>
        </w:rPr>
        <w:t>Opodo</w:t>
      </w:r>
      <w:proofErr w:type="spellEnd"/>
      <w:r w:rsidRPr="00B3003B">
        <w:rPr>
          <w:rFonts w:ascii="Tahoma" w:eastAsia="Calibri" w:hAnsi="Tahoma" w:cs="Times New Roman"/>
          <w:sz w:val="16"/>
          <w:lang w:val="en-GB" w:eastAsia="en-GB"/>
        </w:rPr>
        <w:t xml:space="preserve">, Travellink and </w:t>
      </w:r>
      <w:proofErr w:type="spellStart"/>
      <w:r w:rsidRPr="00B3003B">
        <w:rPr>
          <w:rFonts w:ascii="Tahoma" w:eastAsia="Calibri" w:hAnsi="Tahoma" w:cs="Times New Roman"/>
          <w:sz w:val="16"/>
          <w:lang w:val="en-GB" w:eastAsia="en-GB"/>
        </w:rPr>
        <w:t>Liligo</w:t>
      </w:r>
      <w:proofErr w:type="spellEnd"/>
      <w:r w:rsidRPr="00B3003B">
        <w:rPr>
          <w:rFonts w:ascii="Tahoma" w:eastAsia="Calibri" w:hAnsi="Tahoma" w:cs="Times New Roman"/>
          <w:sz w:val="16"/>
          <w:lang w:val="en-GB" w:eastAsia="en-GB"/>
        </w:rPr>
        <w:t xml:space="preserve"> - it offers the best deals in regular and charter flights, low-cost airlines, hotels, cruises, can rental, holiday packages, travel insurance and stays of different duration to more than 15 million customers all over the world. </w:t>
      </w:r>
      <w:r w:rsidRPr="00B3003B">
        <w:rPr>
          <w:rFonts w:ascii="Arial" w:eastAsia="Calibri" w:hAnsi="Arial" w:cs="Times New Roman"/>
          <w:color w:val="000000"/>
          <w:sz w:val="16"/>
          <w:lang w:val="en-GB" w:eastAsia="en-GB"/>
        </w:rPr>
        <w:t xml:space="preserve">It is also a very effective platform for advertisers to reach their markets of interest in a personalised way, both locally and globally. </w:t>
      </w:r>
      <w:r w:rsidRPr="00B3003B">
        <w:rPr>
          <w:rFonts w:ascii="Tahoma" w:eastAsia="Calibri" w:hAnsi="Tahoma" w:cs="Times New Roman"/>
          <w:sz w:val="16"/>
          <w:lang w:val="en-GB" w:eastAsia="en-GB"/>
        </w:rPr>
        <w:t xml:space="preserve">With a presence in 44 countries, the company has a human team of about 1,700 professionals. </w:t>
      </w:r>
      <w:proofErr w:type="spellStart"/>
      <w:proofErr w:type="gramStart"/>
      <w:r w:rsidRPr="00B3003B">
        <w:rPr>
          <w:rFonts w:ascii="Tahoma" w:eastAsia="Calibri" w:hAnsi="Tahoma" w:cs="Times New Roman"/>
          <w:sz w:val="16"/>
          <w:lang w:val="en-GB" w:eastAsia="en-GB"/>
        </w:rPr>
        <w:t>eDreams</w:t>
      </w:r>
      <w:proofErr w:type="spellEnd"/>
      <w:proofErr w:type="gramEnd"/>
      <w:r w:rsidRPr="00B3003B">
        <w:rPr>
          <w:rFonts w:ascii="Tahoma" w:eastAsia="Calibri" w:hAnsi="Tahoma" w:cs="Times New Roman"/>
          <w:sz w:val="16"/>
          <w:lang w:val="en-GB" w:eastAsia="en-GB"/>
        </w:rPr>
        <w:t xml:space="preserve"> ODIGEO is listed in the Spanish Continuous Market and had a turnover of €4,384 billion last year.</w:t>
      </w:r>
    </w:p>
    <w:p w:rsidR="00B3003B" w:rsidRPr="00B3003B" w:rsidRDefault="00B3003B" w:rsidP="00B3003B">
      <w:pPr>
        <w:ind w:left="360"/>
        <w:jc w:val="both"/>
        <w:rPr>
          <w:rFonts w:ascii="Tahoma" w:eastAsia="Calibri" w:hAnsi="Tahoma" w:cs="Tahoma"/>
          <w:sz w:val="16"/>
          <w:szCs w:val="20"/>
          <w:lang w:val="en-GB" w:eastAsia="en-GB"/>
        </w:rPr>
      </w:pPr>
    </w:p>
    <w:p w:rsidR="00B3003B" w:rsidRPr="00B3003B" w:rsidRDefault="00B3003B" w:rsidP="00B3003B">
      <w:pPr>
        <w:autoSpaceDE w:val="0"/>
        <w:autoSpaceDN w:val="0"/>
        <w:adjustRightInd w:val="0"/>
        <w:spacing w:after="0" w:line="240" w:lineRule="auto"/>
        <w:rPr>
          <w:rFonts w:ascii="Tahoma" w:eastAsia="Calibri" w:hAnsi="Tahoma" w:cs="Tahoma"/>
          <w:color w:val="000000"/>
          <w:sz w:val="16"/>
          <w:szCs w:val="16"/>
          <w:lang w:val="en-US" w:eastAsia="sv-SE"/>
        </w:rPr>
      </w:pPr>
      <w:r w:rsidRPr="00B3003B">
        <w:rPr>
          <w:rFonts w:ascii="Tahoma" w:eastAsia="Calibri" w:hAnsi="Tahoma" w:cs="Tahoma"/>
          <w:b/>
          <w:bCs/>
          <w:color w:val="000000"/>
          <w:sz w:val="16"/>
          <w:szCs w:val="16"/>
          <w:lang w:val="en-GB" w:eastAsia="sv-SE"/>
        </w:rPr>
        <w:t xml:space="preserve">        </w:t>
      </w:r>
      <w:r w:rsidRPr="00B3003B">
        <w:rPr>
          <w:rFonts w:ascii="Tahoma" w:eastAsia="Calibri" w:hAnsi="Tahoma" w:cs="Tahoma"/>
          <w:b/>
          <w:bCs/>
          <w:color w:val="000000"/>
          <w:sz w:val="16"/>
          <w:szCs w:val="16"/>
          <w:lang w:val="en-US" w:eastAsia="sv-SE"/>
        </w:rPr>
        <w:t xml:space="preserve">For more information: </w:t>
      </w:r>
    </w:p>
    <w:p w:rsidR="00B3003B" w:rsidRPr="00B3003B" w:rsidRDefault="00B3003B" w:rsidP="00B3003B">
      <w:pPr>
        <w:tabs>
          <w:tab w:val="left" w:pos="708"/>
          <w:tab w:val="center" w:pos="4252"/>
          <w:tab w:val="right" w:pos="8504"/>
        </w:tabs>
        <w:spacing w:after="0"/>
        <w:ind w:left="360"/>
        <w:rPr>
          <w:rFonts w:ascii="Calibri" w:eastAsia="Calibri" w:hAnsi="Calibri" w:cs="Times New Roman"/>
          <w:bCs/>
          <w:color w:val="0000FF"/>
          <w:u w:val="single"/>
          <w:lang w:val="en-GB" w:eastAsia="en-GB"/>
        </w:rPr>
      </w:pPr>
      <w:r w:rsidRPr="00B3003B">
        <w:rPr>
          <w:rFonts w:ascii="Arial" w:eastAsia="Calibri" w:hAnsi="Arial" w:cs="Arial"/>
          <w:b/>
          <w:bCs/>
          <w:sz w:val="16"/>
          <w:szCs w:val="16"/>
          <w:lang w:val="en-GB" w:eastAsia="en-GB"/>
        </w:rPr>
        <w:t xml:space="preserve">Peter </w:t>
      </w:r>
      <w:proofErr w:type="spellStart"/>
      <w:r w:rsidRPr="00B3003B">
        <w:rPr>
          <w:rFonts w:ascii="Arial" w:eastAsia="Calibri" w:hAnsi="Arial" w:cs="Arial"/>
          <w:b/>
          <w:bCs/>
          <w:sz w:val="16"/>
          <w:szCs w:val="16"/>
          <w:lang w:val="en-GB" w:eastAsia="en-GB"/>
        </w:rPr>
        <w:t>Carlsson</w:t>
      </w:r>
      <w:proofErr w:type="spellEnd"/>
      <w:r w:rsidRPr="00B3003B">
        <w:rPr>
          <w:rFonts w:ascii="Arial" w:eastAsia="Calibri" w:hAnsi="Arial" w:cs="Arial"/>
          <w:sz w:val="16"/>
          <w:szCs w:val="16"/>
          <w:lang w:val="en-GB" w:eastAsia="en-GB"/>
        </w:rPr>
        <w:t xml:space="preserve">, Country director </w:t>
      </w:r>
      <w:proofErr w:type="spellStart"/>
      <w:r w:rsidRPr="00B3003B">
        <w:rPr>
          <w:rFonts w:ascii="Arial" w:eastAsia="Calibri" w:hAnsi="Arial" w:cs="Arial"/>
          <w:sz w:val="16"/>
          <w:szCs w:val="16"/>
          <w:lang w:val="en-GB" w:eastAsia="en-GB"/>
        </w:rPr>
        <w:t>eDreams</w:t>
      </w:r>
      <w:proofErr w:type="spellEnd"/>
      <w:r w:rsidRPr="00B3003B">
        <w:rPr>
          <w:rFonts w:ascii="Arial" w:eastAsia="Calibri" w:hAnsi="Arial" w:cs="Arial"/>
          <w:sz w:val="16"/>
          <w:szCs w:val="16"/>
          <w:lang w:val="en-GB" w:eastAsia="en-GB"/>
        </w:rPr>
        <w:t xml:space="preserve"> ODIGEO Nordic </w:t>
      </w:r>
      <w:r w:rsidRPr="00B3003B">
        <w:rPr>
          <w:rFonts w:ascii="Arial" w:eastAsia="Calibri" w:hAnsi="Arial" w:cs="Arial"/>
          <w:sz w:val="16"/>
          <w:szCs w:val="16"/>
          <w:lang w:val="en-GB" w:eastAsia="en-GB"/>
        </w:rPr>
        <w:br/>
      </w:r>
      <w:r w:rsidRPr="00B3003B">
        <w:rPr>
          <w:rFonts w:ascii="Arial" w:eastAsia="Calibri" w:hAnsi="Arial" w:cs="Arial"/>
          <w:b/>
          <w:bCs/>
          <w:sz w:val="16"/>
          <w:szCs w:val="16"/>
          <w:lang w:val="en-GB" w:eastAsia="en-GB"/>
        </w:rPr>
        <w:t xml:space="preserve">Phone: </w:t>
      </w:r>
      <w:r w:rsidRPr="00B3003B">
        <w:rPr>
          <w:rFonts w:ascii="Arial" w:eastAsia="Calibri" w:hAnsi="Arial" w:cs="Arial"/>
          <w:sz w:val="16"/>
          <w:szCs w:val="16"/>
          <w:lang w:val="en-GB" w:eastAsia="en-GB"/>
        </w:rPr>
        <w:t xml:space="preserve">+46 70-511 81 52 </w:t>
      </w:r>
      <w:r w:rsidRPr="00B3003B">
        <w:rPr>
          <w:rFonts w:ascii="Arial" w:eastAsia="Calibri" w:hAnsi="Arial" w:cs="Arial"/>
          <w:sz w:val="16"/>
          <w:szCs w:val="16"/>
          <w:lang w:val="en-GB" w:eastAsia="en-GB"/>
        </w:rPr>
        <w:br/>
      </w:r>
      <w:r w:rsidRPr="00B3003B">
        <w:rPr>
          <w:rFonts w:ascii="Arial" w:eastAsia="Calibri" w:hAnsi="Arial" w:cs="Arial"/>
          <w:b/>
          <w:bCs/>
          <w:sz w:val="16"/>
          <w:szCs w:val="16"/>
          <w:lang w:val="en-GB" w:eastAsia="en-GB"/>
        </w:rPr>
        <w:t>Email</w:t>
      </w:r>
      <w:r w:rsidRPr="00B3003B">
        <w:rPr>
          <w:rFonts w:ascii="Arial" w:eastAsia="Calibri" w:hAnsi="Arial" w:cs="Arial"/>
          <w:sz w:val="16"/>
          <w:szCs w:val="16"/>
          <w:lang w:val="en-GB" w:eastAsia="en-GB"/>
        </w:rPr>
        <w:t>: peter.carlsson@odigeo.com</w:t>
      </w:r>
    </w:p>
    <w:p w:rsidR="00B3003B" w:rsidRPr="00B3003B" w:rsidRDefault="00B3003B" w:rsidP="00B3003B">
      <w:pPr>
        <w:tabs>
          <w:tab w:val="left" w:pos="708"/>
          <w:tab w:val="center" w:pos="4252"/>
          <w:tab w:val="right" w:pos="8504"/>
        </w:tabs>
        <w:spacing w:after="0"/>
        <w:ind w:left="360"/>
        <w:rPr>
          <w:rFonts w:ascii="Calibri" w:eastAsia="Calibri" w:hAnsi="Calibri" w:cs="Times New Roman"/>
          <w:bCs/>
          <w:color w:val="0000FF"/>
          <w:u w:val="single"/>
          <w:lang w:val="en-GB" w:eastAsia="en-GB"/>
        </w:rPr>
      </w:pPr>
    </w:p>
    <w:p w:rsidR="00B3003B" w:rsidRPr="00B3003B" w:rsidRDefault="00B3003B">
      <w:pPr>
        <w:rPr>
          <w:lang w:val="en-GB"/>
        </w:rPr>
      </w:pPr>
    </w:p>
    <w:sectPr w:rsidR="00B3003B" w:rsidRPr="00B3003B" w:rsidSect="00A0281A">
      <w:headerReference w:type="even" r:id="rId12"/>
      <w:headerReference w:type="default" r:id="rId13"/>
      <w:footerReference w:type="default" r:id="rId14"/>
      <w:headerReference w:type="first" r:id="rId15"/>
      <w:pgSz w:w="11906" w:h="16838"/>
      <w:pgMar w:top="1819" w:right="1346" w:bottom="480" w:left="1440" w:header="708" w:footer="3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334D" w:rsidRDefault="0033334D">
      <w:pPr>
        <w:spacing w:after="0" w:line="240" w:lineRule="auto"/>
      </w:pPr>
      <w:r>
        <w:separator/>
      </w:r>
    </w:p>
  </w:endnote>
  <w:endnote w:type="continuationSeparator" w:id="0">
    <w:p w:rsidR="0033334D" w:rsidRDefault="003333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1A" w:rsidRDefault="00222CDB" w:rsidP="00A0281A">
    <w:pPr>
      <w:pStyle w:val="Footer"/>
      <w:tabs>
        <w:tab w:val="left" w:pos="247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334D" w:rsidRDefault="0033334D">
      <w:pPr>
        <w:spacing w:after="0" w:line="240" w:lineRule="auto"/>
      </w:pPr>
      <w:r>
        <w:separator/>
      </w:r>
    </w:p>
  </w:footnote>
  <w:footnote w:type="continuationSeparator" w:id="0">
    <w:p w:rsidR="0033334D" w:rsidRDefault="003333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1A" w:rsidRDefault="00222CDB">
    <w:pPr>
      <w:pStyle w:val="Head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21063" o:spid="_x0000_s2050" type="#_x0000_t75" style="position:absolute;margin-left:0;margin-top:0;width:595.2pt;height:841.9pt;z-index:-251656192;mso-position-horizontal:center;mso-position-horizontal-relative:margin;mso-position-vertical:center;mso-position-vertical-relative:margin" o:allowincell="f">
          <v:imagedata r:id="rId1" o:title="AAFF_DINA4_2_hojas_cs5-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1A" w:rsidRDefault="00B3003B">
    <w:pPr>
      <w:pStyle w:val="Header"/>
    </w:pPr>
    <w:r>
      <w:rPr>
        <w:noProof/>
        <w:lang w:eastAsia="sv-SE"/>
      </w:rPr>
      <w:drawing>
        <wp:anchor distT="0" distB="0" distL="114300" distR="114300" simplePos="0" relativeHeight="251661312" behindDoc="0" locked="0" layoutInCell="1" allowOverlap="1">
          <wp:simplePos x="0" y="0"/>
          <wp:positionH relativeFrom="column">
            <wp:align>center</wp:align>
          </wp:positionH>
          <wp:positionV relativeFrom="paragraph">
            <wp:posOffset>70485</wp:posOffset>
          </wp:positionV>
          <wp:extent cx="6327775" cy="233045"/>
          <wp:effectExtent l="19050" t="19050" r="15875" b="146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27775" cy="233045"/>
                  </a:xfrm>
                  <a:prstGeom prst="rect">
                    <a:avLst/>
                  </a:prstGeom>
                  <a:no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1A" w:rsidRDefault="00222CDB">
    <w:pPr>
      <w:pStyle w:val="Head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21062" o:spid="_x0000_s2049" type="#_x0000_t75" style="position:absolute;margin-left:0;margin-top:0;width:595.2pt;height:841.9pt;z-index:-251657216;mso-position-horizontal:center;mso-position-horizontal-relative:margin;mso-position-vertical:center;mso-position-vertical-relative:margin" o:allowincell="f">
          <v:imagedata r:id="rId1" o:title="AAFF_DINA4_2_hojas_cs5-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685F90"/>
    <w:multiLevelType w:val="hybridMultilevel"/>
    <w:tmpl w:val="A1CEC9D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003B"/>
    <w:rsid w:val="00106AFE"/>
    <w:rsid w:val="00222CDB"/>
    <w:rsid w:val="0033334D"/>
    <w:rsid w:val="00B3003B"/>
    <w:rsid w:val="00B7407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3003B"/>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B3003B"/>
  </w:style>
  <w:style w:type="paragraph" w:styleId="Footer">
    <w:name w:val="footer"/>
    <w:basedOn w:val="Normal"/>
    <w:link w:val="FooterChar"/>
    <w:uiPriority w:val="99"/>
    <w:semiHidden/>
    <w:unhideWhenUsed/>
    <w:rsid w:val="00B3003B"/>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B3003B"/>
  </w:style>
  <w:style w:type="character" w:styleId="CommentReference">
    <w:name w:val="annotation reference"/>
    <w:uiPriority w:val="99"/>
    <w:semiHidden/>
    <w:unhideWhenUsed/>
    <w:rsid w:val="00B3003B"/>
    <w:rPr>
      <w:sz w:val="16"/>
      <w:szCs w:val="16"/>
      <w:lang w:val="en-GB" w:eastAsia="en-GB"/>
    </w:rPr>
  </w:style>
  <w:style w:type="paragraph" w:styleId="CommentText">
    <w:name w:val="annotation text"/>
    <w:basedOn w:val="Normal"/>
    <w:link w:val="CommentTextChar"/>
    <w:uiPriority w:val="99"/>
    <w:semiHidden/>
    <w:unhideWhenUsed/>
    <w:rsid w:val="00B3003B"/>
    <w:rPr>
      <w:rFonts w:ascii="Calibri" w:eastAsia="Calibri" w:hAnsi="Calibri" w:cs="Times New Roman"/>
      <w:sz w:val="20"/>
      <w:szCs w:val="20"/>
      <w:lang w:val="en-GB" w:eastAsia="en-GB"/>
    </w:rPr>
  </w:style>
  <w:style w:type="character" w:customStyle="1" w:styleId="CommentTextChar">
    <w:name w:val="Comment Text Char"/>
    <w:basedOn w:val="DefaultParagraphFont"/>
    <w:link w:val="CommentText"/>
    <w:uiPriority w:val="99"/>
    <w:semiHidden/>
    <w:rsid w:val="00B3003B"/>
    <w:rPr>
      <w:rFonts w:ascii="Calibri" w:eastAsia="Calibri" w:hAnsi="Calibri" w:cs="Times New Roman"/>
      <w:sz w:val="20"/>
      <w:szCs w:val="20"/>
      <w:lang w:val="en-GB" w:eastAsia="en-GB"/>
    </w:rPr>
  </w:style>
  <w:style w:type="paragraph" w:styleId="BalloonText">
    <w:name w:val="Balloon Text"/>
    <w:basedOn w:val="Normal"/>
    <w:link w:val="BalloonTextChar"/>
    <w:uiPriority w:val="99"/>
    <w:semiHidden/>
    <w:unhideWhenUsed/>
    <w:rsid w:val="00106A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6AF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3003B"/>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B3003B"/>
  </w:style>
  <w:style w:type="paragraph" w:styleId="Footer">
    <w:name w:val="footer"/>
    <w:basedOn w:val="Normal"/>
    <w:link w:val="FooterChar"/>
    <w:uiPriority w:val="99"/>
    <w:semiHidden/>
    <w:unhideWhenUsed/>
    <w:rsid w:val="00B3003B"/>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B3003B"/>
  </w:style>
  <w:style w:type="character" w:styleId="CommentReference">
    <w:name w:val="annotation reference"/>
    <w:uiPriority w:val="99"/>
    <w:semiHidden/>
    <w:unhideWhenUsed/>
    <w:rsid w:val="00B3003B"/>
    <w:rPr>
      <w:sz w:val="16"/>
      <w:szCs w:val="16"/>
      <w:lang w:val="en-GB" w:eastAsia="en-GB"/>
    </w:rPr>
  </w:style>
  <w:style w:type="paragraph" w:styleId="CommentText">
    <w:name w:val="annotation text"/>
    <w:basedOn w:val="Normal"/>
    <w:link w:val="CommentTextChar"/>
    <w:uiPriority w:val="99"/>
    <w:semiHidden/>
    <w:unhideWhenUsed/>
    <w:rsid w:val="00B3003B"/>
    <w:rPr>
      <w:rFonts w:ascii="Calibri" w:eastAsia="Calibri" w:hAnsi="Calibri" w:cs="Times New Roman"/>
      <w:sz w:val="20"/>
      <w:szCs w:val="20"/>
      <w:lang w:val="en-GB" w:eastAsia="en-GB"/>
    </w:rPr>
  </w:style>
  <w:style w:type="character" w:customStyle="1" w:styleId="CommentTextChar">
    <w:name w:val="Comment Text Char"/>
    <w:basedOn w:val="DefaultParagraphFont"/>
    <w:link w:val="CommentText"/>
    <w:uiPriority w:val="99"/>
    <w:semiHidden/>
    <w:rsid w:val="00B3003B"/>
    <w:rPr>
      <w:rFonts w:ascii="Calibri" w:eastAsia="Calibri" w:hAnsi="Calibri" w:cs="Times New Roman"/>
      <w:sz w:val="20"/>
      <w:szCs w:val="20"/>
      <w:lang w:val="en-GB" w:eastAsia="en-GB"/>
    </w:rPr>
  </w:style>
  <w:style w:type="paragraph" w:styleId="BalloonText">
    <w:name w:val="Balloon Text"/>
    <w:basedOn w:val="Normal"/>
    <w:link w:val="BalloonTextChar"/>
    <w:uiPriority w:val="99"/>
    <w:semiHidden/>
    <w:unhideWhenUsed/>
    <w:rsid w:val="00106A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6AF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dreamsodigeo.com" TargetMode="External"/><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edreamsodigeo.com"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549</Words>
  <Characters>2914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Nilsson</dc:creator>
  <cp:lastModifiedBy>Anna Nilsson</cp:lastModifiedBy>
  <cp:revision>2</cp:revision>
  <cp:lastPrinted>2015-02-26T08:23:00Z</cp:lastPrinted>
  <dcterms:created xsi:type="dcterms:W3CDTF">2015-02-26T08:23:00Z</dcterms:created>
  <dcterms:modified xsi:type="dcterms:W3CDTF">2015-02-26T08:23:00Z</dcterms:modified>
</cp:coreProperties>
</file>