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1E86A3E7" w14:textId="77777777" w:rsidR="00FA0172" w:rsidRDefault="00FA0172" w:rsidP="00FA0172">
      <w:pPr>
        <w:pStyle w:val="titel"/>
        <w:jc w:val="right"/>
        <w:rPr>
          <w:rFonts w:ascii="Titillium Lt" w:hAnsi="Titillium Lt" w:cs="Titillium Lt"/>
          <w:sz w:val="22"/>
          <w:szCs w:val="22"/>
        </w:rPr>
      </w:pPr>
      <w:r>
        <w:rPr>
          <w:sz w:val="22"/>
          <w:szCs w:val="22"/>
        </w:rPr>
        <w:tab/>
        <w:t>Goetheanum, Dornach, Suiza, 18 de junio de 2026</w:t>
      </w:r>
    </w:p>
    <w:p w14:paraId="2E4A9CA0" w14:textId="77777777" w:rsidR="00FA0172" w:rsidRDefault="00FA0172" w:rsidP="00FA0172">
      <w:pPr>
        <w:pStyle w:val="titel"/>
        <w:rPr>
          <w:sz w:val="28"/>
          <w:szCs w:val="28"/>
        </w:rPr>
      </w:pPr>
    </w:p>
    <w:p w14:paraId="7F677971" w14:textId="77777777" w:rsidR="00FA0172" w:rsidRPr="00FA0172" w:rsidRDefault="00FA0172" w:rsidP="00FA0172">
      <w:pPr>
        <w:pStyle w:val="titel"/>
        <w:spacing w:before="57"/>
        <w:rPr>
          <w:b/>
          <w:bCs/>
          <w:sz w:val="28"/>
          <w:szCs w:val="28"/>
        </w:rPr>
      </w:pPr>
      <w:r w:rsidRPr="00FA0172">
        <w:rPr>
          <w:b/>
          <w:bCs/>
          <w:sz w:val="28"/>
          <w:szCs w:val="28"/>
        </w:rPr>
        <w:t>La innovación, fruto de intercambio</w:t>
      </w:r>
    </w:p>
    <w:p w14:paraId="3FAAE3A7" w14:textId="77777777" w:rsidR="00FA0172" w:rsidRPr="00FA0172" w:rsidRDefault="00FA0172" w:rsidP="00FA0172">
      <w:pPr>
        <w:pStyle w:val="titel"/>
        <w:spacing w:before="57"/>
        <w:rPr>
          <w:b/>
          <w:bCs/>
          <w:sz w:val="24"/>
          <w:szCs w:val="24"/>
        </w:rPr>
      </w:pPr>
      <w:r w:rsidRPr="00FA0172">
        <w:rPr>
          <w:b/>
          <w:bCs/>
          <w:sz w:val="24"/>
          <w:szCs w:val="24"/>
        </w:rPr>
        <w:t>Nueva serie del podcast ‹Living Farms› de la Sección de Agricultura en el Goetheanum</w:t>
      </w:r>
    </w:p>
    <w:p w14:paraId="19EC6466" w14:textId="77777777" w:rsidR="00FA0172" w:rsidRPr="00FA0172" w:rsidRDefault="00FA0172" w:rsidP="00FA0172">
      <w:pPr>
        <w:pStyle w:val="body"/>
        <w:rPr>
          <w:b/>
          <w:bCs/>
        </w:rPr>
      </w:pPr>
    </w:p>
    <w:p w14:paraId="1CD451A8" w14:textId="77777777" w:rsidR="00FA0172" w:rsidRPr="00FA0172" w:rsidRDefault="00FA0172" w:rsidP="00FA0172">
      <w:pPr>
        <w:pStyle w:val="body"/>
        <w:rPr>
          <w:rFonts w:ascii="Titillium" w:hAnsi="Titillium" w:cs="Titillium"/>
          <w:b/>
          <w:bCs/>
          <w:sz w:val="21"/>
          <w:szCs w:val="21"/>
        </w:rPr>
      </w:pPr>
      <w:r w:rsidRPr="00FA0172">
        <w:rPr>
          <w:rFonts w:ascii="Titillium" w:hAnsi="Titillium" w:cs="Titillium"/>
          <w:b/>
          <w:bCs/>
          <w:spacing w:val="-1"/>
          <w:sz w:val="21"/>
          <w:szCs w:val="21"/>
        </w:rPr>
        <w:t>Eduardo Rincón, codirector de la Sección de Agricultura, se entrevista mensualmente con invitados internacionales en el podcast ‹Living Farms›. En los diálogos, se cuestionan paradigmas existentes y se presentan nuevas formas de desarrollar una agricultura que promueve la vida en todos sus aspectos.</w:t>
      </w:r>
    </w:p>
    <w:p w14:paraId="184D6124" w14:textId="77777777" w:rsidR="00FA0172" w:rsidRDefault="00FA0172" w:rsidP="00FA0172">
      <w:pPr>
        <w:pStyle w:val="body"/>
        <w:rPr>
          <w:rFonts w:ascii="Titillium" w:hAnsi="Titillium" w:cs="Titillium"/>
          <w:spacing w:val="1"/>
          <w:sz w:val="21"/>
          <w:szCs w:val="21"/>
        </w:rPr>
      </w:pPr>
    </w:p>
    <w:p w14:paraId="6B946403" w14:textId="77777777" w:rsidR="00FA0172" w:rsidRDefault="00FA0172" w:rsidP="00FA0172">
      <w:pPr>
        <w:pStyle w:val="body"/>
        <w:rPr>
          <w:rFonts w:ascii="Titillium" w:hAnsi="Titillium" w:cs="Titillium"/>
          <w:spacing w:val="1"/>
          <w:sz w:val="21"/>
          <w:szCs w:val="21"/>
        </w:rPr>
      </w:pPr>
      <w:r>
        <w:rPr>
          <w:rFonts w:ascii="Titillium" w:hAnsi="Titillium" w:cs="Titillium"/>
          <w:spacing w:val="1"/>
          <w:sz w:val="21"/>
          <w:szCs w:val="21"/>
        </w:rPr>
        <w:t xml:space="preserve">El declive forestal y la deforestación a gran escala dan un pésimo panorama de la salud de los bosques y las selvas. La agrónoma brasileña Natalia Muguet, invitada del primer episodio de la nueva serie ‹Biodinámica y Agroecología Integral› del podcast ‹Living Farms›, habla de su proyecto de regenerar paisajes degradados y crear sistemas productivos, diversos y estables. El proyecto abarca plantaciones en varias capas, poda sistemática y acumulación de biomasa. El conjunto de estas medidas dirige el flujo de energía y aumenta la fertilidad del suelo. </w:t>
      </w:r>
    </w:p>
    <w:p w14:paraId="36CDC14C" w14:textId="77777777" w:rsidR="00FA0172" w:rsidRDefault="00FA0172" w:rsidP="00FA0172">
      <w:pPr>
        <w:pStyle w:val="body"/>
        <w:spacing w:before="113"/>
        <w:rPr>
          <w:rFonts w:ascii="Titillium" w:hAnsi="Titillium" w:cs="Titillium"/>
          <w:spacing w:val="1"/>
          <w:sz w:val="21"/>
          <w:szCs w:val="21"/>
        </w:rPr>
      </w:pPr>
      <w:r>
        <w:rPr>
          <w:rFonts w:ascii="Titillium" w:hAnsi="Titillium" w:cs="Titillium"/>
          <w:spacing w:val="1"/>
          <w:sz w:val="21"/>
          <w:szCs w:val="21"/>
        </w:rPr>
        <w:t xml:space="preserve">Mediante la poda dirigida y el reciclaje de material orgánico en el sistema, el suelo se va mejorando de forma continua. En lugar de retirar recursos, se crean ciclos de autoalimentación que aumentan la productividad a largo plazo. Las plantas medicinales y útiles tienen una función especial en este contexto. Las plantas medicinales promueven la vitalidad del suelo, estabilizan los procesos ecológicos y contribuyen a la regeneración de las zonas perjudicadas. Así, las plantas no solo se consideran un factor de rendimiento, sino también elementos clave para crear y mantener un sistema vivo. </w:t>
      </w:r>
    </w:p>
    <w:p w14:paraId="0E7D6458" w14:textId="77777777" w:rsidR="00FA0172" w:rsidRDefault="00FA0172" w:rsidP="00FA0172">
      <w:pPr>
        <w:pStyle w:val="body"/>
        <w:spacing w:before="113"/>
        <w:rPr>
          <w:rFonts w:ascii="Titillium" w:hAnsi="Titillium" w:cs="Titillium"/>
          <w:spacing w:val="1"/>
          <w:sz w:val="21"/>
          <w:szCs w:val="21"/>
        </w:rPr>
      </w:pPr>
      <w:r>
        <w:rPr>
          <w:rFonts w:ascii="Titillium" w:hAnsi="Titillium" w:cs="Titillium"/>
          <w:spacing w:val="1"/>
          <w:sz w:val="21"/>
          <w:szCs w:val="21"/>
        </w:rPr>
        <w:t>Eduardo Rincón ve «un potencial futuro significativo en la combinación de la agricultura biodinámica con otros enfoques holísticos como la agricultura ecológica, la permacultura y la agricultura sintrópica». «La innovación», dice, «se produce a través del intercambio, la investigación conjunta, los ensayos prácticos y la cooperación interdisciplinar. Diferentes perspectivas sobre suelos, plantas, ecosistemas y personas abren nuevas respuestas a los desafíos urgentes de nuestro tiempo, ya sea el cambio climático, la pérdida de biodiversidad o la presión económica.» En el segundo episodio de la nueva serie, el horticultor Tom Saat, del pueblo Stadsboerderij en Almere, Países Bajos, ilustra cómo los métodos de agricultura biodinámica pueden convertir los desafíos regionales en oportunidades.</w:t>
      </w:r>
    </w:p>
    <w:p w14:paraId="7B7F2E60" w14:textId="77777777" w:rsidR="00FA0172" w:rsidRDefault="00FA0172" w:rsidP="00FA0172">
      <w:pPr>
        <w:pStyle w:val="body"/>
        <w:spacing w:before="113"/>
        <w:rPr>
          <w:rFonts w:ascii="Titillium" w:hAnsi="Titillium" w:cs="Titillium"/>
          <w:spacing w:val="1"/>
          <w:sz w:val="21"/>
          <w:szCs w:val="21"/>
        </w:rPr>
      </w:pPr>
      <w:r>
        <w:rPr>
          <w:rFonts w:ascii="Titillium" w:hAnsi="Titillium" w:cs="Titillium"/>
          <w:spacing w:val="1"/>
          <w:sz w:val="21"/>
          <w:szCs w:val="21"/>
        </w:rPr>
        <w:t>La serie ‹Biodinámica y Agroecología Integral› va dirigida a expertos y a cualquier persona interesada en la agroecología holística y los sistemas alimentarios sostenibles. Todo aquel que desee profundizar sus conocimientos, puede registrarse en la ‹Red Biodinámica› para desarrollar los contenidos junto con otros.</w:t>
      </w:r>
    </w:p>
    <w:p w14:paraId="592311BC" w14:textId="77777777" w:rsidR="00FA0172" w:rsidRDefault="00FA0172" w:rsidP="00FA0172">
      <w:pPr>
        <w:pStyle w:val="body"/>
        <w:jc w:val="right"/>
        <w:rPr>
          <w:rFonts w:ascii="Titillium" w:hAnsi="Titillium" w:cs="Titillium"/>
          <w:sz w:val="21"/>
          <w:szCs w:val="21"/>
        </w:rPr>
      </w:pPr>
      <w:r>
        <w:rPr>
          <w:rFonts w:ascii="Titillium" w:hAnsi="Titillium" w:cs="Titillium"/>
          <w:sz w:val="21"/>
          <w:szCs w:val="21"/>
        </w:rPr>
        <w:t>(2567 caracteres/Sebastian Jüngel; traducido por Michael Kranawetvogl)</w:t>
      </w:r>
    </w:p>
    <w:p w14:paraId="316C32B0" w14:textId="77777777" w:rsidR="00FA0172" w:rsidRDefault="00FA0172" w:rsidP="00FA0172">
      <w:pPr>
        <w:pStyle w:val="body"/>
        <w:spacing w:before="57"/>
        <w:rPr>
          <w:rFonts w:ascii="Titillium" w:hAnsi="Titillium" w:cs="Titillium"/>
          <w:spacing w:val="1"/>
          <w:sz w:val="21"/>
          <w:szCs w:val="21"/>
        </w:rPr>
      </w:pPr>
      <w:r>
        <w:rPr>
          <w:rFonts w:ascii="Titillium Bd" w:hAnsi="Titillium Bd" w:cs="Titillium Bd"/>
          <w:b/>
          <w:bCs/>
          <w:spacing w:val="1"/>
          <w:sz w:val="21"/>
          <w:szCs w:val="21"/>
        </w:rPr>
        <w:t xml:space="preserve">Podcast ‹Living Farms› (inglés) </w:t>
      </w:r>
      <w:r>
        <w:rPr>
          <w:rFonts w:ascii="Titillium" w:hAnsi="Titillium" w:cs="Titillium"/>
          <w:spacing w:val="1"/>
          <w:sz w:val="21"/>
          <w:szCs w:val="21"/>
        </w:rPr>
        <w:t>www.sektion-landwirtschaft.org/en/living-farms/podcasts</w:t>
      </w:r>
    </w:p>
    <w:p w14:paraId="1EE1582A" w14:textId="77777777" w:rsidR="00FA0172" w:rsidRDefault="00FA0172" w:rsidP="00FA0172">
      <w:pPr>
        <w:pStyle w:val="body"/>
        <w:spacing w:before="57"/>
        <w:rPr>
          <w:rFonts w:ascii="Titillium" w:hAnsi="Titillium" w:cs="Titillium"/>
          <w:spacing w:val="1"/>
          <w:sz w:val="21"/>
          <w:szCs w:val="21"/>
        </w:rPr>
      </w:pPr>
      <w:r>
        <w:rPr>
          <w:rFonts w:ascii="Titillium Bd" w:hAnsi="Titillium Bd" w:cs="Titillium Bd"/>
          <w:b/>
          <w:bCs/>
          <w:spacing w:val="1"/>
          <w:sz w:val="21"/>
          <w:szCs w:val="21"/>
        </w:rPr>
        <w:t>‹Red Biodinámica› para miembros del movimiento biodinámico</w:t>
      </w:r>
      <w:r>
        <w:rPr>
          <w:rFonts w:ascii="Titillium" w:hAnsi="Titillium" w:cs="Titillium"/>
          <w:spacing w:val="1"/>
          <w:sz w:val="21"/>
          <w:szCs w:val="21"/>
        </w:rPr>
        <w:t xml:space="preserve"> community.sektion-landwirtschaft.org</w:t>
      </w:r>
    </w:p>
    <w:p w14:paraId="7DBB424B" w14:textId="63932B45" w:rsidR="006E7E7B" w:rsidRDefault="00FA0172" w:rsidP="00FA0172">
      <w:pPr>
        <w:pStyle w:val="body"/>
        <w:spacing w:before="113"/>
      </w:pPr>
      <w:r>
        <w:rPr>
          <w:rFonts w:ascii="Titillium Bd" w:hAnsi="Titillium Bd" w:cs="Titillium Bd"/>
          <w:b/>
          <w:bCs/>
          <w:spacing w:val="1"/>
          <w:sz w:val="21"/>
          <w:szCs w:val="21"/>
        </w:rPr>
        <w:t>Contacto</w:t>
      </w:r>
      <w:r>
        <w:rPr>
          <w:rFonts w:ascii="Titillium" w:hAnsi="Titillium" w:cs="Titillium"/>
          <w:spacing w:val="1"/>
          <w:sz w:val="21"/>
          <w:szCs w:val="21"/>
        </w:rPr>
        <w:t xml:space="preserve"> Anna Storchenegger, anna.storchenegger@goetheanum.ch</w:t>
      </w:r>
    </w:p>
    <w:sectPr w:rsidR="006E7E7B" w:rsidSect="00FA0172">
      <w:pgSz w:w="11906" w:h="16838"/>
      <w:pgMar w:top="851" w:right="1985" w:bottom="851"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E7E7B"/>
    <w:rsid w:val="006F57DB"/>
    <w:rsid w:val="007A3A2F"/>
    <w:rsid w:val="0081275A"/>
    <w:rsid w:val="00B90BB3"/>
    <w:rsid w:val="00E82B89"/>
    <w:rsid w:val="00EC40E3"/>
    <w:rsid w:val="00FA017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423</Words>
  <Characters>2665</Characters>
  <Application>Microsoft Office Word</Application>
  <DocSecurity>0</DocSecurity>
  <Lines>22</Lines>
  <Paragraphs>6</Paragraphs>
  <ScaleCrop>false</ScaleCrop>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2026-06-18T16:14:00Z</dcterms:modified>
</cp:coreProperties>
</file>