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419B" w14:textId="77777777" w:rsidR="007A5A98" w:rsidRPr="007A5A98" w:rsidRDefault="007A5A98" w:rsidP="007A5A98">
      <w:pPr>
        <w:spacing w:line="254" w:lineRule="auto"/>
        <w:ind w:right="1984"/>
        <w:rPr>
          <w:rFonts w:ascii="IBM Plex Sans" w:hAnsi="IBM Plex Sans"/>
          <w:sz w:val="24"/>
          <w:szCs w:val="24"/>
          <w:lang w:val="en-US"/>
        </w:rPr>
      </w:pPr>
      <w:r w:rsidRPr="007A5A98">
        <w:rPr>
          <w:rFonts w:ascii="IBM Plex Sans" w:hAnsi="IBM Plex Sans"/>
          <w:sz w:val="24"/>
          <w:szCs w:val="24"/>
          <w:lang w:val="bg-BG"/>
        </w:rPr>
        <w:t>SUNOTEC привлича капиталова инвестиция</w:t>
      </w:r>
      <w:r w:rsidRPr="007A5A98">
        <w:rPr>
          <w:rFonts w:ascii="IBM Plex Sans" w:hAnsi="IBM Plex Sans"/>
          <w:sz w:val="24"/>
          <w:szCs w:val="24"/>
          <w:lang w:val="en-GB"/>
        </w:rPr>
        <w:t xml:space="preserve"> </w:t>
      </w:r>
      <w:r w:rsidRPr="007A5A98">
        <w:rPr>
          <w:rFonts w:ascii="IBM Plex Sans" w:hAnsi="IBM Plex Sans"/>
          <w:sz w:val="24"/>
          <w:szCs w:val="24"/>
          <w:lang w:val="bg-BG"/>
        </w:rPr>
        <w:t xml:space="preserve">от </w:t>
      </w:r>
      <w:proofErr w:type="spellStart"/>
      <w:r w:rsidRPr="007A5A98">
        <w:rPr>
          <w:rFonts w:ascii="IBM Plex Sans" w:hAnsi="IBM Plex Sans"/>
          <w:sz w:val="24"/>
          <w:szCs w:val="24"/>
          <w:lang w:val="bg-BG"/>
        </w:rPr>
        <w:t>Blackstone</w:t>
      </w:r>
      <w:proofErr w:type="spellEnd"/>
      <w:r w:rsidRPr="007A5A98">
        <w:rPr>
          <w:rFonts w:ascii="IBM Plex Sans" w:hAnsi="IBM Plex Sans"/>
          <w:sz w:val="24"/>
          <w:szCs w:val="24"/>
          <w:lang w:val="bg-BG"/>
        </w:rPr>
        <w:t xml:space="preserve"> за ускоряване на експанзията си във възобновяема енергийна инфраструктура</w:t>
      </w:r>
    </w:p>
    <w:p w14:paraId="05ECB4B1" w14:textId="77777777" w:rsidR="006656D6" w:rsidRPr="006656D6" w:rsidRDefault="006656D6">
      <w:pPr>
        <w:spacing w:line="254" w:lineRule="auto"/>
        <w:ind w:right="1984"/>
        <w:rPr>
          <w:rFonts w:ascii="IBM Plex Sans" w:hAnsi="IBM Plex Sans"/>
          <w:i/>
          <w:iCs/>
          <w:sz w:val="24"/>
          <w:szCs w:val="24"/>
          <w:lang w:val="en-ZA"/>
        </w:rPr>
      </w:pPr>
    </w:p>
    <w:p w14:paraId="7C7EC589" w14:textId="5AF4BC4E" w:rsidR="006656D6" w:rsidRDefault="007A5A98">
      <w:pPr>
        <w:ind w:right="1984"/>
        <w:rPr>
          <w:rFonts w:ascii="IBM Plex Sans" w:hAnsi="IBM Plex Sans"/>
          <w:i/>
          <w:iCs/>
          <w:sz w:val="18"/>
          <w:szCs w:val="18"/>
          <w:lang w:val="en-GB"/>
        </w:rPr>
      </w:pP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Партньорството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подкрепя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международната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експанзия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на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SUNOTEC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и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засилва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капацитета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на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компанията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в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изграждането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на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мрежова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инфраструктура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и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възобновяема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i/>
          <w:iCs/>
          <w:sz w:val="18"/>
          <w:szCs w:val="18"/>
          <w:lang w:val="bg-BG"/>
        </w:rPr>
        <w:t>енергия</w:t>
      </w:r>
      <w:r w:rsidRPr="007A5A98">
        <w:rPr>
          <w:rFonts w:ascii="IBM Plex Sans" w:hAnsi="IBM Plex Sans"/>
          <w:i/>
          <w:iCs/>
          <w:sz w:val="18"/>
          <w:szCs w:val="18"/>
          <w:lang w:val="bg-BG"/>
        </w:rPr>
        <w:t>.</w:t>
      </w:r>
    </w:p>
    <w:p w14:paraId="3D5D6BF0" w14:textId="77777777" w:rsidR="007A5A98" w:rsidRPr="007A5A98" w:rsidRDefault="007A5A98">
      <w:pPr>
        <w:ind w:right="1984"/>
        <w:rPr>
          <w:rFonts w:ascii="IBM Plex Sans" w:hAnsi="IBM Plex Sans"/>
          <w:sz w:val="18"/>
          <w:szCs w:val="18"/>
          <w:lang w:val="en-GB"/>
        </w:rPr>
      </w:pPr>
    </w:p>
    <w:p w14:paraId="7D5F7B92" w14:textId="6607DF59" w:rsidR="004F65AE" w:rsidRDefault="007A5A98">
      <w:pPr>
        <w:ind w:right="1984"/>
        <w:rPr>
          <w:rFonts w:ascii="IBM Plex Sans" w:hAnsi="IBM Plex Sans"/>
          <w:b/>
          <w:bCs/>
          <w:sz w:val="18"/>
          <w:szCs w:val="18"/>
          <w:lang w:val="en-GB"/>
        </w:rPr>
      </w:pP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>[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ЛОНДОН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, 07/04] – SUNOTEC,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един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от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водещите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европейски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строители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интегратори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на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мащабни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соларни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проекти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индустриални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батерии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за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съхранение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на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енергия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,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обяви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капиталова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инвестиция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от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фондове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,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управлявани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от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proofErr w:type="spellStart"/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>Blackstone</w:t>
      </w:r>
      <w:proofErr w:type="spellEnd"/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proofErr w:type="spellStart"/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>Tactical</w:t>
      </w:r>
      <w:proofErr w:type="spellEnd"/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proofErr w:type="spellStart"/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>Opportunities</w:t>
      </w:r>
      <w:proofErr w:type="spellEnd"/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>.</w:t>
      </w:r>
    </w:p>
    <w:p w14:paraId="258799A3" w14:textId="77777777" w:rsidR="007A5A98" w:rsidRPr="007A5A98" w:rsidRDefault="007A5A98">
      <w:pPr>
        <w:ind w:right="1984"/>
        <w:rPr>
          <w:rFonts w:ascii="IBM Plex Sans" w:hAnsi="IBM Plex Sans"/>
          <w:b/>
          <w:bCs/>
          <w:sz w:val="18"/>
          <w:szCs w:val="18"/>
          <w:lang w:val="en-GB"/>
        </w:rPr>
      </w:pPr>
    </w:p>
    <w:p w14:paraId="71833E27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Инвестицията на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Blackstone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ще подкрепи растежа на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Sunotec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в ключови за компанията европейски пазари, включително Германия, Великобритания, Скандинавия и Югоизточна Европа, като същевременно ще ускори развитието на съществуващи услуги и ще позволи навлизането в нови направления, включително изграждане на мрежова инфраструктура.</w:t>
      </w:r>
    </w:p>
    <w:p w14:paraId="52F45348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022BC767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Партньорството цели да разшири портфейла от инвестиции на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Sunotec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в хибридни ВЕИ активи и устойчива енергийна инфраструктура.</w:t>
      </w:r>
    </w:p>
    <w:p w14:paraId="648D7084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21225757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Sunotec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се утвърди като един от водещите интегратори на мащабни соларни проекти и системи за съхранение на електроенергия в Европа. Компанията е инсталирала приблизително 15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ГВт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фотоволтаични централи на различни пазари, включително 5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ГВт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соларни мощности и 5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ГВч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батерии за съхранение на електроенергия (BESS) само през последните две години, възползвайки се от дългосрочните тенденции за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декарбонизация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и електрификация.</w:t>
      </w:r>
    </w:p>
    <w:p w14:paraId="3D7D77DA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116BB878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Усп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en-US"/>
        </w:rPr>
        <w:t>o</w:t>
      </w: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редно с това,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Sunotec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развива бързо растящ и географски диверсифициран портфейл от собствени енергийни проекти, обхващащ различни възобновяеми технологии. Компанията има амбициозни планове да продължи инвестициите си в подобни активи, допринасяйки за енергийната трансформация на Европа.</w:t>
      </w:r>
    </w:p>
    <w:p w14:paraId="6C909800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022431FD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Сделката свързва инвестиционния фокус на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Blackstone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върху дигиталната и енергийната инфраструктура с лидерската позиция на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Sunotec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в проектирането, изграждането, поддръжката и експлоатацията на мащабни фотоволтаични и батерийни системи, както и експертизата на компанията в интеграцията на средно- и високоволтова мрежова инфраструктура.</w:t>
      </w:r>
    </w:p>
    <w:p w14:paraId="419E5F4C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73BABCC7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Основателите на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Sunotec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ще запазят контрола върху компанията и ще продължат да я ръководят, както на стратегическо, така и на оперативно ниво. </w:t>
      </w:r>
    </w:p>
    <w:p w14:paraId="5DE90ACA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504FC1D2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>Калоян Величков, Основател и главен изпълнителен директор, заяви:</w:t>
      </w:r>
    </w:p>
    <w:p w14:paraId="1ECB7859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7ED4A6C0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„Инвестицията на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Blackstone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бележи важен етап в развитието на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Sunotec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. През последните 13 години екипът ни създаде един от европейските лидери в соларната енергия и батерийното съхранение. Постигнахме това чрез ефективност, бързина и фокус върху изпълнението. С партньор като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Blackstone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ще ускорим експанзията си в Европа и ще навлезем на нови пазари. Енергийният преход изисква по-бързо внедряване на възобновяеми източници, батерии и </w:t>
      </w: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lastRenderedPageBreak/>
        <w:t>мрежова инфраструктура – това партньорство ни дава възможност да работим в още по-голям мащаб.“</w:t>
      </w:r>
    </w:p>
    <w:p w14:paraId="3F0E0B56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18D5B830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</w:pPr>
      <w:proofErr w:type="spellStart"/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>Амер</w:t>
      </w:r>
      <w:proofErr w:type="spellEnd"/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 xml:space="preserve"> </w:t>
      </w:r>
      <w:proofErr w:type="spellStart"/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>Хатун</w:t>
      </w:r>
      <w:proofErr w:type="spellEnd"/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 xml:space="preserve">, Старши управляващ директор в </w:t>
      </w:r>
      <w:proofErr w:type="spellStart"/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>Blackstone</w:t>
      </w:r>
      <w:proofErr w:type="spellEnd"/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 xml:space="preserve"> </w:t>
      </w:r>
      <w:proofErr w:type="spellStart"/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>Tactical</w:t>
      </w:r>
      <w:proofErr w:type="spellEnd"/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 xml:space="preserve"> </w:t>
      </w:r>
      <w:proofErr w:type="spellStart"/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>Opportunities</w:t>
      </w:r>
      <w:proofErr w:type="spellEnd"/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>, заяви:</w:t>
      </w:r>
    </w:p>
    <w:p w14:paraId="5A07CA06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77DE380B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„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Sunotec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е изградил силна репутация в реализирането и управлението на мащабни соларни и батерийни проекти. Радваме се да си партнираме с компанията, която ще продължи да разширява интегрираната си платформа, да увеличава портфолиото си от опериращи активи и да развива капацитета си в мрежова инфраструктура.</w:t>
      </w:r>
    </w:p>
    <w:p w14:paraId="23190578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11F38FA8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J.P.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Morgan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SE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изпъляваше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ролята на водещ финансов консултант и инвестиционен посредник на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Sunotec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, а правни консултанти бяха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Linklaters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и DGKV .</w:t>
      </w:r>
    </w:p>
    <w:p w14:paraId="47DAE950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34356E44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Nomura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Greentech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бе в ролята на финансов консултант, 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Kirkland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&amp;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Ellis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LLP в ролята на правен консултант на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Blackstone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.</w:t>
      </w:r>
    </w:p>
    <w:p w14:paraId="00D3F622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3F291A36" w14:textId="07452EFE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en-GB"/>
        </w:rPr>
      </w:pP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Сделката подлежи на регулаторни одобрения и се очаква да бъде финализирана през първата половина на 2026 г.</w:t>
      </w:r>
    </w:p>
    <w:p w14:paraId="645FE632" w14:textId="77777777" w:rsidR="006656D6" w:rsidRPr="004F65AE" w:rsidRDefault="006656D6" w:rsidP="006656D6">
      <w:pPr>
        <w:ind w:right="1984"/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</w:pPr>
    </w:p>
    <w:p w14:paraId="49C9B358" w14:textId="77777777" w:rsidR="006656D6" w:rsidRPr="004F65AE" w:rsidRDefault="006656D6" w:rsidP="006656D6">
      <w:pPr>
        <w:ind w:right="1984"/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</w:pPr>
    </w:p>
    <w:p w14:paraId="773F11E6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>Относно SUNOTEC</w:t>
      </w:r>
    </w:p>
    <w:p w14:paraId="499EA7E7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</w:pPr>
    </w:p>
    <w:p w14:paraId="669C32CA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SUNOTEC е международен системен интегратор на мащабни проекти за възобновяема енергия, специализиран в проектирането и реализирането на хибридни енергийни системи. Компанията създава надеждни и устойчиви енергийни решения, чрез опита си в целия жизнен цикъл в сферата на възобновяемите енергийни проекти, като съчетава производството и съхранението на електроенергия и изграждането на ключова електропреносна инфраструктура .</w:t>
      </w:r>
    </w:p>
    <w:p w14:paraId="1155627A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13AF95CD" w14:textId="77777777" w:rsidR="007A5A98" w:rsidRPr="007A5A98" w:rsidRDefault="007A5A98" w:rsidP="007A5A98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Основана през 2012 г., SUNOTEC е реализирала над 680 фотоволтаични инсталации с над 15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ГВт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общ инсталиран капацитет и повече от 5 </w:t>
      </w:r>
      <w:proofErr w:type="spellStart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>ГВч</w:t>
      </w:r>
      <w:proofErr w:type="spellEnd"/>
      <w:r w:rsidRPr="007A5A98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проекти за съхранение на енергия с батерии в Европа и извън нея. Със седалище в София, България, и допълнителни офиси в Германия и Обединеното кралство, компанията прилага международния си опит за изпълнение на проекти съгласно местните изисквания на страни в цяла Европа. SUNOTEC има над 2 000 служители по целия свят и продължава да се разширява в нови пазари чрез стратегически партньорства и съвместни предприятия.</w:t>
      </w:r>
    </w:p>
    <w:p w14:paraId="079C597B" w14:textId="77777777" w:rsidR="006656D6" w:rsidRPr="00822B44" w:rsidRDefault="006656D6" w:rsidP="006656D6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24A7BC3A" w14:textId="77777777" w:rsidR="006656D6" w:rsidRPr="00822B44" w:rsidRDefault="006656D6" w:rsidP="006656D6">
      <w:pPr>
        <w:ind w:right="1984"/>
        <w:rPr>
          <w:rFonts w:ascii="IBM Plex Sans" w:eastAsia="IBM Plex Sans" w:hAnsi="IBM Plex Sans" w:cs="IBM Plex Sans"/>
          <w:sz w:val="18"/>
          <w:szCs w:val="18"/>
          <w:lang w:val="bg-BG"/>
        </w:rPr>
      </w:pPr>
    </w:p>
    <w:p w14:paraId="11A2EED9" w14:textId="77777777" w:rsidR="00822B44" w:rsidRPr="00822B44" w:rsidRDefault="00822B44" w:rsidP="00822B44">
      <w:pPr>
        <w:tabs>
          <w:tab w:val="left" w:pos="4253"/>
          <w:tab w:val="left" w:pos="4678"/>
        </w:tabs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</w:pPr>
      <w:r w:rsidRPr="00822B44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 xml:space="preserve">Относно </w:t>
      </w:r>
      <w:proofErr w:type="spellStart"/>
      <w:r w:rsidRPr="00822B44"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  <w:t>Blackstone</w:t>
      </w:r>
      <w:proofErr w:type="spellEnd"/>
    </w:p>
    <w:p w14:paraId="32B1B8CD" w14:textId="77777777" w:rsidR="00822B44" w:rsidRPr="00822B44" w:rsidRDefault="00822B44" w:rsidP="00822B44">
      <w:pPr>
        <w:tabs>
          <w:tab w:val="left" w:pos="4253"/>
          <w:tab w:val="left" w:pos="4678"/>
        </w:tabs>
        <w:rPr>
          <w:rFonts w:ascii="IBM Plex Sans" w:eastAsia="IBM Plex Sans" w:hAnsi="IBM Plex Sans" w:cs="IBM Plex Sans"/>
          <w:b/>
          <w:bCs/>
          <w:sz w:val="18"/>
          <w:szCs w:val="18"/>
          <w:lang w:val="bg-BG"/>
        </w:rPr>
      </w:pPr>
    </w:p>
    <w:p w14:paraId="36B7AD49" w14:textId="77777777" w:rsidR="000C6722" w:rsidRDefault="000C6722" w:rsidP="000C6722">
      <w:pPr>
        <w:tabs>
          <w:tab w:val="left" w:pos="4253"/>
          <w:tab w:val="left" w:pos="4678"/>
        </w:tabs>
        <w:rPr>
          <w:rFonts w:ascii="IBM Plex Sans" w:eastAsia="IBM Plex Sans" w:hAnsi="IBM Plex Sans" w:cs="IBM Plex Sans"/>
          <w:sz w:val="18"/>
          <w:szCs w:val="18"/>
          <w:lang w:val="en-GB"/>
        </w:rPr>
      </w:pPr>
      <w:proofErr w:type="spellStart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Blackstone</w:t>
      </w:r>
      <w:proofErr w:type="spellEnd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е </w:t>
      </w:r>
      <w:proofErr w:type="spellStart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нaй</w:t>
      </w:r>
      <w:proofErr w:type="spellEnd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-големият фонд </w:t>
      </w:r>
      <w:proofErr w:type="spellStart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зa</w:t>
      </w:r>
      <w:proofErr w:type="spellEnd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</w:t>
      </w:r>
      <w:proofErr w:type="spellStart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yпpaвлeниe</w:t>
      </w:r>
      <w:proofErr w:type="spellEnd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</w:t>
      </w:r>
      <w:proofErr w:type="spellStart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нa</w:t>
      </w:r>
      <w:proofErr w:type="spellEnd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</w:t>
      </w:r>
      <w:proofErr w:type="spellStart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aлтepнaтивни</w:t>
      </w:r>
      <w:proofErr w:type="spellEnd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</w:t>
      </w:r>
      <w:proofErr w:type="spellStart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инвecтиции</w:t>
      </w:r>
      <w:proofErr w:type="spellEnd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в света.</w:t>
      </w:r>
    </w:p>
    <w:p w14:paraId="1A77C277" w14:textId="77777777" w:rsidR="000C6722" w:rsidRDefault="000C6722" w:rsidP="000C6722">
      <w:pPr>
        <w:tabs>
          <w:tab w:val="left" w:pos="4253"/>
          <w:tab w:val="left" w:pos="4678"/>
        </w:tabs>
        <w:rPr>
          <w:rFonts w:ascii="IBM Plex Sans" w:eastAsia="IBM Plex Sans" w:hAnsi="IBM Plex Sans" w:cs="IBM Plex Sans"/>
          <w:sz w:val="18"/>
          <w:szCs w:val="18"/>
          <w:lang w:val="en-GB"/>
        </w:rPr>
      </w:pPr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Фондът се стреми да осигурява атрактивна доходност за институционални и </w:t>
      </w:r>
    </w:p>
    <w:p w14:paraId="6EA2208F" w14:textId="77777777" w:rsidR="000C6722" w:rsidRDefault="000C6722" w:rsidP="000C6722">
      <w:pPr>
        <w:tabs>
          <w:tab w:val="left" w:pos="4253"/>
          <w:tab w:val="left" w:pos="4678"/>
        </w:tabs>
        <w:rPr>
          <w:rFonts w:ascii="IBM Plex Sans" w:eastAsia="IBM Plex Sans" w:hAnsi="IBM Plex Sans" w:cs="IBM Plex Sans"/>
          <w:sz w:val="18"/>
          <w:szCs w:val="18"/>
          <w:lang w:val="en-GB"/>
        </w:rPr>
      </w:pPr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индивидуални инвеститори, чрез подкрепа в развитието на компаниите, в които инвестира. </w:t>
      </w:r>
    </w:p>
    <w:p w14:paraId="01A0023F" w14:textId="77777777" w:rsidR="000C6722" w:rsidRDefault="000C6722" w:rsidP="000C6722">
      <w:pPr>
        <w:tabs>
          <w:tab w:val="left" w:pos="4253"/>
          <w:tab w:val="left" w:pos="4678"/>
        </w:tabs>
        <w:rPr>
          <w:rFonts w:ascii="IBM Plex Sans" w:eastAsia="IBM Plex Sans" w:hAnsi="IBM Plex Sans" w:cs="IBM Plex Sans"/>
          <w:sz w:val="18"/>
          <w:szCs w:val="18"/>
          <w:lang w:val="en-GB"/>
        </w:rPr>
      </w:pPr>
      <w:r w:rsidRPr="000C6722">
        <w:rPr>
          <w:rFonts w:ascii="IBM Plex Sans" w:eastAsia="IBM Plex Sans" w:hAnsi="IBM Plex Sans" w:cs="IBM Plex Sans"/>
          <w:sz w:val="18"/>
          <w:szCs w:val="18"/>
          <w:lang w:val="en-US"/>
        </w:rPr>
        <w:t>Blackstone</w:t>
      </w:r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управлява глобални активи на стойност 1.3 трилиона долара, които </w:t>
      </w:r>
    </w:p>
    <w:p w14:paraId="2231C09B" w14:textId="77777777" w:rsidR="000C6722" w:rsidRDefault="000C6722" w:rsidP="000C6722">
      <w:pPr>
        <w:tabs>
          <w:tab w:val="left" w:pos="4253"/>
          <w:tab w:val="left" w:pos="4678"/>
        </w:tabs>
        <w:rPr>
          <w:rFonts w:ascii="IBM Plex Sans" w:eastAsia="IBM Plex Sans" w:hAnsi="IBM Plex Sans" w:cs="IBM Plex Sans"/>
          <w:sz w:val="18"/>
          <w:szCs w:val="18"/>
          <w:lang w:val="en-GB"/>
        </w:rPr>
      </w:pPr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включват </w:t>
      </w:r>
      <w:proofErr w:type="spellStart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инвестициив</w:t>
      </w:r>
      <w:proofErr w:type="spellEnd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 недвижими имоти, дялови инвестиции, кредитни инструменти, </w:t>
      </w:r>
    </w:p>
    <w:p w14:paraId="239FA261" w14:textId="77777777" w:rsidR="000C6722" w:rsidRDefault="000C6722" w:rsidP="000C6722">
      <w:pPr>
        <w:tabs>
          <w:tab w:val="left" w:pos="4253"/>
          <w:tab w:val="left" w:pos="4678"/>
        </w:tabs>
        <w:rPr>
          <w:rFonts w:ascii="IBM Plex Sans" w:eastAsia="IBM Plex Sans" w:hAnsi="IBM Plex Sans" w:cs="IBM Plex Sans"/>
          <w:sz w:val="18"/>
          <w:szCs w:val="18"/>
          <w:lang w:val="en-GB"/>
        </w:rPr>
      </w:pPr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инфраструктура, естествени науки, растящи компании, последващи инвестиции и </w:t>
      </w:r>
    </w:p>
    <w:p w14:paraId="31CDE62B" w14:textId="77777777" w:rsidR="000C6722" w:rsidRDefault="000C6722" w:rsidP="000C6722">
      <w:pPr>
        <w:tabs>
          <w:tab w:val="left" w:pos="4253"/>
          <w:tab w:val="left" w:pos="4678"/>
        </w:tabs>
        <w:rPr>
          <w:rFonts w:ascii="IBM Plex Sans" w:eastAsia="IBM Plex Sans" w:hAnsi="IBM Plex Sans" w:cs="IBM Plex Sans"/>
          <w:sz w:val="18"/>
          <w:szCs w:val="18"/>
          <w:lang w:val="en-GB"/>
        </w:rPr>
      </w:pPr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хедж фондове. Повече информация е налична на </w:t>
      </w:r>
      <w:hyperlink r:id="rId10" w:history="1">
        <w:r w:rsidRPr="000C6722">
          <w:rPr>
            <w:rStyle w:val="Hyperlink"/>
            <w:rFonts w:ascii="IBM Plex Sans" w:eastAsia="IBM Plex Sans" w:hAnsi="IBM Plex Sans" w:cs="IBM Plex Sans"/>
            <w:sz w:val="18"/>
            <w:szCs w:val="18"/>
            <w:lang w:val="bg-BG"/>
          </w:rPr>
          <w:t>www.blackstone.com</w:t>
        </w:r>
      </w:hyperlink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. </w:t>
      </w:r>
    </w:p>
    <w:p w14:paraId="789A5F90" w14:textId="3E252374" w:rsidR="000C6722" w:rsidRPr="000C6722" w:rsidRDefault="000C6722" w:rsidP="000C6722">
      <w:pPr>
        <w:tabs>
          <w:tab w:val="left" w:pos="4253"/>
          <w:tab w:val="left" w:pos="4678"/>
        </w:tabs>
        <w:rPr>
          <w:rFonts w:ascii="IBM Plex Sans" w:eastAsia="IBM Plex Sans" w:hAnsi="IBM Plex Sans" w:cs="IBM Plex Sans"/>
          <w:sz w:val="18"/>
          <w:szCs w:val="18"/>
          <w:lang w:val="bg-BG"/>
        </w:rPr>
      </w:pPr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 xml:space="preserve">Следвайте @blackstone в </w:t>
      </w:r>
      <w:proofErr w:type="spellStart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LinkedIn</w:t>
      </w:r>
      <w:proofErr w:type="spellEnd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, X (</w:t>
      </w:r>
      <w:proofErr w:type="spellStart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Twitter</w:t>
      </w:r>
      <w:proofErr w:type="spellEnd"/>
      <w:r w:rsidRPr="000C6722">
        <w:rPr>
          <w:rFonts w:ascii="IBM Plex Sans" w:eastAsia="IBM Plex Sans" w:hAnsi="IBM Plex Sans" w:cs="IBM Plex Sans"/>
          <w:sz w:val="18"/>
          <w:szCs w:val="18"/>
          <w:lang w:val="bg-BG"/>
        </w:rPr>
        <w:t>) и Instagram.</w:t>
      </w:r>
    </w:p>
    <w:p w14:paraId="1F19FDA4" w14:textId="77777777" w:rsidR="009C54FE" w:rsidRPr="004F65AE" w:rsidRDefault="009C54FE">
      <w:pPr>
        <w:tabs>
          <w:tab w:val="left" w:pos="4253"/>
          <w:tab w:val="left" w:pos="4678"/>
        </w:tabs>
        <w:rPr>
          <w:rFonts w:ascii="IBM Plex Sans" w:hAnsi="IBM Plex Sans"/>
          <w:sz w:val="18"/>
          <w:szCs w:val="18"/>
          <w:lang w:val="bg-BG"/>
        </w:rPr>
      </w:pPr>
    </w:p>
    <w:p w14:paraId="432436CC" w14:textId="77777777" w:rsidR="67135285" w:rsidRPr="004F65AE" w:rsidRDefault="67135285" w:rsidP="67135285">
      <w:pPr>
        <w:tabs>
          <w:tab w:val="left" w:pos="4253"/>
          <w:tab w:val="left" w:pos="4678"/>
        </w:tabs>
        <w:rPr>
          <w:rFonts w:ascii="IBM Plex Sans" w:hAnsi="IBM Plex Sans"/>
          <w:sz w:val="18"/>
          <w:szCs w:val="18"/>
          <w:lang w:val="bg-BG"/>
        </w:rPr>
      </w:pPr>
    </w:p>
    <w:p w14:paraId="116E76F5" w14:textId="77777777" w:rsidR="0018339A" w:rsidRPr="007A5A98" w:rsidRDefault="0018339A" w:rsidP="0018339A">
      <w:pPr>
        <w:ind w:right="1984"/>
        <w:rPr>
          <w:rFonts w:ascii="IBM Plex Sans" w:hAnsi="IBM Plex Sans"/>
          <w:b/>
          <w:bCs/>
          <w:sz w:val="18"/>
          <w:szCs w:val="18"/>
          <w:lang w:val="bg-BG"/>
        </w:rPr>
      </w:pP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КОНТАКТИ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ЗА</w:t>
      </w:r>
      <w:r w:rsidRPr="007A5A98">
        <w:rPr>
          <w:rFonts w:ascii="IBM Plex Sans" w:hAnsi="IBM Plex Sans"/>
          <w:b/>
          <w:bCs/>
          <w:sz w:val="18"/>
          <w:szCs w:val="18"/>
          <w:lang w:val="bg-BG"/>
        </w:rPr>
        <w:t xml:space="preserve"> </w:t>
      </w:r>
      <w:r w:rsidRPr="007A5A98">
        <w:rPr>
          <w:rFonts w:ascii="IBM Plex Sans" w:hAnsi="IBM Plex Sans" w:hint="eastAsia"/>
          <w:b/>
          <w:bCs/>
          <w:sz w:val="18"/>
          <w:szCs w:val="18"/>
          <w:lang w:val="bg-BG"/>
        </w:rPr>
        <w:t>МЕДИИТЕ</w:t>
      </w:r>
    </w:p>
    <w:p w14:paraId="55D65837" w14:textId="77777777" w:rsidR="0018339A" w:rsidRPr="007A5A98" w:rsidRDefault="0018339A" w:rsidP="0018339A">
      <w:pPr>
        <w:ind w:right="1984"/>
        <w:rPr>
          <w:rFonts w:ascii="IBM Plex Sans" w:hAnsi="IBM Plex Sans"/>
          <w:b/>
          <w:bCs/>
          <w:sz w:val="18"/>
          <w:szCs w:val="18"/>
          <w:lang w:val="bg-BG"/>
        </w:rPr>
      </w:pPr>
    </w:p>
    <w:p w14:paraId="1B030D33" w14:textId="77777777" w:rsidR="0018339A" w:rsidRPr="0018339A" w:rsidRDefault="0018339A" w:rsidP="0018339A">
      <w:pPr>
        <w:ind w:right="1984"/>
        <w:rPr>
          <w:rFonts w:ascii="IBM Plex Sans" w:hAnsi="IBM Plex Sans"/>
          <w:sz w:val="18"/>
          <w:szCs w:val="18"/>
          <w:lang w:val="en-GB"/>
        </w:rPr>
      </w:pPr>
      <w:proofErr w:type="spellStart"/>
      <w:r w:rsidRPr="0018339A">
        <w:rPr>
          <w:rFonts w:ascii="IBM Plex Sans" w:hAnsi="IBM Plex Sans" w:hint="eastAsia"/>
          <w:sz w:val="18"/>
          <w:szCs w:val="18"/>
          <w:lang w:val="en-GB"/>
        </w:rPr>
        <w:t>Офис</w:t>
      </w:r>
      <w:proofErr w:type="spellEnd"/>
      <w:r w:rsidRPr="0018339A">
        <w:rPr>
          <w:rFonts w:ascii="IBM Plex Sans" w:hAnsi="IBM Plex Sans"/>
          <w:sz w:val="18"/>
          <w:szCs w:val="18"/>
          <w:lang w:val="en-GB"/>
        </w:rPr>
        <w:t xml:space="preserve"> </w:t>
      </w:r>
      <w:proofErr w:type="spellStart"/>
      <w:r w:rsidRPr="0018339A">
        <w:rPr>
          <w:rFonts w:ascii="IBM Plex Sans" w:hAnsi="IBM Plex Sans" w:hint="eastAsia"/>
          <w:sz w:val="18"/>
          <w:szCs w:val="18"/>
          <w:lang w:val="en-GB"/>
        </w:rPr>
        <w:t>на</w:t>
      </w:r>
      <w:proofErr w:type="spellEnd"/>
      <w:r w:rsidRPr="0018339A">
        <w:rPr>
          <w:rFonts w:ascii="IBM Plex Sans" w:hAnsi="IBM Plex Sans"/>
          <w:sz w:val="18"/>
          <w:szCs w:val="18"/>
          <w:lang w:val="en-GB"/>
        </w:rPr>
        <w:t xml:space="preserve"> SUNOTEC</w:t>
      </w:r>
    </w:p>
    <w:p w14:paraId="47B1FE4C" w14:textId="5F1E217C" w:rsidR="009C54FE" w:rsidRPr="0018339A" w:rsidRDefault="0018339A" w:rsidP="0018339A">
      <w:pPr>
        <w:ind w:right="1984"/>
        <w:rPr>
          <w:sz w:val="18"/>
          <w:szCs w:val="18"/>
          <w:lang w:val="en-ZA"/>
        </w:rPr>
      </w:pPr>
      <w:r w:rsidRPr="0018339A">
        <w:rPr>
          <w:rFonts w:ascii="IBM Plex Sans" w:hAnsi="IBM Plex Sans"/>
          <w:sz w:val="18"/>
          <w:szCs w:val="18"/>
          <w:lang w:val="en-GB"/>
        </w:rPr>
        <w:t>E-mail: press@sunotec-group.com</w:t>
      </w:r>
    </w:p>
    <w:sectPr w:rsidR="009C54FE" w:rsidRPr="0018339A">
      <w:headerReference w:type="default" r:id="rId11"/>
      <w:footerReference w:type="default" r:id="rId12"/>
      <w:pgSz w:w="11906" w:h="16838"/>
      <w:pgMar w:top="2694" w:right="1417" w:bottom="1170" w:left="1417" w:header="1135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957A0" w14:textId="77777777" w:rsidR="00294A7B" w:rsidRDefault="00294A7B">
      <w:r>
        <w:separator/>
      </w:r>
    </w:p>
  </w:endnote>
  <w:endnote w:type="continuationSeparator" w:id="0">
    <w:p w14:paraId="268F68D5" w14:textId="77777777" w:rsidR="00294A7B" w:rsidRDefault="0029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30B7" w14:textId="77777777" w:rsidR="009D57E0" w:rsidRDefault="009D57E0">
    <w:pPr>
      <w:pStyle w:val="scfFu1-4"/>
      <w:jc w:val="center"/>
      <w:rPr>
        <w:rFonts w:ascii="Tahoma" w:hAnsi="Tahoma" w:cs="Tahoma"/>
        <w:b/>
        <w:lang w:val="en-GB"/>
      </w:rPr>
    </w:pPr>
  </w:p>
  <w:p w14:paraId="5505DC28" w14:textId="4ABD0966" w:rsidR="67135285" w:rsidRDefault="67135285" w:rsidP="67135285">
    <w:pPr>
      <w:pStyle w:val="scfFu1-4"/>
      <w:rPr>
        <w:rFonts w:ascii="IBM Plex Sans" w:hAnsi="IBM Plex Sans" w:cs="Tahoma"/>
        <w:b/>
        <w:bCs/>
        <w:lang w:val="en-GB"/>
      </w:rPr>
    </w:pPr>
    <w:r w:rsidRPr="67135285">
      <w:rPr>
        <w:rFonts w:ascii="IBM Plex Sans" w:hAnsi="IBM Plex Sans" w:cs="Tahoma"/>
        <w:b/>
        <w:bCs/>
        <w:lang w:val="en-GB"/>
      </w:rPr>
      <w:t xml:space="preserve">SUNOTEC | </w:t>
    </w:r>
    <w:bookmarkStart w:id="0" w:name="scf_Fuss11"/>
    <w:bookmarkEnd w:id="0"/>
    <w:r w:rsidR="006565D3">
      <w:rPr>
        <w:rFonts w:ascii="IBM Plex Sans" w:hAnsi="IBM Plex Sans" w:cs="Tahoma"/>
        <w:b/>
        <w:bCs/>
        <w:lang w:val="en-GB"/>
      </w:rPr>
      <w:t>ENERGY AS A SYSTEM</w:t>
    </w:r>
  </w:p>
  <w:p w14:paraId="7900200A" w14:textId="1BBC5E11" w:rsidR="009D57E0" w:rsidRDefault="009D57E0">
    <w:pPr>
      <w:pStyle w:val="Footer"/>
      <w:jc w:val="center"/>
      <w:rPr>
        <w:rFonts w:ascii="Calibri" w:hAnsi="Calibri" w:cs="Calibri"/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DD161" w14:textId="77777777" w:rsidR="00294A7B" w:rsidRDefault="00294A7B">
      <w:r>
        <w:rPr>
          <w:color w:val="000000"/>
        </w:rPr>
        <w:separator/>
      </w:r>
    </w:p>
  </w:footnote>
  <w:footnote w:type="continuationSeparator" w:id="0">
    <w:p w14:paraId="355C00F4" w14:textId="77777777" w:rsidR="00294A7B" w:rsidRDefault="00294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4C19" w14:textId="77777777" w:rsidR="009D57E0" w:rsidRDefault="00240480">
    <w:pPr>
      <w:pStyle w:val="Header"/>
      <w:tabs>
        <w:tab w:val="clear" w:pos="4536"/>
        <w:tab w:val="center" w:pos="612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8068D9B" wp14:editId="4E7343DB">
          <wp:simplePos x="0" y="0"/>
          <wp:positionH relativeFrom="margin">
            <wp:posOffset>4199894</wp:posOffset>
          </wp:positionH>
          <wp:positionV relativeFrom="paragraph">
            <wp:posOffset>-255529</wp:posOffset>
          </wp:positionV>
          <wp:extent cx="1627503" cy="356231"/>
          <wp:effectExtent l="0" t="0" r="0" b="0"/>
          <wp:wrapTight wrapText="bothSides">
            <wp:wrapPolygon edited="0">
              <wp:start x="0" y="0"/>
              <wp:lineTo x="0" y="20792"/>
              <wp:lineTo x="6068" y="20792"/>
              <wp:lineTo x="21406" y="16941"/>
              <wp:lineTo x="21406" y="12321"/>
              <wp:lineTo x="20395" y="12321"/>
              <wp:lineTo x="21406" y="8471"/>
              <wp:lineTo x="21406" y="4620"/>
              <wp:lineTo x="6068" y="0"/>
              <wp:lineTo x="0" y="0"/>
            </wp:wrapPolygon>
          </wp:wrapTight>
          <wp:docPr id="1967390553" name="Picture 18309359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7503" cy="35623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F3D4B53" w14:textId="77777777" w:rsidR="009D57E0" w:rsidRDefault="009D57E0">
    <w:pPr>
      <w:pStyle w:val="Header"/>
      <w:tabs>
        <w:tab w:val="clear" w:pos="4536"/>
        <w:tab w:val="center" w:pos="6120"/>
      </w:tabs>
      <w:jc w:val="right"/>
      <w:rPr>
        <w:rFonts w:ascii="IBM Plex Sans" w:hAnsi="IBM Plex Sans"/>
        <w:sz w:val="16"/>
        <w:szCs w:val="16"/>
      </w:rPr>
    </w:pPr>
  </w:p>
  <w:p w14:paraId="4D7F8CBD" w14:textId="77777777" w:rsidR="009D57E0" w:rsidRDefault="00240480">
    <w:pPr>
      <w:pStyle w:val="Header"/>
      <w:tabs>
        <w:tab w:val="clear" w:pos="4536"/>
        <w:tab w:val="center" w:pos="6120"/>
      </w:tabs>
      <w:jc w:val="right"/>
    </w:pPr>
    <w:r>
      <w:rPr>
        <w:rFonts w:ascii="IBM Plex Sans" w:hAnsi="IBM Plex Sans"/>
        <w:sz w:val="16"/>
        <w:szCs w:val="16"/>
      </w:rPr>
      <w:t xml:space="preserve">Page </w:t>
    </w:r>
    <w:r>
      <w:rPr>
        <w:rFonts w:ascii="IBM Plex Sans" w:hAnsi="IBM Plex Sans"/>
        <w:sz w:val="16"/>
        <w:szCs w:val="16"/>
      </w:rPr>
      <w:fldChar w:fldCharType="begin"/>
    </w:r>
    <w:r>
      <w:rPr>
        <w:rFonts w:ascii="IBM Plex Sans" w:hAnsi="IBM Plex Sans"/>
        <w:sz w:val="16"/>
        <w:szCs w:val="16"/>
      </w:rPr>
      <w:instrText xml:space="preserve"> PAGE </w:instrText>
    </w:r>
    <w:r>
      <w:rPr>
        <w:rFonts w:ascii="IBM Plex Sans" w:hAnsi="IBM Plex Sans"/>
        <w:sz w:val="16"/>
        <w:szCs w:val="16"/>
      </w:rPr>
      <w:fldChar w:fldCharType="separate"/>
    </w:r>
    <w:r>
      <w:rPr>
        <w:rFonts w:ascii="IBM Plex Sans" w:hAnsi="IBM Plex Sans"/>
        <w:sz w:val="16"/>
        <w:szCs w:val="16"/>
      </w:rPr>
      <w:t>1</w:t>
    </w:r>
    <w:r>
      <w:rPr>
        <w:rFonts w:ascii="IBM Plex Sans" w:hAnsi="IBM Plex Sans"/>
        <w:sz w:val="16"/>
        <w:szCs w:val="16"/>
      </w:rPr>
      <w:fldChar w:fldCharType="end"/>
    </w:r>
    <w:r>
      <w:rPr>
        <w:rFonts w:ascii="IBM Plex Sans" w:hAnsi="IBM Plex Sans"/>
        <w:sz w:val="16"/>
        <w:szCs w:val="16"/>
      </w:rPr>
      <w:t>/2</w:t>
    </w:r>
  </w:p>
  <w:p w14:paraId="3147037B" w14:textId="77777777" w:rsidR="009D57E0" w:rsidRDefault="009D57E0">
    <w:pPr>
      <w:pStyle w:val="Header"/>
      <w:tabs>
        <w:tab w:val="clear" w:pos="4536"/>
        <w:tab w:val="center" w:pos="6120"/>
      </w:tabs>
      <w:jc w:val="right"/>
    </w:pPr>
  </w:p>
  <w:p w14:paraId="0C5D50D7" w14:textId="77777777" w:rsidR="009D57E0" w:rsidRDefault="00240480">
    <w:pPr>
      <w:pStyle w:val="Header"/>
      <w:tabs>
        <w:tab w:val="clear" w:pos="4536"/>
        <w:tab w:val="center" w:pos="6120"/>
      </w:tabs>
      <w:rPr>
        <w:rFonts w:ascii="IBM Plex Sans" w:hAnsi="IBM Plex Sans"/>
        <w:b/>
        <w:bCs/>
        <w:sz w:val="32"/>
        <w:szCs w:val="32"/>
      </w:rPr>
    </w:pPr>
    <w:r>
      <w:rPr>
        <w:rFonts w:ascii="IBM Plex Sans" w:hAnsi="IBM Plex Sans"/>
        <w:b/>
        <w:bCs/>
        <w:sz w:val="32"/>
        <w:szCs w:val="32"/>
      </w:rPr>
      <w:t>Press Release</w:t>
    </w:r>
  </w:p>
  <w:p w14:paraId="72F302B2" w14:textId="77777777" w:rsidR="009D57E0" w:rsidRDefault="009D57E0">
    <w:pPr>
      <w:pStyle w:val="Header"/>
      <w:tabs>
        <w:tab w:val="clear" w:pos="4536"/>
        <w:tab w:val="center" w:pos="6120"/>
      </w:tabs>
    </w:pPr>
  </w:p>
  <w:p w14:paraId="6FBB6883" w14:textId="77777777" w:rsidR="009D57E0" w:rsidRDefault="009D57E0">
    <w:pPr>
      <w:pStyle w:val="Header"/>
      <w:tabs>
        <w:tab w:val="clear" w:pos="4536"/>
        <w:tab w:val="center" w:pos="612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2931"/>
    <w:multiLevelType w:val="hybridMultilevel"/>
    <w:tmpl w:val="855C9E1C"/>
    <w:lvl w:ilvl="0" w:tplc="30547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0F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225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8F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275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5C9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C6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1CA5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05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625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4E4"/>
    <w:rsid w:val="000C6722"/>
    <w:rsid w:val="0011792A"/>
    <w:rsid w:val="0018339A"/>
    <w:rsid w:val="0019411C"/>
    <w:rsid w:val="001A2D2A"/>
    <w:rsid w:val="00240480"/>
    <w:rsid w:val="00294A7B"/>
    <w:rsid w:val="003444E4"/>
    <w:rsid w:val="00346DE0"/>
    <w:rsid w:val="00383D87"/>
    <w:rsid w:val="003866A5"/>
    <w:rsid w:val="004A1607"/>
    <w:rsid w:val="004B17BD"/>
    <w:rsid w:val="004C33AA"/>
    <w:rsid w:val="004F65AE"/>
    <w:rsid w:val="005D4B03"/>
    <w:rsid w:val="006565D3"/>
    <w:rsid w:val="006656D6"/>
    <w:rsid w:val="00705C2A"/>
    <w:rsid w:val="007A5A98"/>
    <w:rsid w:val="00822B44"/>
    <w:rsid w:val="00831404"/>
    <w:rsid w:val="008B950E"/>
    <w:rsid w:val="008F1875"/>
    <w:rsid w:val="009269D3"/>
    <w:rsid w:val="009C54FE"/>
    <w:rsid w:val="009D57E0"/>
    <w:rsid w:val="00C535F7"/>
    <w:rsid w:val="00D91500"/>
    <w:rsid w:val="00E17865"/>
    <w:rsid w:val="00ED28F8"/>
    <w:rsid w:val="00FE1E17"/>
    <w:rsid w:val="018EBF59"/>
    <w:rsid w:val="018FA779"/>
    <w:rsid w:val="01BEE667"/>
    <w:rsid w:val="030F753D"/>
    <w:rsid w:val="04A31482"/>
    <w:rsid w:val="0575DBA3"/>
    <w:rsid w:val="07C026EE"/>
    <w:rsid w:val="0AC65FB2"/>
    <w:rsid w:val="0D5111C5"/>
    <w:rsid w:val="0F3EAA3D"/>
    <w:rsid w:val="109FA23B"/>
    <w:rsid w:val="10C2F055"/>
    <w:rsid w:val="16B402E2"/>
    <w:rsid w:val="17452970"/>
    <w:rsid w:val="1862B070"/>
    <w:rsid w:val="18DBA5BB"/>
    <w:rsid w:val="1AF5C12A"/>
    <w:rsid w:val="1B07F0D7"/>
    <w:rsid w:val="1BA7AF39"/>
    <w:rsid w:val="1BBE71F2"/>
    <w:rsid w:val="1C0C4489"/>
    <w:rsid w:val="1DBDA5AE"/>
    <w:rsid w:val="1DF83672"/>
    <w:rsid w:val="20695601"/>
    <w:rsid w:val="207E6F0D"/>
    <w:rsid w:val="22C3F094"/>
    <w:rsid w:val="22DB75E0"/>
    <w:rsid w:val="23537DE6"/>
    <w:rsid w:val="266AE069"/>
    <w:rsid w:val="2733609D"/>
    <w:rsid w:val="276D4193"/>
    <w:rsid w:val="27708CC8"/>
    <w:rsid w:val="29CE0EC9"/>
    <w:rsid w:val="2C5E2889"/>
    <w:rsid w:val="2EB7A6D4"/>
    <w:rsid w:val="304AE03F"/>
    <w:rsid w:val="31527A32"/>
    <w:rsid w:val="316DC1AF"/>
    <w:rsid w:val="33131DC2"/>
    <w:rsid w:val="335F99FC"/>
    <w:rsid w:val="361C2D45"/>
    <w:rsid w:val="3730A46B"/>
    <w:rsid w:val="373E96D6"/>
    <w:rsid w:val="3844FE18"/>
    <w:rsid w:val="3B9E64B8"/>
    <w:rsid w:val="3D427A02"/>
    <w:rsid w:val="3D78AFC2"/>
    <w:rsid w:val="3DC538E8"/>
    <w:rsid w:val="42C3F5C9"/>
    <w:rsid w:val="447FEC1C"/>
    <w:rsid w:val="45F7EDE7"/>
    <w:rsid w:val="464E7EAB"/>
    <w:rsid w:val="49E67DAC"/>
    <w:rsid w:val="49FB4222"/>
    <w:rsid w:val="4B9541AC"/>
    <w:rsid w:val="4B9D138E"/>
    <w:rsid w:val="4E0CCD44"/>
    <w:rsid w:val="4FF44C1F"/>
    <w:rsid w:val="50B2DB67"/>
    <w:rsid w:val="5135A94C"/>
    <w:rsid w:val="5543B26D"/>
    <w:rsid w:val="5674AA0D"/>
    <w:rsid w:val="5D30D34B"/>
    <w:rsid w:val="63EFA440"/>
    <w:rsid w:val="650276BB"/>
    <w:rsid w:val="6625245C"/>
    <w:rsid w:val="67135285"/>
    <w:rsid w:val="68EFFB3A"/>
    <w:rsid w:val="69BCA86F"/>
    <w:rsid w:val="6A60B2DF"/>
    <w:rsid w:val="6C015EF6"/>
    <w:rsid w:val="6EFD0815"/>
    <w:rsid w:val="6FBC7204"/>
    <w:rsid w:val="70D20596"/>
    <w:rsid w:val="71ACAB2B"/>
    <w:rsid w:val="746D4AE2"/>
    <w:rsid w:val="748BF0FF"/>
    <w:rsid w:val="76442E16"/>
    <w:rsid w:val="777A8F17"/>
    <w:rsid w:val="778C2258"/>
    <w:rsid w:val="79AEFF49"/>
    <w:rsid w:val="7C4AA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3EE25"/>
  <w15:docId w15:val="{06A953EB-F9D8-CA44-BA01-76B746F5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ucida Sans" w:hAnsi="Lucida San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FooterChar">
    <w:name w:val="Footer Char"/>
    <w:rPr>
      <w:rFonts w:ascii="Lucida Sans" w:hAnsi="Lucida Sans"/>
    </w:rPr>
  </w:style>
  <w:style w:type="paragraph" w:styleId="ListParagraph">
    <w:name w:val="List Paragraph"/>
    <w:basedOn w:val="Normal"/>
    <w:pPr>
      <w:ind w:left="720"/>
    </w:pPr>
  </w:style>
  <w:style w:type="paragraph" w:customStyle="1" w:styleId="scfFu1-4">
    <w:name w:val="scfFuß1-4"/>
    <w:basedOn w:val="Normal"/>
    <w:pPr>
      <w:spacing w:line="160" w:lineRule="exact"/>
    </w:pPr>
    <w:rPr>
      <w:rFonts w:ascii="Arial" w:hAnsi="Arial"/>
      <w:sz w:val="14"/>
      <w:lang w:val="en-US"/>
    </w:rPr>
  </w:style>
  <w:style w:type="character" w:customStyle="1" w:styleId="Heading1Char">
    <w:name w:val="Heading 1 Char"/>
    <w:basedOn w:val="DefaultParagraphFont"/>
    <w:rPr>
      <w:rFonts w:ascii="Cambria" w:eastAsia="MS Gothic" w:hAnsi="Cambria" w:cs="Times New Roman"/>
      <w:color w:val="365F91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EndnoteText">
    <w:name w:val="endnote text"/>
    <w:basedOn w:val="Normal"/>
  </w:style>
  <w:style w:type="character" w:customStyle="1" w:styleId="EndnoteTextChar">
    <w:name w:val="Endnote Text Char"/>
    <w:basedOn w:val="DefaultParagraphFont"/>
    <w:rPr>
      <w:rFonts w:ascii="Lucida Sans" w:hAnsi="Lucida Sans"/>
    </w:rPr>
  </w:style>
  <w:style w:type="character" w:styleId="EndnoteReference">
    <w:name w:val="end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</w:style>
  <w:style w:type="character" w:customStyle="1" w:styleId="CommentTextChar">
    <w:name w:val="Comment Text Char"/>
    <w:basedOn w:val="DefaultParagraphFont"/>
    <w:rPr>
      <w:rFonts w:ascii="Lucida Sans" w:hAnsi="Lucida San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Lucida Sans" w:hAnsi="Lucida Sans"/>
      <w:b/>
      <w:bCs/>
    </w:rPr>
  </w:style>
  <w:style w:type="paragraph" w:styleId="Revision">
    <w:name w:val="Revision"/>
    <w:pPr>
      <w:suppressAutoHyphens/>
    </w:pPr>
    <w:rPr>
      <w:rFonts w:ascii="Lucida Sans" w:hAnsi="Lucida Sans"/>
    </w:rPr>
  </w:style>
  <w:style w:type="paragraph" w:styleId="FootnoteText">
    <w:name w:val="footnote text"/>
    <w:basedOn w:val="Normal"/>
  </w:style>
  <w:style w:type="character" w:customStyle="1" w:styleId="FootnoteTextChar">
    <w:name w:val="Footnote Text Char"/>
    <w:basedOn w:val="DefaultParagraphFont"/>
    <w:rPr>
      <w:rFonts w:ascii="Lucida Sans" w:hAnsi="Lucida Sans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HeaderChar">
    <w:name w:val="Header Char"/>
    <w:basedOn w:val="DefaultParagraphFont"/>
    <w:rPr>
      <w:rFonts w:ascii="Lucida Sans" w:hAnsi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blackston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abelsuchland1/Downloads/PRS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9ab623-0bb2-4654-8a54-a50fb8a5f838">
      <Terms xmlns="http://schemas.microsoft.com/office/infopath/2007/PartnerControls"/>
    </lcf76f155ced4ddcb4097134ff3c332f>
    <TaxCatchAll xmlns="4e5f8c8b-0b8f-4823-98c9-0093b1e742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261A982303C4587467DABFC30E8C4" ma:contentTypeVersion="16" ma:contentTypeDescription="Create a new document." ma:contentTypeScope="" ma:versionID="8fd6be318a923463b75ea24063d80b04">
  <xsd:schema xmlns:xsd="http://www.w3.org/2001/XMLSchema" xmlns:xs="http://www.w3.org/2001/XMLSchema" xmlns:p="http://schemas.microsoft.com/office/2006/metadata/properties" xmlns:ns2="2a9ab623-0bb2-4654-8a54-a50fb8a5f838" xmlns:ns3="4e5f8c8b-0b8f-4823-98c9-0093b1e74204" targetNamespace="http://schemas.microsoft.com/office/2006/metadata/properties" ma:root="true" ma:fieldsID="32a453b2f37028280885c466e366bc66" ns2:_="" ns3:_="">
    <xsd:import namespace="2a9ab623-0bb2-4654-8a54-a50fb8a5f838"/>
    <xsd:import namespace="4e5f8c8b-0b8f-4823-98c9-0093b1e74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ab623-0bb2-4654-8a54-a50fb8a5f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e0357d-4383-42a7-b419-904d38927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f8c8b-0b8f-4823-98c9-0093b1e742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c9e13c-6115-4a25-8fb2-4aac544c17d5}" ma:internalName="TaxCatchAll" ma:showField="CatchAllData" ma:web="4e5f8c8b-0b8f-4823-98c9-0093b1e74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DCB69-2F67-49DA-8063-9AC765DBC9C7}">
  <ds:schemaRefs>
    <ds:schemaRef ds:uri="http://schemas.microsoft.com/office/2006/metadata/properties"/>
    <ds:schemaRef ds:uri="http://schemas.microsoft.com/office/infopath/2007/PartnerControls"/>
    <ds:schemaRef ds:uri="2a9ab623-0bb2-4654-8a54-a50fb8a5f838"/>
    <ds:schemaRef ds:uri="4e5f8c8b-0b8f-4823-98c9-0093b1e74204"/>
  </ds:schemaRefs>
</ds:datastoreItem>
</file>

<file path=customXml/itemProps2.xml><?xml version="1.0" encoding="utf-8"?>
<ds:datastoreItem xmlns:ds="http://schemas.openxmlformats.org/officeDocument/2006/customXml" ds:itemID="{52C055E5-F5B3-487E-87B1-2BA9B867B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ab623-0bb2-4654-8a54-a50fb8a5f838"/>
    <ds:schemaRef ds:uri="4e5f8c8b-0b8f-4823-98c9-0093b1e74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F03B24-03FF-403B-9F8C-50A4E533B4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13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Annabel Suchland | Sunotec-Group</cp:lastModifiedBy>
  <cp:revision>10</cp:revision>
  <dcterms:created xsi:type="dcterms:W3CDTF">2026-04-02T11:08:00Z</dcterms:created>
  <dcterms:modified xsi:type="dcterms:W3CDTF">2026-04-07T05:40:00Z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0x010100DC4261A982303C4587467DABFC30E8C4</vt:lpwstr>
  </property>
  <property fmtid="{D5CDD505-2E9C-101B-9397-08002B2CF9AE}" pid="3" name="Order">
    <vt:r8>137800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