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193D4" w14:textId="77777777" w:rsidR="0067272E" w:rsidRDefault="00A46196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73B9D102" wp14:editId="3A942ACB">
            <wp:simplePos x="0" y="0"/>
            <wp:positionH relativeFrom="column">
              <wp:posOffset>3873500</wp:posOffset>
            </wp:positionH>
            <wp:positionV relativeFrom="paragraph">
              <wp:posOffset>0</wp:posOffset>
            </wp:positionV>
            <wp:extent cx="2379345" cy="600075"/>
            <wp:effectExtent l="0" t="0" r="1905" b="9525"/>
            <wp:wrapTight wrapText="bothSides">
              <wp:wrapPolygon edited="0">
                <wp:start x="18677" y="0"/>
                <wp:lineTo x="0" y="686"/>
                <wp:lineTo x="0" y="16457"/>
                <wp:lineTo x="1902" y="21257"/>
                <wp:lineTo x="12970" y="21257"/>
                <wp:lineTo x="13316" y="15086"/>
                <wp:lineTo x="11933" y="13029"/>
                <wp:lineTo x="21444" y="10286"/>
                <wp:lineTo x="21444" y="686"/>
                <wp:lineTo x="20061" y="0"/>
                <wp:lineTo x="18677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0D5E6" w14:textId="77777777" w:rsidR="00DA6A73" w:rsidRPr="00DA6A73" w:rsidRDefault="00DA6A73" w:rsidP="00DA6A73"/>
    <w:p w14:paraId="7BFAC6FF" w14:textId="77777777" w:rsidR="00DA6A73" w:rsidRDefault="00DA6A73" w:rsidP="00441DE7">
      <w:pPr>
        <w:jc w:val="right"/>
      </w:pPr>
    </w:p>
    <w:p w14:paraId="5EB11AF2" w14:textId="77777777" w:rsidR="00441DE7" w:rsidRPr="006847B7" w:rsidRDefault="00441DE7" w:rsidP="00BF54F7">
      <w:pPr>
        <w:rPr>
          <w:rFonts w:ascii="Segoe UI" w:hAnsi="Segoe UI" w:cs="Segoe UI"/>
          <w:color w:val="0070C0"/>
          <w:sz w:val="56"/>
          <w:szCs w:val="56"/>
        </w:rPr>
      </w:pPr>
      <w:r w:rsidRPr="006847B7">
        <w:rPr>
          <w:rFonts w:ascii="Segoe UI" w:hAnsi="Segoe UI" w:cs="Segoe UI"/>
          <w:color w:val="0070C0"/>
          <w:sz w:val="56"/>
          <w:szCs w:val="56"/>
        </w:rPr>
        <w:t>PRESSEMITTEILUNG</w:t>
      </w:r>
    </w:p>
    <w:p w14:paraId="4B63AEEC" w14:textId="60144ED2" w:rsidR="00804B56" w:rsidRPr="00114AA3" w:rsidRDefault="00DE3067" w:rsidP="00A343F7">
      <w:pPr>
        <w:tabs>
          <w:tab w:val="left" w:pos="6946"/>
        </w:tabs>
        <w:ind w:left="6375" w:hanging="279"/>
        <w:rPr>
          <w:rFonts w:ascii="Segoe UI" w:hAnsi="Segoe UI" w:cs="Segoe UI"/>
          <w:color w:val="000000" w:themeColor="text1"/>
          <w:sz w:val="18"/>
          <w:szCs w:val="18"/>
        </w:rPr>
      </w:pPr>
      <w:r w:rsidRPr="00114AA3">
        <w:rPr>
          <w:color w:val="000000" w:themeColor="text1"/>
          <w:sz w:val="18"/>
          <w:szCs w:val="18"/>
        </w:rPr>
        <w:t xml:space="preserve">  </w:t>
      </w:r>
      <w:r w:rsidR="00A343F7">
        <w:rPr>
          <w:color w:val="000000" w:themeColor="text1"/>
          <w:sz w:val="18"/>
          <w:szCs w:val="18"/>
        </w:rPr>
        <w:tab/>
      </w:r>
      <w:r w:rsidR="00A343F7">
        <w:rPr>
          <w:color w:val="000000" w:themeColor="text1"/>
          <w:sz w:val="18"/>
          <w:szCs w:val="18"/>
        </w:rPr>
        <w:tab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t xml:space="preserve">Trier, 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begin"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instrText xml:space="preserve"> TIME \@ "d. MMMM yyyy" </w:instrTex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separate"/>
      </w:r>
      <w:r w:rsidR="00BE02F6">
        <w:rPr>
          <w:rFonts w:ascii="Segoe UI" w:hAnsi="Segoe UI" w:cs="Segoe UI"/>
          <w:noProof/>
          <w:color w:val="000000" w:themeColor="text1"/>
          <w:sz w:val="18"/>
          <w:szCs w:val="18"/>
        </w:rPr>
        <w:t>8. Juli 2026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end"/>
      </w:r>
    </w:p>
    <w:p w14:paraId="4A3A7AFC" w14:textId="77777777" w:rsidR="006A069A" w:rsidRDefault="006A069A" w:rsidP="006A069A">
      <w:pPr>
        <w:jc w:val="right"/>
      </w:pPr>
    </w:p>
    <w:p w14:paraId="1A708804" w14:textId="19DFF5EE" w:rsidR="00041CDF" w:rsidRPr="00BE02F6" w:rsidRDefault="00041CDF" w:rsidP="00760A28">
      <w:pPr>
        <w:rPr>
          <w:rFonts w:ascii="Segoe UI" w:hAnsi="Segoe UI" w:cs="Segoe UI"/>
          <w:b/>
          <w:bCs/>
          <w:sz w:val="32"/>
          <w:szCs w:val="32"/>
        </w:rPr>
      </w:pPr>
      <w:r w:rsidRPr="00BE02F6">
        <w:rPr>
          <w:rFonts w:ascii="Segoe UI" w:hAnsi="Segoe UI" w:cs="Segoe UI"/>
          <w:b/>
          <w:bCs/>
          <w:sz w:val="32"/>
          <w:szCs w:val="32"/>
        </w:rPr>
        <w:t>Teambonus gegen Einzelkämpfertum im Homeoffice</w:t>
      </w:r>
    </w:p>
    <w:p w14:paraId="7EA27807" w14:textId="445AFCBF" w:rsidR="00760A28" w:rsidRPr="00BE02F6" w:rsidRDefault="004C02CD" w:rsidP="00760A28">
      <w:pPr>
        <w:rPr>
          <w:rFonts w:ascii="Segoe UI" w:hAnsi="Segoe UI" w:cs="Segoe UI"/>
          <w:sz w:val="28"/>
          <w:szCs w:val="28"/>
        </w:rPr>
      </w:pPr>
      <w:r w:rsidRPr="00BE02F6">
        <w:rPr>
          <w:rFonts w:ascii="Segoe UI" w:hAnsi="Segoe UI" w:cs="Segoe UI"/>
          <w:sz w:val="28"/>
          <w:szCs w:val="28"/>
        </w:rPr>
        <w:t xml:space="preserve">Wer von zu Hause arbeitet, kooperiert weniger intensiv mit Kolleg*innen. Eine kollektive Leistungsentlohnung </w:t>
      </w:r>
      <w:r w:rsidR="00CA48D2" w:rsidRPr="00BE02F6">
        <w:rPr>
          <w:rFonts w:ascii="Segoe UI" w:hAnsi="Segoe UI" w:cs="Segoe UI"/>
          <w:sz w:val="28"/>
          <w:szCs w:val="28"/>
        </w:rPr>
        <w:t>soll</w:t>
      </w:r>
      <w:r w:rsidRPr="00BE02F6">
        <w:rPr>
          <w:rFonts w:ascii="Segoe UI" w:hAnsi="Segoe UI" w:cs="Segoe UI"/>
          <w:sz w:val="28"/>
          <w:szCs w:val="28"/>
        </w:rPr>
        <w:t xml:space="preserve"> dem entgegenwirken</w:t>
      </w:r>
      <w:r w:rsidR="00C2315B" w:rsidRPr="00BE02F6">
        <w:rPr>
          <w:rFonts w:ascii="Segoe UI" w:hAnsi="Segoe UI" w:cs="Segoe UI"/>
          <w:sz w:val="28"/>
          <w:szCs w:val="28"/>
        </w:rPr>
        <w:t>, zeigt eine Trierer Studie</w:t>
      </w:r>
      <w:r w:rsidRPr="00BE02F6">
        <w:rPr>
          <w:rFonts w:ascii="Segoe UI" w:hAnsi="Segoe UI" w:cs="Segoe UI"/>
          <w:sz w:val="28"/>
          <w:szCs w:val="28"/>
        </w:rPr>
        <w:t xml:space="preserve">. </w:t>
      </w:r>
    </w:p>
    <w:p w14:paraId="3E90ECA3" w14:textId="0CAEE84E" w:rsidR="00E1621B" w:rsidRPr="00BE02F6" w:rsidRDefault="00F9776B" w:rsidP="00760A28">
      <w:pPr>
        <w:rPr>
          <w:rFonts w:ascii="Segoe UI" w:hAnsi="Segoe UI" w:cs="Segoe UI"/>
          <w:sz w:val="20"/>
          <w:szCs w:val="20"/>
        </w:rPr>
      </w:pPr>
      <w:r w:rsidRPr="00BE02F6">
        <w:rPr>
          <w:rFonts w:ascii="Segoe UI" w:hAnsi="Segoe UI" w:cs="Segoe UI"/>
          <w:sz w:val="20"/>
          <w:szCs w:val="20"/>
        </w:rPr>
        <w:t>Angestellte sind im Homeoffice weniger sichtbar für ihre Arbeitgeber und damit schwieriger zu beurteilen. Eine Lösung für dieses Problem</w:t>
      </w:r>
      <w:r w:rsidR="00E1621B" w:rsidRPr="00BE02F6">
        <w:rPr>
          <w:rFonts w:ascii="Segoe UI" w:hAnsi="Segoe UI" w:cs="Segoe UI"/>
          <w:sz w:val="20"/>
          <w:szCs w:val="20"/>
        </w:rPr>
        <w:t xml:space="preserve"> kann</w:t>
      </w:r>
      <w:r w:rsidR="00837D5D" w:rsidRPr="00BE02F6">
        <w:rPr>
          <w:rFonts w:ascii="Segoe UI" w:hAnsi="Segoe UI" w:cs="Segoe UI"/>
          <w:sz w:val="20"/>
          <w:szCs w:val="20"/>
        </w:rPr>
        <w:t xml:space="preserve"> eine</w:t>
      </w:r>
      <w:r w:rsidRPr="00BE02F6">
        <w:rPr>
          <w:rFonts w:ascii="Segoe UI" w:hAnsi="Segoe UI" w:cs="Segoe UI"/>
          <w:sz w:val="20"/>
          <w:szCs w:val="20"/>
        </w:rPr>
        <w:t xml:space="preserve"> leistungsorientierte Entlohnung</w:t>
      </w:r>
      <w:r w:rsidR="00E1621B" w:rsidRPr="00BE02F6">
        <w:rPr>
          <w:rFonts w:ascii="Segoe UI" w:hAnsi="Segoe UI" w:cs="Segoe UI"/>
          <w:sz w:val="20"/>
          <w:szCs w:val="20"/>
        </w:rPr>
        <w:t xml:space="preserve"> sein</w:t>
      </w:r>
      <w:r w:rsidRPr="00BE02F6">
        <w:rPr>
          <w:rFonts w:ascii="Segoe UI" w:hAnsi="Segoe UI" w:cs="Segoe UI"/>
          <w:sz w:val="20"/>
          <w:szCs w:val="20"/>
        </w:rPr>
        <w:t xml:space="preserve">, also zum Beispiel Bonuszahlungen bei entsprechendem Output der Beschäftigten. </w:t>
      </w:r>
    </w:p>
    <w:p w14:paraId="2ACCF9E3" w14:textId="1FD319A3" w:rsidR="00760A28" w:rsidRPr="00BE02F6" w:rsidRDefault="00E1621B" w:rsidP="00760A28">
      <w:pPr>
        <w:rPr>
          <w:rFonts w:ascii="Segoe UI" w:hAnsi="Segoe UI" w:cs="Segoe UI"/>
          <w:sz w:val="20"/>
          <w:szCs w:val="20"/>
        </w:rPr>
      </w:pPr>
      <w:r w:rsidRPr="00BE02F6">
        <w:rPr>
          <w:rFonts w:ascii="Segoe UI" w:hAnsi="Segoe UI" w:cs="Segoe UI"/>
          <w:sz w:val="20"/>
          <w:szCs w:val="20"/>
        </w:rPr>
        <w:t xml:space="preserve">Doch Unternehmen stellt sich die Frage, wie diese Form der Bezahlung gestaltet werden soll. Individuelle Bonuszahlungen drohen das „Einzelkämpfersyndrom“ im Homeoffice zu verstärken: geringere Kooperationsbereitschaft mit Teammitgliedern, schlechtere Weitergabe von Informationen, </w:t>
      </w:r>
      <w:r w:rsidR="00CA48D2" w:rsidRPr="00BE02F6">
        <w:rPr>
          <w:rFonts w:ascii="Segoe UI" w:hAnsi="Segoe UI" w:cs="Segoe UI"/>
          <w:sz w:val="20"/>
          <w:szCs w:val="20"/>
        </w:rPr>
        <w:t xml:space="preserve">Konzentration auf </w:t>
      </w:r>
      <w:r w:rsidR="001F225B" w:rsidRPr="00BE02F6">
        <w:rPr>
          <w:rFonts w:ascii="Segoe UI" w:hAnsi="Segoe UI" w:cs="Segoe UI"/>
          <w:sz w:val="20"/>
          <w:szCs w:val="20"/>
        </w:rPr>
        <w:t>persönliche statt Unternehmenserfolge</w:t>
      </w:r>
      <w:r w:rsidR="00CA48D2" w:rsidRPr="00BE02F6">
        <w:rPr>
          <w:rFonts w:ascii="Segoe UI" w:hAnsi="Segoe UI" w:cs="Segoe UI"/>
          <w:sz w:val="20"/>
          <w:szCs w:val="20"/>
        </w:rPr>
        <w:t xml:space="preserve">.  </w:t>
      </w:r>
    </w:p>
    <w:p w14:paraId="7B13DB6F" w14:textId="2D129CFA" w:rsidR="00C2315B" w:rsidRPr="00BE02F6" w:rsidRDefault="00CA48D2" w:rsidP="00760A28">
      <w:pPr>
        <w:rPr>
          <w:rFonts w:ascii="Segoe UI" w:hAnsi="Segoe UI" w:cs="Segoe UI"/>
          <w:sz w:val="20"/>
          <w:szCs w:val="20"/>
        </w:rPr>
      </w:pPr>
      <w:r w:rsidRPr="00BE02F6">
        <w:rPr>
          <w:rFonts w:ascii="Segoe UI" w:hAnsi="Segoe UI" w:cs="Segoe UI"/>
          <w:sz w:val="20"/>
          <w:szCs w:val="20"/>
        </w:rPr>
        <w:t xml:space="preserve">Die Alternative </w:t>
      </w:r>
      <w:proofErr w:type="gramStart"/>
      <w:r w:rsidRPr="00BE02F6">
        <w:rPr>
          <w:rFonts w:ascii="Segoe UI" w:hAnsi="Segoe UI" w:cs="Segoe UI"/>
          <w:sz w:val="20"/>
          <w:szCs w:val="20"/>
        </w:rPr>
        <w:t>sind  teamweise</w:t>
      </w:r>
      <w:proofErr w:type="gramEnd"/>
      <w:r w:rsidRPr="00BE02F6">
        <w:rPr>
          <w:rFonts w:ascii="Segoe UI" w:hAnsi="Segoe UI" w:cs="Segoe UI"/>
          <w:sz w:val="20"/>
          <w:szCs w:val="20"/>
        </w:rPr>
        <w:t xml:space="preserve"> Bonuszahlungen</w:t>
      </w:r>
      <w:r w:rsidR="00E1244E" w:rsidRPr="00BE02F6">
        <w:rPr>
          <w:rFonts w:ascii="Segoe UI" w:hAnsi="Segoe UI" w:cs="Segoe UI"/>
          <w:sz w:val="20"/>
          <w:szCs w:val="20"/>
        </w:rPr>
        <w:t xml:space="preserve"> oder eine Gewinnbeteiligung</w:t>
      </w:r>
      <w:r w:rsidR="002872B6" w:rsidRPr="00BE02F6">
        <w:rPr>
          <w:rFonts w:ascii="Segoe UI" w:hAnsi="Segoe UI" w:cs="Segoe UI"/>
          <w:sz w:val="20"/>
          <w:szCs w:val="20"/>
        </w:rPr>
        <w:t xml:space="preserve"> der Beschäftigten</w:t>
      </w:r>
      <w:r w:rsidRPr="00BE02F6">
        <w:rPr>
          <w:rFonts w:ascii="Segoe UI" w:hAnsi="Segoe UI" w:cs="Segoe UI"/>
          <w:sz w:val="20"/>
          <w:szCs w:val="20"/>
        </w:rPr>
        <w:t xml:space="preserve">. Solche kollektive Leistungsentlohnung fördert zwar einerseits die Kooperation, kann aber auch „Trittbrettfahrer“ begünstigen, die ohne große Eigenleistung vom Team profitieren. </w:t>
      </w:r>
    </w:p>
    <w:p w14:paraId="09F62A69" w14:textId="08F464E7" w:rsidR="002D596F" w:rsidRPr="00BE02F6" w:rsidRDefault="002D596F" w:rsidP="00760A28">
      <w:pPr>
        <w:rPr>
          <w:rFonts w:ascii="Segoe UI" w:hAnsi="Segoe UI" w:cs="Segoe UI"/>
          <w:b/>
          <w:bCs/>
          <w:sz w:val="20"/>
          <w:szCs w:val="20"/>
        </w:rPr>
      </w:pPr>
      <w:r w:rsidRPr="00BE02F6">
        <w:rPr>
          <w:rFonts w:ascii="Segoe UI" w:hAnsi="Segoe UI" w:cs="Segoe UI"/>
          <w:b/>
          <w:bCs/>
          <w:sz w:val="20"/>
          <w:szCs w:val="20"/>
        </w:rPr>
        <w:t>Worauf setz</w:t>
      </w:r>
      <w:r w:rsidR="003E4838" w:rsidRPr="00BE02F6">
        <w:rPr>
          <w:rFonts w:ascii="Segoe UI" w:hAnsi="Segoe UI" w:cs="Segoe UI"/>
          <w:b/>
          <w:bCs/>
          <w:sz w:val="20"/>
          <w:szCs w:val="20"/>
        </w:rPr>
        <w:t>t die Mehrheit?</w:t>
      </w:r>
    </w:p>
    <w:p w14:paraId="11F45A9A" w14:textId="78101CD5" w:rsidR="00C2315B" w:rsidRPr="00BE02F6" w:rsidRDefault="00C2315B" w:rsidP="00760A28">
      <w:pPr>
        <w:rPr>
          <w:rFonts w:ascii="Segoe UI" w:hAnsi="Segoe UI" w:cs="Segoe UI"/>
          <w:sz w:val="20"/>
          <w:szCs w:val="20"/>
        </w:rPr>
      </w:pPr>
      <w:r w:rsidRPr="00BE02F6">
        <w:rPr>
          <w:rFonts w:ascii="Segoe UI" w:hAnsi="Segoe UI" w:cs="Segoe UI"/>
          <w:sz w:val="20"/>
          <w:szCs w:val="20"/>
        </w:rPr>
        <w:t>„Wir haben uns daher angesehen, auf welche Lösung Unternehmen am häufigsten setzen“, erklärt Arbeitsmarktökonom Prof. Dr. Uwe Jirjahn</w:t>
      </w:r>
      <w:r w:rsidR="002D596F" w:rsidRPr="00BE02F6">
        <w:rPr>
          <w:rFonts w:ascii="Segoe UI" w:hAnsi="Segoe UI" w:cs="Segoe UI"/>
          <w:sz w:val="20"/>
          <w:szCs w:val="20"/>
        </w:rPr>
        <w:t xml:space="preserve"> von der Universität Trier</w:t>
      </w:r>
      <w:r w:rsidRPr="00BE02F6">
        <w:rPr>
          <w:rFonts w:ascii="Segoe UI" w:hAnsi="Segoe UI" w:cs="Segoe UI"/>
          <w:sz w:val="20"/>
          <w:szCs w:val="20"/>
        </w:rPr>
        <w:t>, der zusammen mit seiner Kollegin</w:t>
      </w:r>
      <w:r w:rsidR="002872B6" w:rsidRPr="00BE02F6">
        <w:rPr>
          <w:rFonts w:ascii="Segoe UI" w:hAnsi="Segoe UI" w:cs="Segoe UI"/>
          <w:sz w:val="20"/>
          <w:szCs w:val="20"/>
        </w:rPr>
        <w:t xml:space="preserve"> Dr.</w:t>
      </w:r>
      <w:r w:rsidRPr="00BE02F6">
        <w:rPr>
          <w:rFonts w:ascii="Segoe UI" w:hAnsi="Segoe UI" w:cs="Segoe UI"/>
          <w:sz w:val="20"/>
          <w:szCs w:val="20"/>
        </w:rPr>
        <w:t xml:space="preserve"> Cinzia Rienzo</w:t>
      </w:r>
      <w:r w:rsidR="00CA48D2" w:rsidRPr="00BE02F6">
        <w:rPr>
          <w:rFonts w:ascii="Segoe UI" w:hAnsi="Segoe UI" w:cs="Segoe UI"/>
          <w:sz w:val="20"/>
          <w:szCs w:val="20"/>
        </w:rPr>
        <w:t xml:space="preserve"> </w:t>
      </w:r>
      <w:r w:rsidRPr="00BE02F6">
        <w:rPr>
          <w:rFonts w:ascii="Segoe UI" w:hAnsi="Segoe UI" w:cs="Segoe UI"/>
          <w:sz w:val="20"/>
          <w:szCs w:val="20"/>
        </w:rPr>
        <w:t xml:space="preserve">von der University of Brighton den Sachverhalt untersucht hat. </w:t>
      </w:r>
      <w:r w:rsidR="0023436E" w:rsidRPr="00BE02F6">
        <w:rPr>
          <w:rFonts w:ascii="Segoe UI" w:hAnsi="Segoe UI" w:cs="Segoe UI"/>
          <w:sz w:val="20"/>
          <w:szCs w:val="20"/>
        </w:rPr>
        <w:t>„Denn was am häufigsten verwendet wird, kann anderen Arbeitgebern Orientierung geben</w:t>
      </w:r>
      <w:r w:rsidR="002872B6" w:rsidRPr="00BE02F6">
        <w:rPr>
          <w:rFonts w:ascii="Segoe UI" w:hAnsi="Segoe UI" w:cs="Segoe UI"/>
          <w:sz w:val="20"/>
          <w:szCs w:val="20"/>
        </w:rPr>
        <w:t xml:space="preserve"> und liefert Erkenntnisse, wie Homeoffice die Arbeitswelt verändert</w:t>
      </w:r>
      <w:r w:rsidR="0023436E" w:rsidRPr="00BE02F6">
        <w:rPr>
          <w:rFonts w:ascii="Segoe UI" w:hAnsi="Segoe UI" w:cs="Segoe UI"/>
          <w:sz w:val="20"/>
          <w:szCs w:val="20"/>
        </w:rPr>
        <w:t>.“</w:t>
      </w:r>
    </w:p>
    <w:p w14:paraId="27393AB8" w14:textId="5159E504" w:rsidR="002D596F" w:rsidRPr="00BE02F6" w:rsidRDefault="00C2315B" w:rsidP="00760A28">
      <w:pPr>
        <w:rPr>
          <w:rFonts w:ascii="Segoe UI" w:hAnsi="Segoe UI" w:cs="Segoe UI"/>
          <w:sz w:val="20"/>
          <w:szCs w:val="20"/>
        </w:rPr>
      </w:pPr>
      <w:r w:rsidRPr="00BE02F6">
        <w:rPr>
          <w:rFonts w:ascii="Segoe UI" w:hAnsi="Segoe UI" w:cs="Segoe UI"/>
          <w:sz w:val="20"/>
          <w:szCs w:val="20"/>
        </w:rPr>
        <w:t xml:space="preserve">Es zeigt sich, dass die Wahrscheinlichkeit, individuelle Leistungsentlohnung zu erhalten, </w:t>
      </w:r>
      <w:r w:rsidR="0023436E" w:rsidRPr="00BE02F6">
        <w:rPr>
          <w:rFonts w:ascii="Segoe UI" w:hAnsi="Segoe UI" w:cs="Segoe UI"/>
          <w:sz w:val="20"/>
          <w:szCs w:val="20"/>
        </w:rPr>
        <w:t>bei regelmäßigem</w:t>
      </w:r>
      <w:r w:rsidRPr="00BE02F6">
        <w:rPr>
          <w:rFonts w:ascii="Segoe UI" w:hAnsi="Segoe UI" w:cs="Segoe UI"/>
          <w:sz w:val="20"/>
          <w:szCs w:val="20"/>
        </w:rPr>
        <w:t xml:space="preserve"> </w:t>
      </w:r>
      <w:r w:rsidR="0023436E" w:rsidRPr="00BE02F6">
        <w:rPr>
          <w:rFonts w:ascii="Segoe UI" w:hAnsi="Segoe UI" w:cs="Segoe UI"/>
          <w:sz w:val="20"/>
          <w:szCs w:val="20"/>
        </w:rPr>
        <w:t xml:space="preserve">Homeoffice um 14 Prozent geringer ist. Dagegen ist die Wahrscheinlichkeit eine rein kollektive Leistungsentlohnung zu bekommen bei Arbeit von zu Hause um 6 Prozent erhöht. Sogar 20 bis 30 Prozent eher erhalten Beschäftigte mit Homeoffice eine gemischte Form </w:t>
      </w:r>
      <w:r w:rsidR="001F225B" w:rsidRPr="00BE02F6">
        <w:rPr>
          <w:rFonts w:ascii="Segoe UI" w:hAnsi="Segoe UI" w:cs="Segoe UI"/>
          <w:sz w:val="20"/>
          <w:szCs w:val="20"/>
        </w:rPr>
        <w:t>aus individueller und kollektiver</w:t>
      </w:r>
      <w:r w:rsidR="0023436E" w:rsidRPr="00BE02F6">
        <w:rPr>
          <w:rFonts w:ascii="Segoe UI" w:hAnsi="Segoe UI" w:cs="Segoe UI"/>
          <w:sz w:val="20"/>
          <w:szCs w:val="20"/>
        </w:rPr>
        <w:t xml:space="preserve"> leistungsorientierte</w:t>
      </w:r>
      <w:r w:rsidR="001F225B" w:rsidRPr="00BE02F6">
        <w:rPr>
          <w:rFonts w:ascii="Segoe UI" w:hAnsi="Segoe UI" w:cs="Segoe UI"/>
          <w:sz w:val="20"/>
          <w:szCs w:val="20"/>
        </w:rPr>
        <w:t>r</w:t>
      </w:r>
      <w:r w:rsidR="0023436E" w:rsidRPr="00BE02F6">
        <w:rPr>
          <w:rFonts w:ascii="Segoe UI" w:hAnsi="Segoe UI" w:cs="Segoe UI"/>
          <w:sz w:val="20"/>
          <w:szCs w:val="20"/>
        </w:rPr>
        <w:t xml:space="preserve"> Bezahlung. </w:t>
      </w:r>
    </w:p>
    <w:p w14:paraId="7A033209" w14:textId="661FC4D5" w:rsidR="00CA48D2" w:rsidRPr="00BE02F6" w:rsidRDefault="002D596F" w:rsidP="00760A28">
      <w:pPr>
        <w:rPr>
          <w:rFonts w:ascii="Segoe UI" w:hAnsi="Segoe UI" w:cs="Segoe UI"/>
          <w:sz w:val="20"/>
          <w:szCs w:val="20"/>
        </w:rPr>
      </w:pPr>
      <w:r w:rsidRPr="00BE02F6">
        <w:rPr>
          <w:rFonts w:ascii="Segoe UI" w:hAnsi="Segoe UI" w:cs="Segoe UI"/>
          <w:sz w:val="20"/>
          <w:szCs w:val="20"/>
        </w:rPr>
        <w:t xml:space="preserve">Als </w:t>
      </w:r>
      <w:r w:rsidR="00E7009C" w:rsidRPr="00BE02F6">
        <w:rPr>
          <w:rFonts w:ascii="Segoe UI" w:hAnsi="Segoe UI" w:cs="Segoe UI"/>
          <w:sz w:val="20"/>
          <w:szCs w:val="20"/>
        </w:rPr>
        <w:t xml:space="preserve">Grundlage </w:t>
      </w:r>
      <w:r w:rsidRPr="00BE02F6">
        <w:rPr>
          <w:rFonts w:ascii="Segoe UI" w:hAnsi="Segoe UI" w:cs="Segoe UI"/>
          <w:sz w:val="20"/>
          <w:szCs w:val="20"/>
        </w:rPr>
        <w:t xml:space="preserve">nutzten die Forschenden </w:t>
      </w:r>
      <w:r w:rsidR="002872B6" w:rsidRPr="00BE02F6">
        <w:rPr>
          <w:rFonts w:ascii="Segoe UI" w:hAnsi="Segoe UI" w:cs="Segoe UI"/>
          <w:sz w:val="20"/>
          <w:szCs w:val="20"/>
        </w:rPr>
        <w:t>Daten</w:t>
      </w:r>
      <w:r w:rsidRPr="00BE02F6">
        <w:rPr>
          <w:rFonts w:ascii="Segoe UI" w:hAnsi="Segoe UI" w:cs="Segoe UI"/>
          <w:sz w:val="20"/>
          <w:szCs w:val="20"/>
        </w:rPr>
        <w:t xml:space="preserve"> der regelmäßigen britischen Umfrage „Understanding Society“. Dabei konzentrierten sie sich auf die Befragungen vor der Pandemie, um die </w:t>
      </w:r>
      <w:r w:rsidR="00837D5D" w:rsidRPr="00BE02F6">
        <w:rPr>
          <w:rFonts w:ascii="Segoe UI" w:hAnsi="Segoe UI" w:cs="Segoe UI"/>
          <w:sz w:val="20"/>
          <w:szCs w:val="20"/>
        </w:rPr>
        <w:t>Sondere</w:t>
      </w:r>
      <w:r w:rsidRPr="00BE02F6">
        <w:rPr>
          <w:rFonts w:ascii="Segoe UI" w:hAnsi="Segoe UI" w:cs="Segoe UI"/>
          <w:sz w:val="20"/>
          <w:szCs w:val="20"/>
        </w:rPr>
        <w:t xml:space="preserve">ffekte des plötzlich einsetzenden massenhaften Homeoffice auszuschließen.  </w:t>
      </w:r>
      <w:r w:rsidR="0023436E" w:rsidRPr="00BE02F6">
        <w:rPr>
          <w:rFonts w:ascii="Segoe UI" w:hAnsi="Segoe UI" w:cs="Segoe UI"/>
          <w:sz w:val="20"/>
          <w:szCs w:val="20"/>
        </w:rPr>
        <w:t xml:space="preserve">  </w:t>
      </w:r>
      <w:r w:rsidR="00C2315B" w:rsidRPr="00BE02F6">
        <w:rPr>
          <w:rFonts w:ascii="Segoe UI" w:hAnsi="Segoe UI" w:cs="Segoe UI"/>
          <w:sz w:val="20"/>
          <w:szCs w:val="20"/>
        </w:rPr>
        <w:t xml:space="preserve"> </w:t>
      </w:r>
      <w:r w:rsidR="00CA48D2" w:rsidRPr="00BE02F6">
        <w:rPr>
          <w:rFonts w:ascii="Segoe UI" w:hAnsi="Segoe UI" w:cs="Segoe UI"/>
          <w:sz w:val="20"/>
          <w:szCs w:val="20"/>
        </w:rPr>
        <w:t xml:space="preserve"> </w:t>
      </w:r>
    </w:p>
    <w:p w14:paraId="09351C5E" w14:textId="6BCF04C1" w:rsidR="002D596F" w:rsidRPr="00BE02F6" w:rsidRDefault="002D596F" w:rsidP="00760A28">
      <w:pPr>
        <w:rPr>
          <w:rFonts w:ascii="Segoe UI" w:hAnsi="Segoe UI" w:cs="Segoe UI"/>
          <w:sz w:val="20"/>
          <w:szCs w:val="20"/>
        </w:rPr>
      </w:pPr>
      <w:r w:rsidRPr="00BE02F6">
        <w:rPr>
          <w:rFonts w:ascii="Segoe UI" w:hAnsi="Segoe UI" w:cs="Segoe UI"/>
          <w:sz w:val="20"/>
          <w:szCs w:val="20"/>
        </w:rPr>
        <w:t xml:space="preserve">„Die Tendenz auf der Arbeitgeberseite geht klar zur kollektiven Variante, vollständig oder in Mischform“, fasst Uwe Jirjahn zusammen. „Ob die meistgewählte Lösung aber tatsächlich die </w:t>
      </w:r>
      <w:r w:rsidR="001F225B" w:rsidRPr="00BE02F6">
        <w:rPr>
          <w:rFonts w:ascii="Segoe UI" w:hAnsi="Segoe UI" w:cs="Segoe UI"/>
          <w:sz w:val="20"/>
          <w:szCs w:val="20"/>
        </w:rPr>
        <w:t xml:space="preserve">beste für </w:t>
      </w:r>
      <w:r w:rsidR="001F225B" w:rsidRPr="00BE02F6">
        <w:rPr>
          <w:rFonts w:ascii="Segoe UI" w:hAnsi="Segoe UI" w:cs="Segoe UI"/>
          <w:sz w:val="20"/>
          <w:szCs w:val="20"/>
        </w:rPr>
        <w:lastRenderedPageBreak/>
        <w:t>den Unternehmenserfolg ist</w:t>
      </w:r>
      <w:r w:rsidRPr="00BE02F6">
        <w:rPr>
          <w:rFonts w:ascii="Segoe UI" w:hAnsi="Segoe UI" w:cs="Segoe UI"/>
          <w:sz w:val="20"/>
          <w:szCs w:val="20"/>
        </w:rPr>
        <w:t>, muss noch untersucht werden.</w:t>
      </w:r>
      <w:r w:rsidR="001F225B" w:rsidRPr="00BE02F6">
        <w:rPr>
          <w:rFonts w:ascii="Segoe UI" w:hAnsi="Segoe UI" w:cs="Segoe UI"/>
          <w:sz w:val="20"/>
          <w:szCs w:val="20"/>
        </w:rPr>
        <w:t xml:space="preserve"> Außerdem wäre interessant, wie genau Mischformen am besten gestaltet w</w:t>
      </w:r>
      <w:r w:rsidR="00837D5D" w:rsidRPr="00BE02F6">
        <w:rPr>
          <w:rFonts w:ascii="Segoe UI" w:hAnsi="Segoe UI" w:cs="Segoe UI"/>
          <w:sz w:val="20"/>
          <w:szCs w:val="20"/>
        </w:rPr>
        <w:t>e</w:t>
      </w:r>
      <w:r w:rsidR="001F225B" w:rsidRPr="00BE02F6">
        <w:rPr>
          <w:rFonts w:ascii="Segoe UI" w:hAnsi="Segoe UI" w:cs="Segoe UI"/>
          <w:sz w:val="20"/>
          <w:szCs w:val="20"/>
        </w:rPr>
        <w:t>rd</w:t>
      </w:r>
      <w:r w:rsidR="00837D5D" w:rsidRPr="00BE02F6">
        <w:rPr>
          <w:rFonts w:ascii="Segoe UI" w:hAnsi="Segoe UI" w:cs="Segoe UI"/>
          <w:sz w:val="20"/>
          <w:szCs w:val="20"/>
        </w:rPr>
        <w:t>en</w:t>
      </w:r>
      <w:r w:rsidR="001F225B" w:rsidRPr="00BE02F6">
        <w:rPr>
          <w:rFonts w:ascii="Segoe UI" w:hAnsi="Segoe UI" w:cs="Segoe UI"/>
          <w:sz w:val="20"/>
          <w:szCs w:val="20"/>
        </w:rPr>
        <w:t>.</w:t>
      </w:r>
      <w:r w:rsidRPr="00BE02F6">
        <w:rPr>
          <w:rFonts w:ascii="Segoe UI" w:hAnsi="Segoe UI" w:cs="Segoe UI"/>
          <w:sz w:val="20"/>
          <w:szCs w:val="20"/>
        </w:rPr>
        <w:t xml:space="preserve">“ </w:t>
      </w:r>
    </w:p>
    <w:p w14:paraId="7BC0F343" w14:textId="25F72482" w:rsidR="00C21686" w:rsidRPr="00C21686" w:rsidRDefault="00CA2FC6" w:rsidP="004C02CD">
      <w:pPr>
        <w:rPr>
          <w:rFonts w:ascii="Segoe UI" w:hAnsi="Segoe UI" w:cs="Segoe UI"/>
        </w:rPr>
      </w:pPr>
      <w:r w:rsidRPr="00BE02F6">
        <w:rPr>
          <w:rFonts w:ascii="Segoe UI" w:hAnsi="Segoe UI" w:cs="Segoe UI"/>
          <w:sz w:val="20"/>
          <w:szCs w:val="20"/>
        </w:rPr>
        <w:t>Zu</w:t>
      </w:r>
      <w:r w:rsidR="004C02CD" w:rsidRPr="00BE02F6">
        <w:rPr>
          <w:rFonts w:ascii="Segoe UI" w:hAnsi="Segoe UI" w:cs="Segoe UI"/>
          <w:sz w:val="20"/>
          <w:szCs w:val="20"/>
        </w:rPr>
        <w:t xml:space="preserve">r Studie: </w:t>
      </w:r>
      <w:hyperlink r:id="rId9" w:history="1">
        <w:r w:rsidR="004C02CD" w:rsidRPr="00BE02F6">
          <w:rPr>
            <w:rStyle w:val="Hyperlink"/>
            <w:rFonts w:ascii="Segoe UI" w:hAnsi="Segoe UI" w:cs="Segoe UI"/>
            <w:sz w:val="20"/>
            <w:szCs w:val="20"/>
          </w:rPr>
          <w:t>https://onlinelibrary.wiley.com/doi/10.1111/bjir.70012</w:t>
        </w:r>
      </w:hyperlink>
      <w:r w:rsidR="004C02CD">
        <w:rPr>
          <w:rFonts w:ascii="Segoe UI" w:hAnsi="Segoe UI" w:cs="Segoe UI"/>
        </w:rPr>
        <w:t xml:space="preserve"> </w:t>
      </w:r>
    </w:p>
    <w:sectPr w:rsidR="00C21686" w:rsidRPr="00C21686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BD003" w14:textId="77777777" w:rsidR="006870DD" w:rsidRDefault="006870DD" w:rsidP="00DA6A73">
      <w:pPr>
        <w:spacing w:after="0" w:line="240" w:lineRule="auto"/>
      </w:pPr>
      <w:r>
        <w:separator/>
      </w:r>
    </w:p>
  </w:endnote>
  <w:endnote w:type="continuationSeparator" w:id="0">
    <w:p w14:paraId="737D06A7" w14:textId="77777777" w:rsidR="006870DD" w:rsidRDefault="006870DD" w:rsidP="00DA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98FE4" w14:textId="4C15A1E0" w:rsidR="00785E24" w:rsidRDefault="002D596F" w:rsidP="00D935E7">
    <w:pPr>
      <w:pStyle w:val="Fuzeile"/>
      <w:tabs>
        <w:tab w:val="left" w:pos="3969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4EFE045" wp14:editId="45CD2B22">
              <wp:simplePos x="0" y="0"/>
              <wp:positionH relativeFrom="margin">
                <wp:posOffset>-257175</wp:posOffset>
              </wp:positionH>
              <wp:positionV relativeFrom="bottomMargin">
                <wp:posOffset>-57150</wp:posOffset>
              </wp:positionV>
              <wp:extent cx="2257425" cy="714375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7425" cy="714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2D00A2" w14:textId="77777777" w:rsidR="002D596F" w:rsidRPr="008C315B" w:rsidRDefault="002D596F" w:rsidP="002D596F">
                          <w:pPr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 w:rsidRPr="00DA25C9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Prof. Dr. Uwe Jirjahn</w:t>
                          </w:r>
                          <w:r w:rsidRPr="00DA25C9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br/>
                          </w:r>
                          <w:r w:rsidRPr="00DA25C9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VWL - Arbei</w:t>
                          </w:r>
                          <w:r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tsmarktökonomik</w:t>
                          </w:r>
                          <w:r w:rsidRPr="00DA25C9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br/>
                            <w:t xml:space="preserve">Mail: </w:t>
                          </w:r>
                          <w:r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jirjahn</w:t>
                          </w:r>
                          <w:r w:rsidRPr="00DA25C9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@uni-trier.de</w:t>
                          </w:r>
                          <w:r w:rsidRPr="00DA25C9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br/>
                            <w:t xml:space="preserve">Tel. </w:t>
                          </w:r>
                          <w:r w:rsidRPr="008C315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t>+49 651 201-26</w:t>
                          </w:r>
                          <w:r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t>08</w:t>
                          </w:r>
                          <w:r w:rsidRPr="008C315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EFE045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20.25pt;margin-top:-4.5pt;width:177.75pt;height:56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aY3aQIAAD0FAAAOAAAAZHJzL2Uyb0RvYy54bWysVEtvGyEQvlfqf0Dc67UdO25XWUduIleV&#10;oiSqU+WMWYhXZRkKY++6v74Du34o7SVVLzAw33zMk6vrtjZsp3yowBZ8NBhypqyEsrIvBf/+tPzw&#10;kbOAwpbCgFUF36vAr+fv3101Lldj2IAplWdEYkPeuIJvEF2eZUFuVC3CAJyypNTga4F09C9Z6UVD&#10;7LXJxsPhZdaAL50HqUKg29tOyeeJX2sl8UHroJCZgpNvmFaf1nVcs/mVyF+8cJtK9m6If/CiFpWl&#10;R49UtwIF2/rqD6q6kh4CaBxIqDPQupIqxUDRjIavollthFMpFkpOcMc0hf9HK+93K/foGbafoaUC&#10;xoQ0LuSBLmM8rfZ13MlTRnpK4f6YNtUik3Q5Hk9nk/GUM0m62WhyMZtGmuxk7XzALwpqFoWCeypL&#10;ypbY3QXsoAdIfMzCsjImlcZY1hT88mI6TAZHDZEbG7EqFbmnOXmeJNwbFTHGflOaVWUKIF6k9lI3&#10;xrOdoMYQUiqLKfbES+iI0uTEWwx7/Mmrtxh3cRxeBotH47qy4FP0r9wufxxc1h2ecn4WdxSxXbd9&#10;RddQ7qnQHroZCE4uK6rGnQj4KDw1PdWWBhkfaNEGKOvQS5xtwP/6233EUy+SlrOGhqjg4edWeMWZ&#10;+WqpSz+NJpM4dekwmc7GdPDnmvW5xm7rG6ByjOjLcDKJEY/mIGoP9TPN+yK+SiphJb1dcDyIN9iN&#10;Nv0XUi0WCURz5gTe2ZWTkTpWJ/baU/ssvOsbEqmV7+EwbiJ/1ZcdNlpaWGwRdJWaNia4y2qfeJrR&#10;1Pb9fxI/gfNzQp1+vflvAAAA//8DAFBLAwQUAAYACAAAACEAWaTTA+EAAAAKAQAADwAAAGRycy9k&#10;b3ducmV2LnhtbEyPwU7DMBBE70j8g7VI3Fq7LUEljVNVkSokBIeWXrhtYjeJGq9D7LaBr2c5wW1G&#10;+zQ7k61H14mLHULrScNsqkBYqrxpqdZweN9OliBCRDLYebIavmyAdX57k2Fq/JV29rKPteAQCilq&#10;aGLsUylD1ViHYep7S3w7+sFhZDvU0gx45XDXyblSj9JhS/yhwd4Wja1O+7PT8FJs33BXzt3yuyue&#10;X4+b/vPwkWh9fzduViCiHeMfDL/1uTrk3Kn0ZzJBdBomDyphlMUTb2JgMUtYlEyqRQIyz+T/CfkP&#10;AAAA//8DAFBLAQItABQABgAIAAAAIQC2gziS/gAAAOEBAAATAAAAAAAAAAAAAAAAAAAAAABbQ29u&#10;dGVudF9UeXBlc10ueG1sUEsBAi0AFAAGAAgAAAAhADj9If/WAAAAlAEAAAsAAAAAAAAAAAAAAAAA&#10;LwEAAF9yZWxzLy5yZWxzUEsBAi0AFAAGAAgAAAAhAKGdpjdpAgAAPQUAAA4AAAAAAAAAAAAAAAAA&#10;LgIAAGRycy9lMm9Eb2MueG1sUEsBAi0AFAAGAAgAAAAhAFmk0wPhAAAACgEAAA8AAAAAAAAAAAAA&#10;AAAAwwQAAGRycy9kb3ducmV2LnhtbFBLBQYAAAAABAAEAPMAAADRBQAAAAA=&#10;" filled="f" stroked="f" strokeweight=".5pt">
              <v:textbox>
                <w:txbxContent>
                  <w:p w14:paraId="312D00A2" w14:textId="77777777" w:rsidR="002D596F" w:rsidRPr="008C315B" w:rsidRDefault="002D596F" w:rsidP="002D596F">
                    <w:pPr>
                      <w:rPr>
                        <w:rFonts w:ascii="Segoe UI" w:hAnsi="Segoe UI" w:cs="Segoe UI"/>
                        <w:b/>
                        <w:sz w:val="18"/>
                        <w:szCs w:val="18"/>
                        <w:lang w:val="en-US"/>
                      </w:rPr>
                    </w:pPr>
                    <w:r w:rsidRPr="00DA25C9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Prof. Dr. Uwe Jirjahn</w:t>
                    </w:r>
                    <w:r w:rsidRPr="00DA25C9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br/>
                    </w:r>
                    <w:r w:rsidRPr="00DA25C9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VWL - Arbei</w:t>
                    </w:r>
                    <w:r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tsmarktökonomik</w:t>
                    </w:r>
                    <w:r w:rsidRPr="00DA25C9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br/>
                      <w:t xml:space="preserve">Mail: </w:t>
                    </w:r>
                    <w:r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jirjahn</w:t>
                    </w:r>
                    <w:r w:rsidRPr="00DA25C9">
                      <w:rPr>
                        <w:rFonts w:ascii="Segoe UI" w:hAnsi="Segoe UI" w:cs="Segoe UI"/>
                        <w:sz w:val="18"/>
                        <w:szCs w:val="18"/>
                      </w:rPr>
                      <w:t>@uni-trier.de</w:t>
                    </w:r>
                    <w:r w:rsidRPr="00DA25C9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br/>
                      <w:t xml:space="preserve">Tel. </w:t>
                    </w:r>
                    <w:r w:rsidRPr="008C315B"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t>+49 651 201-26</w:t>
                    </w:r>
                    <w:r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t>08</w:t>
                    </w:r>
                    <w:r w:rsidRPr="008C315B"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br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760A2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2FA8210" wp14:editId="54018631">
              <wp:simplePos x="0" y="0"/>
              <wp:positionH relativeFrom="column">
                <wp:posOffset>2081530</wp:posOffset>
              </wp:positionH>
              <wp:positionV relativeFrom="page">
                <wp:posOffset>9915525</wp:posOffset>
              </wp:positionV>
              <wp:extent cx="3057525" cy="752475"/>
              <wp:effectExtent l="0" t="0" r="0" b="0"/>
              <wp:wrapNone/>
              <wp:docPr id="1476865770" name="Textfeld 14768657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3CA919" w14:textId="77777777" w:rsidR="00760A28" w:rsidRPr="005D4912" w:rsidRDefault="00760A28" w:rsidP="00760A28">
                          <w:pP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Universität Trier | </w:t>
                          </w:r>
                          <w:r w:rsidRPr="005D49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Kommunikation &amp; Marketing</w:t>
                          </w:r>
                          <w:r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>Mail: kommunikation@uni-trier.de</w:t>
                          </w:r>
                          <w:r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>Tel. +49 651 201-4239</w:t>
                          </w:r>
                          <w:r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news</w:t>
                          </w:r>
                          <w:r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.uni-trier.de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FA8210" id="Textfeld 1476865770" o:spid="_x0000_s1027" type="#_x0000_t202" style="position:absolute;margin-left:163.9pt;margin-top:780.75pt;width:240.75pt;height:5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7fagIAAEQFAAAOAAAAZHJzL2Uyb0RvYy54bWysVEtvGjEQvlfqf7B8LwsEkhaxRJSIqhJK&#10;oiZVzsZrw6pej2sP7NJf37F3eSjtJVUv9tjzzXi+eXh621SG7ZUPJdicD3p9zpSVUJR2k/Pvz8sP&#10;HzkLKGwhDFiV84MK/Hb2/t20dhM1hC2YQnlGTmyY1C7nW0Q3ybIgt6oSoQdOWVJq8JVAOvpNVnhR&#10;k/fKZMN+/zqrwRfOg1Qh0O1dq+Sz5F9rJfFB66CQmZxTbJhWn9Z1XLPZVEw2XrhtKbswxD9EUYnS&#10;0qMnV3cCBdv58g9XVSk9BNDYk1BloHUpVeJAbAb9V2yetsKpxIWSE9wpTeH/uZX3+yf36Bk2n6Gh&#10;AsaE1C5MAl1GPo32VdwpUkZ6SuHhlDbVIJN0edUf34yHY84k6Uga3Yyjm+xs7XzALwoqFoWceypL&#10;ypbYrwK20CMkPmZhWRqTSmMsq3N+fTXuJ4OThpwbG7EqFblzc448SXgwKmKM/aY0K4tEIF6k9lIL&#10;49leUGMIKZXFxD35JXREaQriLYYd/hzVW4xbHseXweLJuCot+MT+VdjFj2PIusVTzi94RxGbdUPE&#10;Lwq7huJA9fbQjkJwcllSUVYi4KPw1PtUYppnfKBFG6DkQydxtgX/62/3EU8tSVrOapqlnIefO+EV&#10;Z+arpWb9NBiN4vClw2h8M6SDv9SsLzV2Vy2AqjKgn8PJJEY8mqOoPVQvNPbz+CqphJX0ds7xKC6w&#10;nXD6NqSazxOIxs0JXNknJ6PrWKTYcs/Ni/Cu60ukjr6H49SJyav2bLHR0sJ8h6DL1Lsxz21Wu/zT&#10;qKbu776V+BdcnhPq/PnNfgMAAP//AwBQSwMEFAAGAAgAAAAhACpkmnXjAAAADQEAAA8AAABkcnMv&#10;ZG93bnJldi54bWxMj8FOwzAQRO9I/IO1SNyo3VQJIcSpqkgVEoJDSy/cnNhNIux1iN028PUsJzjO&#10;zmjmbbmenWVnM4XBo4TlQgAz2Ho9YCfh8La9y4GFqFAr69FI+DIB1tX1VakK7S+4M+d97BiVYCiU&#10;hD7GseA8tL1xKiz8aJC8o5+ciiSnjutJXajcWZ4IkXGnBqSFXo2m7k37sT85Cc/19lXtmsTl37Z+&#10;ejluxs/Deyrl7c28eQQWzRz/wvCLT+hQEVPjT6gDsxJWyT2hRzLSbJkCo0guHlbAGjpluRDAq5L/&#10;/6L6AQAA//8DAFBLAQItABQABgAIAAAAIQC2gziS/gAAAOEBAAATAAAAAAAAAAAAAAAAAAAAAABb&#10;Q29udGVudF9UeXBlc10ueG1sUEsBAi0AFAAGAAgAAAAhADj9If/WAAAAlAEAAAsAAAAAAAAAAAAA&#10;AAAALwEAAF9yZWxzLy5yZWxzUEsBAi0AFAAGAAgAAAAhAE6dvt9qAgAARAUAAA4AAAAAAAAAAAAA&#10;AAAALgIAAGRycy9lMm9Eb2MueG1sUEsBAi0AFAAGAAgAAAAhACpkmnXjAAAADQEAAA8AAAAAAAAA&#10;AAAAAAAAxAQAAGRycy9kb3ducmV2LnhtbFBLBQYAAAAABAAEAPMAAADUBQAAAAA=&#10;" filled="f" stroked="f" strokeweight=".5pt">
              <v:textbox>
                <w:txbxContent>
                  <w:p w14:paraId="1E3CA919" w14:textId="77777777" w:rsidR="00760A28" w:rsidRPr="005D4912" w:rsidRDefault="00760A28" w:rsidP="00760A28">
                    <w:pPr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 xml:space="preserve">Universität Trier | </w:t>
                    </w:r>
                    <w:r w:rsidRPr="005D4912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Kommunikation &amp; Marketing</w:t>
                    </w:r>
                    <w:r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>Mail: kommunikation@uni-trier.de</w:t>
                    </w:r>
                    <w:r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>Tel. +49 651 201-4239</w:t>
                    </w:r>
                    <w:r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>
                      <w:rPr>
                        <w:rFonts w:ascii="Segoe UI" w:hAnsi="Segoe UI" w:cs="Segoe UI"/>
                        <w:sz w:val="18"/>
                        <w:szCs w:val="18"/>
                      </w:rPr>
                      <w:t>news</w:t>
                    </w:r>
                    <w:r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.uni-trier.de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F54F7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3DD7FDE" wp14:editId="003A843F">
              <wp:simplePos x="0" y="0"/>
              <wp:positionH relativeFrom="page">
                <wp:posOffset>0</wp:posOffset>
              </wp:positionH>
              <wp:positionV relativeFrom="paragraph">
                <wp:posOffset>-226060</wp:posOffset>
              </wp:positionV>
              <wp:extent cx="13192125" cy="45085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13192125" cy="45085"/>
                      </a:xfrm>
                      <a:prstGeom prst="rect">
                        <a:avLst/>
                      </a:prstGeom>
                      <a:solidFill>
                        <a:srgbClr val="007BC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D53119" id="Rectangle 3" o:spid="_x0000_s1026" style="position:absolute;margin-left:0;margin-top:-17.8pt;width:1038.75pt;height:3.55pt;flip:y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54DgIAAPcDAAAOAAAAZHJzL2Uyb0RvYy54bWysU02P0zAQvSPxHyzfaZLSsm3UdLV0WYS0&#10;fEi7cHcdJ7FwPGbsNi2/nrFTtRV7Q+RgeTKeN2+en1e3h96wvUKvwVa8mOScKSuh1rat+PfnhzcL&#10;znwQthYGrKr4UXl+u379ajW4Uk2hA1MrZARifTm4inchuDLLvOxUL/wEnLKUbAB7ESjENqtRDITe&#10;m2ya5++yAbB2CFJ5T3/vxyRfJ/ymUTJ8bRqvAjMVJ24hrZjWbVyz9UqULQrXaXmiIf6BRS+0paZn&#10;qHsRBNuhfgHVa4ngoQkTCX0GTaOlSjPQNEX+1zRPnXAqzULieHeWyf8/WPll/+S+YaTu3SPIn55Z&#10;2HTCtuoOEYZOiZraFVGobHC+PBfEwFMp2w6foaarFbsASYNDgz1rjHY/YmGEpjnZIYl+PIuuDoFJ&#10;+lm8LZbTYjrnTFJyNs8X89RMlBEnVjv04aOCnsVNxZEuNaGK/aMPkdflSJoDjK4ftDEpwHa7Mcj2&#10;Ihogv3m/mZ3Q/fUxY9lQ8eWcaMQqC7E+eaPXgQxqdF/xRR6/0TJRlw+2TkeC0GbcExNjT0JFbaIN&#10;fbmF+kg6IYzuo9dCmw7wN2cDOa/i/tdOoOLMfLKk9bKYzaJVUzCb30wpwOvM9jojrCSoigfOxu0m&#10;jPbeOdRtR53GK7BwR/fT6CTYhdWJLLkr6Xh6CdG+13E6dXmv6z8AAAD//wMAUEsDBBQABgAIAAAA&#10;IQDbsBoP2wAAAAkBAAAPAAAAZHJzL2Rvd25yZXYueG1sTI/BTsMwDIbvSLxDZCRuW7qidlFpOqFJ&#10;O3FicOGWNaaNaJwqybbC02NOcLQ/6/f3t7vFT+KCMblAGjbrAgRSH6yjQcPb62GlQKRsyJopEGr4&#10;wgS77vamNY0NV3rByzEPgkMoNUbDmPPcSJn6Eb1J6zAjMfsI0ZvMYxykjebK4X6SZVHU0htH/GE0&#10;M+5H7D+PZ6/hMLi4xyV7tfl2tVVZPcf3pPX93fL0CCIz+juGX31Wh46dTuFMNolJAxfJGlYPVQ2C&#10;cVlstxWIE69KVYHsWvm/QfcDAAD//wMAUEsBAi0AFAAGAAgAAAAhALaDOJL+AAAA4QEAABMAAAAA&#10;AAAAAAAAAAAAAAAAAFtDb250ZW50X1R5cGVzXS54bWxQSwECLQAUAAYACAAAACEAOP0h/9YAAACU&#10;AQAACwAAAAAAAAAAAAAAAAAvAQAAX3JlbHMvLnJlbHNQSwECLQAUAAYACAAAACEArbBueA4CAAD3&#10;AwAADgAAAAAAAAAAAAAAAAAuAgAAZHJzL2Uyb0RvYy54bWxQSwECLQAUAAYACAAAACEA27AaD9sA&#10;AAAJAQAADwAAAAAAAAAAAAAAAABoBAAAZHJzL2Rvd25yZXYueG1sUEsFBgAAAAAEAAQA8wAAAHAF&#10;AAAAAA==&#10;" fillcolor="#007bc4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03BBA" w14:textId="77777777" w:rsidR="006870DD" w:rsidRDefault="006870DD" w:rsidP="00DA6A73">
      <w:pPr>
        <w:spacing w:after="0" w:line="240" w:lineRule="auto"/>
      </w:pPr>
      <w:r>
        <w:separator/>
      </w:r>
    </w:p>
  </w:footnote>
  <w:footnote w:type="continuationSeparator" w:id="0">
    <w:p w14:paraId="11113D22" w14:textId="77777777" w:rsidR="006870DD" w:rsidRDefault="006870DD" w:rsidP="00DA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388B0" w14:textId="77777777" w:rsidR="00DA6A73" w:rsidRDefault="00DA6A73" w:rsidP="0085213C">
    <w:pPr>
      <w:pStyle w:val="Kopfzeile"/>
      <w:tabs>
        <w:tab w:val="left" w:pos="41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BCF"/>
    <w:multiLevelType w:val="hybridMultilevel"/>
    <w:tmpl w:val="FB64C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84EF6"/>
    <w:multiLevelType w:val="hybridMultilevel"/>
    <w:tmpl w:val="07AE0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14F13"/>
    <w:multiLevelType w:val="hybridMultilevel"/>
    <w:tmpl w:val="8C982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E356A"/>
    <w:multiLevelType w:val="hybridMultilevel"/>
    <w:tmpl w:val="D18C7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57641"/>
    <w:multiLevelType w:val="hybridMultilevel"/>
    <w:tmpl w:val="F5A426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055093">
    <w:abstractNumId w:val="0"/>
  </w:num>
  <w:num w:numId="2" w16cid:durableId="314534691">
    <w:abstractNumId w:val="3"/>
  </w:num>
  <w:num w:numId="3" w16cid:durableId="644358702">
    <w:abstractNumId w:val="1"/>
  </w:num>
  <w:num w:numId="4" w16cid:durableId="71465270">
    <w:abstractNumId w:val="4"/>
  </w:num>
  <w:num w:numId="5" w16cid:durableId="1050110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81"/>
    <w:rsid w:val="00004977"/>
    <w:rsid w:val="0003146F"/>
    <w:rsid w:val="00041CDF"/>
    <w:rsid w:val="00047535"/>
    <w:rsid w:val="0006256F"/>
    <w:rsid w:val="0008586B"/>
    <w:rsid w:val="000A184E"/>
    <w:rsid w:val="000A4540"/>
    <w:rsid w:val="000E473C"/>
    <w:rsid w:val="00106F98"/>
    <w:rsid w:val="00114AA3"/>
    <w:rsid w:val="00114F9C"/>
    <w:rsid w:val="00125005"/>
    <w:rsid w:val="001901D5"/>
    <w:rsid w:val="001D315E"/>
    <w:rsid w:val="001D4ADB"/>
    <w:rsid w:val="001F225B"/>
    <w:rsid w:val="001F7FE6"/>
    <w:rsid w:val="00220436"/>
    <w:rsid w:val="0023436E"/>
    <w:rsid w:val="00246381"/>
    <w:rsid w:val="00266D4C"/>
    <w:rsid w:val="002872B6"/>
    <w:rsid w:val="00293AEB"/>
    <w:rsid w:val="002B1AC3"/>
    <w:rsid w:val="002C70F9"/>
    <w:rsid w:val="002D596F"/>
    <w:rsid w:val="002E4523"/>
    <w:rsid w:val="003507AC"/>
    <w:rsid w:val="003929B4"/>
    <w:rsid w:val="003A715E"/>
    <w:rsid w:val="003C2258"/>
    <w:rsid w:val="003E4838"/>
    <w:rsid w:val="0041679A"/>
    <w:rsid w:val="00441DE7"/>
    <w:rsid w:val="00466D2D"/>
    <w:rsid w:val="00495EA3"/>
    <w:rsid w:val="004A1314"/>
    <w:rsid w:val="004C02CD"/>
    <w:rsid w:val="004F45A2"/>
    <w:rsid w:val="00533696"/>
    <w:rsid w:val="00543D61"/>
    <w:rsid w:val="005460B0"/>
    <w:rsid w:val="0058424D"/>
    <w:rsid w:val="005C0C69"/>
    <w:rsid w:val="005C2131"/>
    <w:rsid w:val="005D4912"/>
    <w:rsid w:val="005E3269"/>
    <w:rsid w:val="005F7C2C"/>
    <w:rsid w:val="006056DA"/>
    <w:rsid w:val="00612336"/>
    <w:rsid w:val="0061414D"/>
    <w:rsid w:val="00624480"/>
    <w:rsid w:val="00624E6E"/>
    <w:rsid w:val="00642FB2"/>
    <w:rsid w:val="00643D35"/>
    <w:rsid w:val="006516BD"/>
    <w:rsid w:val="0065449C"/>
    <w:rsid w:val="006678B2"/>
    <w:rsid w:val="0067196D"/>
    <w:rsid w:val="0067272E"/>
    <w:rsid w:val="006847B7"/>
    <w:rsid w:val="006870DD"/>
    <w:rsid w:val="006A069A"/>
    <w:rsid w:val="006C2F69"/>
    <w:rsid w:val="006C7D81"/>
    <w:rsid w:val="006F309B"/>
    <w:rsid w:val="007336D7"/>
    <w:rsid w:val="00734C72"/>
    <w:rsid w:val="007508B4"/>
    <w:rsid w:val="007570B4"/>
    <w:rsid w:val="00760A28"/>
    <w:rsid w:val="00775625"/>
    <w:rsid w:val="00777DFA"/>
    <w:rsid w:val="00785E24"/>
    <w:rsid w:val="00786430"/>
    <w:rsid w:val="007A7826"/>
    <w:rsid w:val="007D18D6"/>
    <w:rsid w:val="007D200B"/>
    <w:rsid w:val="007D5DBD"/>
    <w:rsid w:val="007E0D3F"/>
    <w:rsid w:val="007E66B3"/>
    <w:rsid w:val="00804B56"/>
    <w:rsid w:val="00834502"/>
    <w:rsid w:val="00837D5D"/>
    <w:rsid w:val="008429BB"/>
    <w:rsid w:val="0085213C"/>
    <w:rsid w:val="008541E6"/>
    <w:rsid w:val="00897348"/>
    <w:rsid w:val="008A61BF"/>
    <w:rsid w:val="008B1E39"/>
    <w:rsid w:val="008B7960"/>
    <w:rsid w:val="008F2D6D"/>
    <w:rsid w:val="00915636"/>
    <w:rsid w:val="009160A7"/>
    <w:rsid w:val="00922F02"/>
    <w:rsid w:val="00976A72"/>
    <w:rsid w:val="009831E6"/>
    <w:rsid w:val="0099127B"/>
    <w:rsid w:val="009B0781"/>
    <w:rsid w:val="009D6C87"/>
    <w:rsid w:val="009F2EBC"/>
    <w:rsid w:val="00A14B11"/>
    <w:rsid w:val="00A24ABD"/>
    <w:rsid w:val="00A343F7"/>
    <w:rsid w:val="00A46196"/>
    <w:rsid w:val="00A60B03"/>
    <w:rsid w:val="00A92E97"/>
    <w:rsid w:val="00AA2D69"/>
    <w:rsid w:val="00AA5B62"/>
    <w:rsid w:val="00AD3FF8"/>
    <w:rsid w:val="00AE2510"/>
    <w:rsid w:val="00AE505D"/>
    <w:rsid w:val="00B03EA9"/>
    <w:rsid w:val="00B235C0"/>
    <w:rsid w:val="00B35B34"/>
    <w:rsid w:val="00B46169"/>
    <w:rsid w:val="00B66ED8"/>
    <w:rsid w:val="00B83E22"/>
    <w:rsid w:val="00BB0423"/>
    <w:rsid w:val="00BB6758"/>
    <w:rsid w:val="00BC0C72"/>
    <w:rsid w:val="00BD26B8"/>
    <w:rsid w:val="00BE02F6"/>
    <w:rsid w:val="00BE56ED"/>
    <w:rsid w:val="00BF54F7"/>
    <w:rsid w:val="00C21686"/>
    <w:rsid w:val="00C2315B"/>
    <w:rsid w:val="00C238AC"/>
    <w:rsid w:val="00C654F4"/>
    <w:rsid w:val="00C85FA4"/>
    <w:rsid w:val="00C86FFA"/>
    <w:rsid w:val="00CA2FC6"/>
    <w:rsid w:val="00CA48D2"/>
    <w:rsid w:val="00CB5F79"/>
    <w:rsid w:val="00CB6213"/>
    <w:rsid w:val="00CE5E48"/>
    <w:rsid w:val="00CF3D08"/>
    <w:rsid w:val="00D43E7D"/>
    <w:rsid w:val="00D62A5F"/>
    <w:rsid w:val="00D760C1"/>
    <w:rsid w:val="00D81A3D"/>
    <w:rsid w:val="00D935E7"/>
    <w:rsid w:val="00DA6A73"/>
    <w:rsid w:val="00DB4B86"/>
    <w:rsid w:val="00DD2063"/>
    <w:rsid w:val="00DE3067"/>
    <w:rsid w:val="00DF2D33"/>
    <w:rsid w:val="00E068BA"/>
    <w:rsid w:val="00E1244E"/>
    <w:rsid w:val="00E1621B"/>
    <w:rsid w:val="00E21D85"/>
    <w:rsid w:val="00E23231"/>
    <w:rsid w:val="00E35232"/>
    <w:rsid w:val="00E54457"/>
    <w:rsid w:val="00E6292C"/>
    <w:rsid w:val="00E65650"/>
    <w:rsid w:val="00E7009C"/>
    <w:rsid w:val="00ED1ED3"/>
    <w:rsid w:val="00EF285C"/>
    <w:rsid w:val="00EF3C9A"/>
    <w:rsid w:val="00EF6EE2"/>
    <w:rsid w:val="00F0270C"/>
    <w:rsid w:val="00F31F75"/>
    <w:rsid w:val="00F36B2E"/>
    <w:rsid w:val="00F53AEF"/>
    <w:rsid w:val="00F70988"/>
    <w:rsid w:val="00F71C18"/>
    <w:rsid w:val="00F81DAA"/>
    <w:rsid w:val="00F87C12"/>
    <w:rsid w:val="00F9776B"/>
    <w:rsid w:val="00FA1900"/>
    <w:rsid w:val="00FA5D6E"/>
    <w:rsid w:val="00FB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A96AC"/>
  <w15:chartTrackingRefBased/>
  <w15:docId w15:val="{9659A8A9-A2E6-4044-AAF5-406636BB3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A6A7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6A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6A7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A73"/>
  </w:style>
  <w:style w:type="paragraph" w:styleId="Fuzeile">
    <w:name w:val="footer"/>
    <w:basedOn w:val="Standard"/>
    <w:link w:val="Fu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A73"/>
  </w:style>
  <w:style w:type="character" w:styleId="Hyperlink">
    <w:name w:val="Hyperlink"/>
    <w:uiPriority w:val="99"/>
    <w:rsid w:val="00785E2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26B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473C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B235C0"/>
    <w:rPr>
      <w:b/>
      <w:bCs/>
    </w:rPr>
  </w:style>
  <w:style w:type="character" w:styleId="Hervorhebung">
    <w:name w:val="Emphasis"/>
    <w:rsid w:val="00B235C0"/>
    <w:rPr>
      <w:i/>
      <w:iCs/>
    </w:rPr>
  </w:style>
  <w:style w:type="paragraph" w:styleId="Listenabsatz">
    <w:name w:val="List Paragraph"/>
    <w:basedOn w:val="Standard"/>
    <w:uiPriority w:val="34"/>
    <w:qFormat/>
    <w:rsid w:val="00AA2D6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36D7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60B03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60B0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60B0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60B0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0B0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0B03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A2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5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nlinelibrary.wiley.com/doi/10.1111/bjir.7001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warzenbar\Desktop\Briefkopf%20PM%202022_Kommunikation%20und%20Market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F0F4-49AF-4D78-91A0-976A9C5F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PM 2022_Kommunikation und Marketing</Template>
  <TotalTime>0</TotalTime>
  <Pages>2</Pages>
  <Words>381</Words>
  <Characters>2401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Schwarzenbart, Jasmin</dc:creator>
  <cp:keywords/>
  <dc:description/>
  <cp:lastModifiedBy>Hurka, Susanne</cp:lastModifiedBy>
  <cp:revision>2</cp:revision>
  <cp:lastPrinted>2022-04-06T10:26:00Z</cp:lastPrinted>
  <dcterms:created xsi:type="dcterms:W3CDTF">2026-07-08T10:07:00Z</dcterms:created>
  <dcterms:modified xsi:type="dcterms:W3CDTF">2026-07-08T10:07:00Z</dcterms:modified>
</cp:coreProperties>
</file>