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06C2" w14:textId="77777777" w:rsidR="00A82EAA" w:rsidRPr="002E1A16" w:rsidRDefault="00DD0C45" w:rsidP="00DD0C45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小松研治　履歴</w:t>
      </w:r>
      <w:r w:rsidR="00A82EAA" w:rsidRPr="002E1A1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   </w:t>
      </w:r>
    </w:p>
    <w:p w14:paraId="4F0B4519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Kenji KOMATSU</w:t>
      </w:r>
    </w:p>
    <w:p w14:paraId="7E66BD66" w14:textId="77777777" w:rsidR="00DD0C45" w:rsidRPr="002E1A16" w:rsidRDefault="00DD0C45" w:rsidP="00DD0C45">
      <w:pPr>
        <w:jc w:val="left"/>
        <w:rPr>
          <w:rFonts w:ascii="ＭＳ Ｐゴシック" w:eastAsia="SimSun" w:hAnsi="ＭＳ Ｐゴシック"/>
          <w:color w:val="000000" w:themeColor="text1"/>
          <w:szCs w:val="21"/>
          <w:lang w:eastAsia="zh-CN"/>
        </w:rPr>
      </w:pPr>
    </w:p>
    <w:p w14:paraId="467CF2C8" w14:textId="77777777" w:rsidR="00A82EAA" w:rsidRPr="002E1A16" w:rsidRDefault="00A82EAA" w:rsidP="00DD0C45">
      <w:pPr>
        <w:jc w:val="left"/>
        <w:rPr>
          <w:rFonts w:ascii="ＭＳ Ｐゴシック" w:eastAsia="SimSun" w:hAnsi="ＭＳ Ｐゴシック"/>
          <w:color w:val="000000" w:themeColor="text1"/>
          <w:szCs w:val="21"/>
          <w:lang w:eastAsia="zh-CN"/>
        </w:rPr>
      </w:pPr>
    </w:p>
    <w:p w14:paraId="427ABEE5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■</w:t>
      </w:r>
      <w:r w:rsidR="00270E29"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Profile</w:t>
      </w:r>
    </w:p>
    <w:p w14:paraId="79FA21AB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1955    Born in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Komagane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City, Nagano prefecture　</w:t>
      </w:r>
      <w:r w:rsidR="00D1430C" w:rsidRPr="002E1A1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Japan</w:t>
      </w:r>
    </w:p>
    <w:p w14:paraId="0BEA8C18" w14:textId="77777777" w:rsidR="00DD0C45" w:rsidRPr="002E1A16" w:rsidRDefault="00DD0C45" w:rsidP="00DD0C45">
      <w:pPr>
        <w:ind w:left="851" w:hanging="851"/>
        <w:jc w:val="left"/>
        <w:rPr>
          <w:rFonts w:ascii="ＭＳ Ｐゴシック" w:eastAsia="ＭＳ Ｐゴシック" w:hAnsi="ＭＳ Ｐゴシック"/>
          <w:color w:val="000000" w:themeColor="text1"/>
          <w:szCs w:val="21"/>
          <w:lang w:eastAsia="zh-TW"/>
        </w:rPr>
      </w:pPr>
    </w:p>
    <w:p w14:paraId="400D28A5" w14:textId="77777777" w:rsidR="00DD0C45" w:rsidRPr="002E1A16" w:rsidRDefault="00DD0C45" w:rsidP="00DD0C45">
      <w:pPr>
        <w:ind w:left="851" w:hanging="85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  <w:lang w:eastAsia="zh-TW"/>
        </w:rPr>
        <w:t xml:space="preserve">1983    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Completed the graduate course of Fine Arts at Tokyo National University of Fine Art</w:t>
      </w:r>
      <w:r w:rsidRPr="002E1A1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and Music </w:t>
      </w:r>
    </w:p>
    <w:p w14:paraId="53DD170F" w14:textId="77777777" w:rsidR="00DD0C45" w:rsidRPr="002E1A16" w:rsidRDefault="00DD0C45" w:rsidP="00DD0C45">
      <w:pPr>
        <w:ind w:left="851" w:hanging="85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3CA8179" w14:textId="77777777" w:rsidR="00DD0C45" w:rsidRPr="002E1A16" w:rsidRDefault="00DD0C45" w:rsidP="00DD0C45">
      <w:pPr>
        <w:ind w:left="851" w:hanging="85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1986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  <w:lang w:val="en-CA"/>
        </w:rPr>
        <w:tab/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Started teaching at the Faculty of Industrial Art, Takaoka College of Art, Design and Regional </w:t>
      </w:r>
      <w:proofErr w:type="gram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Business </w:t>
      </w:r>
      <w:r w:rsidR="00A06A19"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.</w:t>
      </w:r>
      <w:proofErr w:type="gramEnd"/>
    </w:p>
    <w:p w14:paraId="6AD5F5CA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D4349BC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2003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Became a professor at the Faculty of Figurative Art, Takaoka College of Art, Design and Regional Business</w:t>
      </w:r>
    </w:p>
    <w:p w14:paraId="097074D0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A3DF5ED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2005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Became a professor at the University of Toyama, Faculty of Art and Design</w:t>
      </w:r>
    </w:p>
    <w:p w14:paraId="76105EEF" w14:textId="77777777" w:rsidR="00DD0C45" w:rsidRPr="002E1A16" w:rsidRDefault="00DD0C45" w:rsidP="00DD0C45">
      <w:pPr>
        <w:ind w:left="619" w:hangingChars="295" w:hanging="61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D16EEDB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2005    Became a professor at the University of Toyama, Faculty of Art and Design (Retired on March 31, 2017)</w:t>
      </w:r>
    </w:p>
    <w:p w14:paraId="23D64777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E80561A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2017    Established the Komatsu Arts and Crafts Studio (April)</w:t>
      </w:r>
    </w:p>
    <w:p w14:paraId="4C741449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C3B23A4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3D30C5E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■</w:t>
      </w:r>
      <w:r w:rsidR="00270E29"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History of Exhibitions</w:t>
      </w:r>
    </w:p>
    <w:p w14:paraId="728E380E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1985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Produced sets of benches and tables to be installed in Green Rooms A, B and C at the National Children’s Castle Theater in Aoyama, Tokyo.</w:t>
      </w:r>
    </w:p>
    <w:p w14:paraId="55095CFB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340F89A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1987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 xml:space="preserve">Produced trees and stone benches A and B to be installed in a shopping mall in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Katahara-cho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, Takamatsu City, Kagawa Prefecture.</w:t>
      </w:r>
    </w:p>
    <w:p w14:paraId="4E8E099B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A135B19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1990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 xml:space="preserve">Produced trees and stone benches to be installed inside the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Mishima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City Cultural Hall.</w:t>
      </w:r>
    </w:p>
    <w:p w14:paraId="139A951E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C575ADE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1995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 xml:space="preserve">Kenji Komatsu Exhibition: Toyama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Shimin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Plaza and Gallery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Tsunoda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in Higashi-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Nihonbashi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, Tokyo.</w:t>
      </w:r>
    </w:p>
    <w:p w14:paraId="2E45CE9E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7144051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1997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Kenji Komatsu Exhibition: “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Ie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aru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katachi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(Shapes accommodating a house)” at Gallery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Shinsakuramachi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in Toyama City, Toyama Prefecture.</w:t>
      </w:r>
    </w:p>
    <w:p w14:paraId="6EF430C0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8FF20F9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1998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 xml:space="preserve">Exhibition of Japanese Artists,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Alvesta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, Station Gallery in Sweden.　</w:t>
      </w:r>
    </w:p>
    <w:p w14:paraId="5EA0C799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9161BF0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2000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 xml:space="preserve">Produced “Toki no Kei (Scenery of Time)” to be installed in the entrance hall of Kawada Clinic, Takaoka City, Toyama Prefecture.　</w:t>
      </w:r>
    </w:p>
    <w:p w14:paraId="403A9A7B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34547C9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2007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Kenji Komatsu Exhibition: “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Rakuen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(Paradise of Follies)” – Ten Inhabitants –, Takaoka Art Museum Gallery.</w:t>
      </w:r>
    </w:p>
    <w:p w14:paraId="33DFC176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A0DA4BC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2008 　  “Bench on Wheels” Joint project in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Mariestad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(SWEDEN), Purchase by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Mariestad</w:t>
      </w:r>
      <w:proofErr w:type="spellEnd"/>
    </w:p>
    <w:p w14:paraId="6875841B" w14:textId="77777777" w:rsidR="00DD0C45" w:rsidRPr="002E1A16" w:rsidRDefault="00DD0C45" w:rsidP="00DD0C45">
      <w:pPr>
        <w:ind w:left="945" w:hangingChars="450" w:hanging="94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F59E868" w14:textId="77777777" w:rsidR="00DD0C45" w:rsidRPr="002E1A16" w:rsidRDefault="00DD0C45" w:rsidP="00DD0C45">
      <w:pPr>
        <w:ind w:left="945" w:hangingChars="450" w:hanging="94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2009    Kenji Komatsu Exhibition: A Sequel of “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Rakuen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(Paradise of Follies)” –Ten Inhabitants – Tokyo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Mimami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oyama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Gallery 5610.</w:t>
      </w:r>
    </w:p>
    <w:p w14:paraId="3735CD80" w14:textId="77777777" w:rsidR="00DD0C45" w:rsidRPr="002E1A16" w:rsidRDefault="00DD0C45" w:rsidP="00DD0C45">
      <w:pPr>
        <w:ind w:left="1050" w:hangingChars="500" w:hanging="10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6197ABF" w14:textId="77777777" w:rsidR="00DD0C45" w:rsidRPr="002E1A16" w:rsidRDefault="00DD0C45" w:rsidP="00DD0C45">
      <w:pPr>
        <w:ind w:left="1050" w:hangingChars="500" w:hanging="10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2011　   Kenji Komatsu Exhibition: A Sequel of “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Rakuen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(Paradise of Follies)” –Ten Inhabitants – Tokyo Tanaka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yaesu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Gallery.</w:t>
      </w:r>
    </w:p>
    <w:p w14:paraId="3A86C3A9" w14:textId="77777777" w:rsidR="00A06A19" w:rsidRPr="002E1A16" w:rsidRDefault="00A06A19" w:rsidP="00DD0C45">
      <w:pPr>
        <w:ind w:left="1050" w:hangingChars="500" w:hanging="10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F0CEECD" w14:textId="77777777" w:rsidR="00DD0C45" w:rsidRPr="002E1A16" w:rsidRDefault="00DD0C45" w:rsidP="00DD0C45">
      <w:pPr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2012    Kenji Komatsu Exhibition: “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Rakuen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(Paradise of Follies)” –Thirty Inhabitants – Tokyo Tanaka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yaesu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Gallery.</w:t>
      </w:r>
    </w:p>
    <w:p w14:paraId="0E322876" w14:textId="77777777" w:rsidR="00DD0C45" w:rsidRPr="002E1A16" w:rsidRDefault="00DD0C45" w:rsidP="00DD0C45">
      <w:pPr>
        <w:ind w:left="1050" w:hangingChars="500" w:hanging="10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546DF41" w14:textId="77777777" w:rsidR="00DD0C45" w:rsidRPr="002E1A16" w:rsidRDefault="00DD0C45" w:rsidP="00DD0C45">
      <w:pPr>
        <w:ind w:left="1050" w:hangingChars="500" w:hanging="10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2013　　</w:t>
      </w:r>
      <w:r w:rsidRPr="002E1A1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Traveling Exhibition </w:t>
      </w:r>
    </w:p>
    <w:p w14:paraId="7AEF96C7" w14:textId="77777777" w:rsidR="00DD0C45" w:rsidRPr="002E1A16" w:rsidRDefault="00DD0C45" w:rsidP="00DD0C45">
      <w:pPr>
        <w:ind w:leftChars="405" w:left="8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SWEDEN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Linkopings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university Carl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Malmsten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Center of Wood Technology ＆Design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Gallery,and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Capellagarden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arts and crafts school Gallery. </w:t>
      </w:r>
    </w:p>
    <w:p w14:paraId="54784C26" w14:textId="77777777" w:rsidR="00DD0C45" w:rsidRPr="002E1A16" w:rsidRDefault="00DD0C45" w:rsidP="00DD0C45">
      <w:pPr>
        <w:ind w:left="619" w:hangingChars="295" w:hanging="61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60E3163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2013    Kenji Komatsu Exhibition: “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Wakimono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(Supporting Objects)” –Their Pride– Tokyo Minami Aoyama Gallery 5610.</w:t>
      </w:r>
    </w:p>
    <w:p w14:paraId="098965CE" w14:textId="77777777" w:rsidR="00DD0C45" w:rsidRPr="002E1A16" w:rsidRDefault="00DD0C45" w:rsidP="00DD0C45">
      <w:pPr>
        <w:ind w:left="619" w:hangingChars="295" w:hanging="61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134435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2014 </w:t>
      </w:r>
      <w:proofErr w:type="gram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  “</w:t>
      </w:r>
      <w:proofErr w:type="spellStart"/>
      <w:proofErr w:type="gram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Choukoku</w:t>
      </w:r>
      <w:proofErr w:type="spell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, </w:t>
      </w:r>
      <w:proofErr w:type="spell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Rakuen</w:t>
      </w:r>
      <w:proofErr w:type="spell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to Haiku (Sculpture, Paradise of Follies and Haiku)” Two-Person Exhibition. Final Stop of the Traveling Exhibition “</w:t>
      </w:r>
      <w:proofErr w:type="spell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no</w:t>
      </w:r>
      <w:r w:rsidR="007D1613"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</w:t>
      </w:r>
      <w:proofErr w:type="spellStart"/>
      <w:r w:rsidR="007D1613"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Rakuen</w:t>
      </w:r>
      <w:proofErr w:type="spellEnd"/>
      <w:r w:rsidR="007D1613"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(Paradise of Follies)” 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–Kenji Komatsu and His Work. Hosted by the University Library, </w:t>
      </w:r>
      <w:proofErr w:type="spellStart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>Växjö</w:t>
      </w:r>
      <w:proofErr w:type="spellEnd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 campus, Linnaeus University, SWEDEN.</w:t>
      </w:r>
    </w:p>
    <w:p w14:paraId="392CA42F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</w:pPr>
    </w:p>
    <w:p w14:paraId="00A36D87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</w:pPr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2016    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Kenji Komatsu Exhibition</w:t>
      </w:r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>: “</w:t>
      </w:r>
      <w:proofErr w:type="spellStart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>Rakuen</w:t>
      </w:r>
      <w:proofErr w:type="spellEnd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 (Paradise of Follies)” –Drawing and Relief– Tokyo Minami Aoyama Gallery 5610.</w:t>
      </w:r>
    </w:p>
    <w:p w14:paraId="18AD8E57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</w:pPr>
    </w:p>
    <w:p w14:paraId="553A5F38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</w:pPr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2016 </w:t>
      </w:r>
      <w:proofErr w:type="gramStart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   “</w:t>
      </w:r>
      <w:proofErr w:type="spellStart"/>
      <w:proofErr w:type="gramEnd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>Gusha</w:t>
      </w:r>
      <w:proofErr w:type="spellEnd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 no </w:t>
      </w:r>
      <w:proofErr w:type="spellStart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>Rakuen</w:t>
      </w:r>
      <w:proofErr w:type="spellEnd"/>
      <w:r w:rsidRPr="002E1A16">
        <w:rPr>
          <w:rFonts w:ascii="ＭＳ Ｐゴシック" w:eastAsia="ＭＳ Ｐゴシック" w:hAnsi="ＭＳ Ｐゴシック" w:cs="HelveticaNeueLTW01-75Bold"/>
          <w:b/>
          <w:bCs/>
          <w:color w:val="000000" w:themeColor="text1"/>
          <w:kern w:val="0"/>
          <w:szCs w:val="21"/>
        </w:rPr>
        <w:t xml:space="preserve"> (Paradise of Follies)” –A Convex Village: Portraits of Ten People– Tokyo Minami Aoyama Gallery 5610.</w:t>
      </w:r>
    </w:p>
    <w:p w14:paraId="3B63D4DA" w14:textId="77777777" w:rsidR="00DD0C45" w:rsidRPr="002E1A16" w:rsidRDefault="00DD0C45" w:rsidP="00DD0C45">
      <w:pPr>
        <w:ind w:left="1050" w:hangingChars="500" w:hanging="10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FE987C2" w14:textId="77777777" w:rsidR="00A06A19" w:rsidRPr="002E1A16" w:rsidRDefault="00A06A19" w:rsidP="00A06A19">
      <w:pPr>
        <w:ind w:left="1050" w:hangingChars="500" w:hanging="1050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2017</w:t>
      </w:r>
      <w:r w:rsidRPr="002E1A1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“</w:t>
      </w:r>
      <w:r w:rsidRPr="002E1A1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Exhibit to Celebrate the Work of Retiring Professor Kenji Komatsu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” </w:t>
      </w:r>
    </w:p>
    <w:p w14:paraId="3D0A1224" w14:textId="77777777" w:rsidR="00A06A19" w:rsidRPr="002E1A16" w:rsidRDefault="00A06A19" w:rsidP="00A06A19">
      <w:pPr>
        <w:ind w:leftChars="400" w:left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University of </w:t>
      </w:r>
      <w:proofErr w:type="gram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Toyama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..</w:t>
      </w:r>
      <w:proofErr w:type="gramEnd"/>
    </w:p>
    <w:p w14:paraId="4666C1E0" w14:textId="77777777" w:rsidR="00A06A19" w:rsidRPr="002E1A16" w:rsidRDefault="00A06A19" w:rsidP="00A06A19">
      <w:pPr>
        <w:ind w:left="1050" w:hangingChars="500" w:hanging="10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F287D32" w14:textId="77777777" w:rsidR="00A06A19" w:rsidRPr="002E1A16" w:rsidRDefault="00A06A19" w:rsidP="00A06A19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F57EAA9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  <w:lang w:eastAsia="zh-TW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lastRenderedPageBreak/>
        <w:t>■</w:t>
      </w:r>
      <w:r w:rsidR="00270E29"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Major Publications</w:t>
      </w:r>
    </w:p>
    <w:p w14:paraId="6AD24D34" w14:textId="77777777" w:rsidR="00DD0C45" w:rsidRPr="002E1A16" w:rsidRDefault="00DD0C45" w:rsidP="00DD0C45">
      <w:pPr>
        <w:ind w:left="851" w:hanging="85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1993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 xml:space="preserve">“A discussion on crafts in actual life – mainly including the examples of the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Capellagarden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School of Arts and Crafts,” independently written, pp. 91-105, Takaoka College of Art, Design and Regional Business Bulletin Vol. 4</w:t>
      </w:r>
    </w:p>
    <w:p w14:paraId="20E8AED1" w14:textId="77777777" w:rsidR="00DD0C45" w:rsidRPr="002E1A16" w:rsidRDefault="00DD0C45" w:rsidP="00DD0C45">
      <w:pPr>
        <w:ind w:left="850" w:hangingChars="405" w:hanging="8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9874332" w14:textId="77777777" w:rsidR="00DD0C45" w:rsidRPr="002E1A16" w:rsidRDefault="00DD0C45" w:rsidP="00DD0C45">
      <w:pPr>
        <w:ind w:left="850" w:hangingChars="405" w:hanging="8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1995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“Reviewing the relationship between tools and human beings,” collectively-written, pp. 139-154, Takaoka College of Art, Design and Regional Business Bulletin Vol. 6</w:t>
      </w:r>
    </w:p>
    <w:p w14:paraId="7529A2A3" w14:textId="77777777" w:rsidR="00DD0C45" w:rsidRPr="002E1A16" w:rsidRDefault="00DD0C45" w:rsidP="00DD0C45">
      <w:pPr>
        <w:ind w:left="850" w:hangingChars="405" w:hanging="8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951405F" w14:textId="77777777" w:rsidR="00DD0C45" w:rsidRPr="002E1A16" w:rsidRDefault="00DD0C45" w:rsidP="00DD0C45">
      <w:pPr>
        <w:ind w:left="850" w:hangingChars="405" w:hanging="8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1998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“Users’ Techniques,” collectively-written, pp. 51-71, Takaoka College of Art, Design and Regional Business Bulletin Vol. 11</w:t>
      </w:r>
    </w:p>
    <w:p w14:paraId="1D1F71C7" w14:textId="77777777" w:rsidR="00DD0C45" w:rsidRPr="002E1A16" w:rsidRDefault="00DD0C45" w:rsidP="00DD0C45">
      <w:pPr>
        <w:ind w:left="850" w:hangingChars="405" w:hanging="8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A5C9D08" w14:textId="77777777" w:rsidR="00DD0C45" w:rsidRPr="002E1A16" w:rsidRDefault="00DD0C45" w:rsidP="00DD0C45">
      <w:pPr>
        <w:ind w:left="850" w:hangingChars="405" w:hanging="8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1999 </w:t>
      </w:r>
      <w:proofErr w:type="gram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  “</w:t>
      </w:r>
      <w:proofErr w:type="gram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Tools that support production,” collectively written, pp. 15-26 of the first anthology of Forum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Douguology</w:t>
      </w:r>
      <w:proofErr w:type="spellEnd"/>
    </w:p>
    <w:p w14:paraId="2E012F86" w14:textId="77777777" w:rsidR="00DD0C45" w:rsidRPr="002E1A16" w:rsidRDefault="00DD0C45" w:rsidP="00DD0C45">
      <w:pPr>
        <w:ind w:left="851" w:hanging="85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E88E591" w14:textId="77777777" w:rsidR="00DD0C45" w:rsidRPr="002E1A16" w:rsidRDefault="00DD0C45" w:rsidP="00DD0C45">
      <w:pPr>
        <w:ind w:left="851" w:hanging="85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2000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“Notion from traces,” collectively written, pp. 125-139, Takaoka College of Art, Design and Regional Business Bulletin Vol. 14</w:t>
      </w:r>
    </w:p>
    <w:p w14:paraId="64DBED3A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428A628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2001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ab/>
        <w:t>“A discussion on set-up,” collectively written, pp. 188-205, Takaoka College of Art, Design and Regional Business Bulletin Vol. 16</w:t>
      </w:r>
    </w:p>
    <w:p w14:paraId="067B2F71" w14:textId="77777777" w:rsidR="00DD0C45" w:rsidRPr="002E1A16" w:rsidRDefault="00DD0C45" w:rsidP="00DD0C45">
      <w:pPr>
        <w:ind w:left="84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ED7AC89" w14:textId="77777777" w:rsidR="00DD0C45" w:rsidRPr="002E1A16" w:rsidRDefault="00DD0C45" w:rsidP="00DD0C45">
      <w:pPr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2009　</w:t>
      </w:r>
      <w:r w:rsidRPr="002E1A1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 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“Entrusting the Environment with the Information,” collectively written,</w:t>
      </w:r>
    </w:p>
    <w:p w14:paraId="7302DD3B" w14:textId="77777777" w:rsidR="00DD0C45" w:rsidRPr="002E1A16" w:rsidRDefault="00DD0C45" w:rsidP="00DD0C45">
      <w:pPr>
        <w:ind w:leftChars="382" w:left="802" w:firstLineChars="50" w:firstLine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Pp.56-69, University of Toyama Faculty of Art and Design Bulletin Vol. 4.</w:t>
      </w:r>
    </w:p>
    <w:p w14:paraId="4FEE1BFD" w14:textId="77777777" w:rsidR="00DD0C45" w:rsidRPr="002E1A16" w:rsidRDefault="00DD0C45" w:rsidP="00DD0C45">
      <w:pPr>
        <w:ind w:leftChars="382" w:left="802" w:firstLineChars="50" w:firstLine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CB4A6FA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2012    Successful Professional Skill Transfer –Inspired by Performances of Magicians-</w:t>
      </w:r>
    </w:p>
    <w:p w14:paraId="3976BE81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       What is User’s Technology?</w:t>
      </w:r>
    </w:p>
    <w:p w14:paraId="1B77341B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bookmarkStart w:id="0" w:name="_GoBack"/>
      <w:bookmarkEnd w:id="0"/>
    </w:p>
    <w:p w14:paraId="4716B019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2013    Introduction to </w:t>
      </w:r>
      <w:proofErr w:type="spell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Traceology</w:t>
      </w:r>
      <w:proofErr w:type="spell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–What the traces tell us-</w:t>
      </w:r>
    </w:p>
    <w:p w14:paraId="4C6E8314" w14:textId="77777777" w:rsidR="00DD0C45" w:rsidRPr="002E1A16" w:rsidRDefault="00DD0C45" w:rsidP="00DD0C45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6A7617E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2013 </w:t>
      </w:r>
      <w:proofErr w:type="gramStart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  “</w:t>
      </w:r>
      <w:proofErr w:type="gramEnd"/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Skill Transfer and Meister in Germany,” collectively written, pp. 106-117, University of Toyama Faculty of Art and Design Bulletin Vol. 7.</w:t>
      </w:r>
    </w:p>
    <w:p w14:paraId="1E5406B4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891D865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2017 </w:t>
      </w:r>
      <w:proofErr w:type="gram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  “</w:t>
      </w:r>
      <w:proofErr w:type="gram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Possibility for the Arts Education by </w:t>
      </w:r>
      <w:proofErr w:type="spell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Traceology</w:t>
      </w:r>
      <w:proofErr w:type="spell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,” c</w:t>
      </w:r>
      <w:r w:rsidR="007D1613"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ollectively written, pp.38-50, 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University of Toyama Faculty of Art and Design Bulletin Vol. 11.</w:t>
      </w:r>
    </w:p>
    <w:p w14:paraId="2E276C97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397DA4CA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2017 </w:t>
      </w:r>
      <w:proofErr w:type="gramStart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   “</w:t>
      </w:r>
      <w:proofErr w:type="gramEnd"/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The aggressiveness of the environment – As an example the practice of woodworking machine room environment–,” single-authored, pp.110-117, University of Toyama Faculty of Art and Design Bulletin Vol. 11.</w:t>
      </w:r>
    </w:p>
    <w:p w14:paraId="24279B3F" w14:textId="77777777" w:rsidR="00DD0C45" w:rsidRPr="002E1A16" w:rsidRDefault="00DD0C45" w:rsidP="00DD0C45">
      <w:pPr>
        <w:ind w:left="619" w:hangingChars="295" w:hanging="61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E7B8CC4" w14:textId="77777777" w:rsidR="00A06A19" w:rsidRPr="002E1A16" w:rsidRDefault="00A06A19" w:rsidP="00DD0C45">
      <w:pPr>
        <w:ind w:left="619" w:hangingChars="295" w:hanging="61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4D3FC9F" w14:textId="77777777" w:rsidR="00A06A19" w:rsidRPr="002E1A16" w:rsidRDefault="00A06A19" w:rsidP="00DD0C45">
      <w:pPr>
        <w:ind w:left="619" w:hangingChars="295" w:hanging="61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38F02D4" w14:textId="77777777" w:rsidR="00DD0C45" w:rsidRPr="002E1A16" w:rsidRDefault="00270E29" w:rsidP="00DD0C45">
      <w:pPr>
        <w:pStyle w:val="Liststycke"/>
        <w:ind w:leftChars="0" w:left="0"/>
        <w:jc w:val="lef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lastRenderedPageBreak/>
        <w:t>■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 xml:space="preserve"> </w:t>
      </w:r>
      <w:r w:rsidR="00DD0C45" w:rsidRPr="002E1A16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>Major Books</w:t>
      </w:r>
    </w:p>
    <w:p w14:paraId="306C5928" w14:textId="77777777" w:rsidR="00DD0C45" w:rsidRPr="002E1A16" w:rsidRDefault="00DD0C45" w:rsidP="00DD0C45">
      <w:pPr>
        <w:ind w:left="829" w:hangingChars="395" w:hanging="82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2013    </w:t>
      </w:r>
      <w:r w:rsidRPr="002E1A16">
        <w:rPr>
          <w:rFonts w:ascii="ＭＳ Ｐゴシック" w:eastAsia="ＭＳ Ｐゴシック" w:hAnsi="ＭＳ Ｐゴシック"/>
          <w:i/>
          <w:color w:val="000000" w:themeColor="text1"/>
          <w:szCs w:val="21"/>
        </w:rPr>
        <w:t>Paradise of Follies: Kenji Komatsu Works</w:t>
      </w:r>
      <w:r w:rsidRPr="002E1A16">
        <w:rPr>
          <w:rFonts w:ascii="ＭＳ Ｐゴシック" w:eastAsia="ＭＳ Ｐゴシック" w:hAnsi="ＭＳ Ｐゴシック"/>
          <w:color w:val="000000" w:themeColor="text1"/>
          <w:szCs w:val="21"/>
        </w:rPr>
        <w:t>. (Sculptures) Noto Printing Corporation Publishing Department. Printed in A4 size. 113 pages.</w:t>
      </w:r>
    </w:p>
    <w:p w14:paraId="47A51AB7" w14:textId="77777777" w:rsidR="00DD0C45" w:rsidRPr="002E1A16" w:rsidRDefault="00DD0C45" w:rsidP="00DD0C45">
      <w:pPr>
        <w:ind w:left="619" w:hangingChars="295" w:hanging="619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3FEA763" w14:textId="77777777" w:rsidR="00E9375F" w:rsidRPr="002E1A16" w:rsidRDefault="00DD0C45" w:rsidP="00A82EAA">
      <w:pPr>
        <w:ind w:left="829" w:hangingChars="395" w:hanging="829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2017    </w:t>
      </w:r>
      <w:r w:rsidRPr="002E1A16">
        <w:rPr>
          <w:rFonts w:ascii="ＭＳ Ｐゴシック" w:eastAsia="ＭＳ Ｐゴシック" w:hAnsi="ＭＳ Ｐゴシック"/>
          <w:b/>
          <w:i/>
          <w:color w:val="000000" w:themeColor="text1"/>
          <w:szCs w:val="21"/>
        </w:rPr>
        <w:t>Drawing Journey</w:t>
      </w:r>
      <w:r w:rsidRPr="002E1A16">
        <w:rPr>
          <w:rFonts w:ascii="ＭＳ Ｐゴシック" w:eastAsia="ＭＳ Ｐゴシック" w:hAnsi="ＭＳ Ｐゴシック"/>
          <w:b/>
          <w:color w:val="000000" w:themeColor="text1"/>
          <w:szCs w:val="21"/>
        </w:rPr>
        <w:t>. (Drawings) Noto Printing Corporation Publishing Department. Printed in A4 size. 100 pages.</w:t>
      </w:r>
    </w:p>
    <w:sectPr w:rsidR="00E9375F" w:rsidRPr="002E1A16" w:rsidSect="00A82EA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D544" w14:textId="77777777" w:rsidR="002A6868" w:rsidRDefault="002A6868" w:rsidP="00A06A19">
      <w:r>
        <w:separator/>
      </w:r>
    </w:p>
  </w:endnote>
  <w:endnote w:type="continuationSeparator" w:id="0">
    <w:p w14:paraId="1CDB04D7" w14:textId="77777777" w:rsidR="002A6868" w:rsidRDefault="002A6868" w:rsidP="00A0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W01-75Bold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D8F90" w14:textId="77777777" w:rsidR="002A6868" w:rsidRDefault="002A6868" w:rsidP="00A06A19">
      <w:r>
        <w:separator/>
      </w:r>
    </w:p>
  </w:footnote>
  <w:footnote w:type="continuationSeparator" w:id="0">
    <w:p w14:paraId="5EF13DDC" w14:textId="77777777" w:rsidR="002A6868" w:rsidRDefault="002A6868" w:rsidP="00A0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42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45"/>
    <w:rsid w:val="00002C30"/>
    <w:rsid w:val="00004E8C"/>
    <w:rsid w:val="00006BB9"/>
    <w:rsid w:val="00017B88"/>
    <w:rsid w:val="000401EF"/>
    <w:rsid w:val="00047D9D"/>
    <w:rsid w:val="00061A89"/>
    <w:rsid w:val="000A0441"/>
    <w:rsid w:val="000A11AC"/>
    <w:rsid w:val="000E290E"/>
    <w:rsid w:val="00133EFE"/>
    <w:rsid w:val="00141D64"/>
    <w:rsid w:val="001427A0"/>
    <w:rsid w:val="001909C2"/>
    <w:rsid w:val="001F0553"/>
    <w:rsid w:val="00216FB6"/>
    <w:rsid w:val="00270E29"/>
    <w:rsid w:val="00274CEB"/>
    <w:rsid w:val="002A6868"/>
    <w:rsid w:val="002B2B75"/>
    <w:rsid w:val="002B50F7"/>
    <w:rsid w:val="002E1A16"/>
    <w:rsid w:val="003026E3"/>
    <w:rsid w:val="00397745"/>
    <w:rsid w:val="003D0576"/>
    <w:rsid w:val="003E6F1B"/>
    <w:rsid w:val="0041434D"/>
    <w:rsid w:val="00442BFE"/>
    <w:rsid w:val="00465AF7"/>
    <w:rsid w:val="00474A9D"/>
    <w:rsid w:val="0048612C"/>
    <w:rsid w:val="004C33D9"/>
    <w:rsid w:val="004F15F4"/>
    <w:rsid w:val="005348AA"/>
    <w:rsid w:val="00575C7D"/>
    <w:rsid w:val="005B602E"/>
    <w:rsid w:val="005D0060"/>
    <w:rsid w:val="00626FC8"/>
    <w:rsid w:val="0067459C"/>
    <w:rsid w:val="006837E0"/>
    <w:rsid w:val="006856E0"/>
    <w:rsid w:val="006A6530"/>
    <w:rsid w:val="007105DF"/>
    <w:rsid w:val="00760B95"/>
    <w:rsid w:val="00763D6A"/>
    <w:rsid w:val="007855F4"/>
    <w:rsid w:val="007D1613"/>
    <w:rsid w:val="00806501"/>
    <w:rsid w:val="00864D46"/>
    <w:rsid w:val="00864F37"/>
    <w:rsid w:val="008B7AA0"/>
    <w:rsid w:val="008C57C1"/>
    <w:rsid w:val="008E61EA"/>
    <w:rsid w:val="008E64C6"/>
    <w:rsid w:val="00911459"/>
    <w:rsid w:val="00936F56"/>
    <w:rsid w:val="00947067"/>
    <w:rsid w:val="00976942"/>
    <w:rsid w:val="00980305"/>
    <w:rsid w:val="00997322"/>
    <w:rsid w:val="009D3334"/>
    <w:rsid w:val="00A00F62"/>
    <w:rsid w:val="00A06A19"/>
    <w:rsid w:val="00A2130B"/>
    <w:rsid w:val="00A53FAF"/>
    <w:rsid w:val="00A64734"/>
    <w:rsid w:val="00A82EAA"/>
    <w:rsid w:val="00B108D3"/>
    <w:rsid w:val="00B159C7"/>
    <w:rsid w:val="00B15DD8"/>
    <w:rsid w:val="00B61487"/>
    <w:rsid w:val="00BA2742"/>
    <w:rsid w:val="00BA2AB9"/>
    <w:rsid w:val="00BF1476"/>
    <w:rsid w:val="00C12A98"/>
    <w:rsid w:val="00CB49BB"/>
    <w:rsid w:val="00CC2F55"/>
    <w:rsid w:val="00CD6C91"/>
    <w:rsid w:val="00CF2556"/>
    <w:rsid w:val="00CF3B7F"/>
    <w:rsid w:val="00D027D8"/>
    <w:rsid w:val="00D10B73"/>
    <w:rsid w:val="00D1430C"/>
    <w:rsid w:val="00D75EB4"/>
    <w:rsid w:val="00DC212B"/>
    <w:rsid w:val="00DD0C45"/>
    <w:rsid w:val="00DD35E6"/>
    <w:rsid w:val="00DD4BEF"/>
    <w:rsid w:val="00E0718F"/>
    <w:rsid w:val="00E22BC2"/>
    <w:rsid w:val="00E27B02"/>
    <w:rsid w:val="00E9375F"/>
    <w:rsid w:val="00EB3C21"/>
    <w:rsid w:val="00EB4BF1"/>
    <w:rsid w:val="00F60662"/>
    <w:rsid w:val="00F84BE5"/>
    <w:rsid w:val="00FC7827"/>
    <w:rsid w:val="00FE093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8639B41"/>
  <w15:chartTrackingRefBased/>
  <w15:docId w15:val="{221DCAC1-C232-4C90-8C3C-D85C053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0C45"/>
    <w:pPr>
      <w:ind w:leftChars="400" w:left="960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30C"/>
    <w:rPr>
      <w:rFonts w:asciiTheme="majorHAnsi" w:eastAsiaTheme="majorEastAsia" w:hAnsiTheme="majorHAnsi" w:cstheme="majorBid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06A19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A06A19"/>
    <w:rPr>
      <w:rFonts w:ascii="Century" w:eastAsia="ＭＳ 明朝" w:hAnsi="Century" w:cs="Times New Roman"/>
      <w:szCs w:val="24"/>
    </w:rPr>
  </w:style>
  <w:style w:type="paragraph" w:styleId="Sidfot">
    <w:name w:val="footer"/>
    <w:basedOn w:val="Normal"/>
    <w:link w:val="SidfotChar"/>
    <w:uiPriority w:val="99"/>
    <w:unhideWhenUsed/>
    <w:rsid w:val="00A06A19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A06A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4335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Microsoft Office-användare</cp:lastModifiedBy>
  <cp:revision>2</cp:revision>
  <cp:lastPrinted>2018-06-19T13:17:00Z</cp:lastPrinted>
  <dcterms:created xsi:type="dcterms:W3CDTF">2018-06-26T08:29:00Z</dcterms:created>
  <dcterms:modified xsi:type="dcterms:W3CDTF">2018-06-26T08:29:00Z</dcterms:modified>
</cp:coreProperties>
</file>