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50" w:rsidRPr="00BA32CE" w:rsidRDefault="00C85450" w:rsidP="00BA32CE">
      <w:pPr>
        <w:pStyle w:val="Title"/>
        <w:spacing w:before="480" w:after="240"/>
        <w:ind w:left="0"/>
        <w:rPr>
          <w:rFonts w:ascii="Arial" w:hAnsi="Arial" w:cs="Arial"/>
          <w:b/>
          <w:sz w:val="60"/>
          <w:szCs w:val="60"/>
        </w:rPr>
      </w:pPr>
      <w:r>
        <w:rPr>
          <w:rFonts w:ascii="Arial" w:hAnsi="Arial" w:cs="Arial"/>
          <w:b/>
          <w:color w:val="auto"/>
          <w:sz w:val="60"/>
          <w:szCs w:val="60"/>
        </w:rPr>
        <w:t>Tredje</w:t>
      </w:r>
      <w:r w:rsidR="000E55CD">
        <w:rPr>
          <w:rFonts w:ascii="Arial" w:hAnsi="Arial" w:cs="Arial"/>
          <w:b/>
          <w:color w:val="auto"/>
          <w:sz w:val="60"/>
          <w:szCs w:val="60"/>
        </w:rPr>
        <w:t xml:space="preserve"> </w:t>
      </w:r>
      <w:r w:rsidR="00A06D4F" w:rsidRPr="00BA32CE">
        <w:rPr>
          <w:rFonts w:ascii="Arial" w:hAnsi="Arial" w:cs="Arial"/>
          <w:b/>
          <w:color w:val="auto"/>
          <w:sz w:val="60"/>
          <w:szCs w:val="60"/>
        </w:rPr>
        <w:t xml:space="preserve">kvartalet </w:t>
      </w:r>
      <w:r w:rsidR="00FB39E9">
        <w:rPr>
          <w:rFonts w:ascii="Arial" w:hAnsi="Arial" w:cs="Arial"/>
          <w:b/>
          <w:color w:val="auto"/>
          <w:sz w:val="60"/>
          <w:szCs w:val="60"/>
        </w:rPr>
        <w:t>2015</w:t>
      </w:r>
    </w:p>
    <w:p w:rsidR="002277EB" w:rsidRPr="002277EB" w:rsidRDefault="002277EB" w:rsidP="00F4779D">
      <w:pPr>
        <w:pStyle w:val="BlockText"/>
        <w:spacing w:after="200" w:line="240" w:lineRule="atLeast"/>
        <w:ind w:left="0" w:right="113"/>
        <w:jc w:val="both"/>
        <w:rPr>
          <w:rFonts w:ascii="Arial" w:hAnsi="Arial" w:cs="Arial"/>
          <w:sz w:val="22"/>
          <w:szCs w:val="22"/>
        </w:rPr>
      </w:pPr>
      <w:r w:rsidRPr="002277EB">
        <w:rPr>
          <w:rFonts w:ascii="Arial" w:hAnsi="Arial" w:cs="Arial"/>
          <w:b/>
          <w:sz w:val="22"/>
          <w:szCs w:val="22"/>
        </w:rPr>
        <w:t>Nettoomsättningen</w:t>
      </w:r>
      <w:r w:rsidRPr="002277EB">
        <w:rPr>
          <w:rFonts w:ascii="Arial" w:hAnsi="Arial" w:cs="Arial"/>
          <w:sz w:val="22"/>
          <w:szCs w:val="22"/>
        </w:rPr>
        <w:t xml:space="preserve"> för </w:t>
      </w:r>
      <w:r w:rsidR="00052B57">
        <w:rPr>
          <w:rFonts w:ascii="Arial" w:hAnsi="Arial" w:cs="Arial"/>
          <w:sz w:val="22"/>
          <w:szCs w:val="22"/>
        </w:rPr>
        <w:t>tredje</w:t>
      </w:r>
      <w:r w:rsidR="000E55CD">
        <w:rPr>
          <w:rFonts w:ascii="Arial" w:hAnsi="Arial" w:cs="Arial"/>
          <w:sz w:val="22"/>
          <w:szCs w:val="22"/>
        </w:rPr>
        <w:t xml:space="preserve"> </w:t>
      </w:r>
      <w:r w:rsidRPr="002277EB">
        <w:rPr>
          <w:rFonts w:ascii="Arial" w:hAnsi="Arial" w:cs="Arial"/>
          <w:sz w:val="22"/>
          <w:szCs w:val="22"/>
        </w:rPr>
        <w:t xml:space="preserve">kvartalet </w:t>
      </w:r>
      <w:r w:rsidR="00824391">
        <w:rPr>
          <w:rFonts w:ascii="Arial" w:hAnsi="Arial" w:cs="Arial"/>
          <w:sz w:val="22"/>
          <w:szCs w:val="22"/>
        </w:rPr>
        <w:t xml:space="preserve">2015 </w:t>
      </w:r>
      <w:r w:rsidR="00073EEE" w:rsidRPr="002277EB">
        <w:rPr>
          <w:rFonts w:ascii="Arial" w:hAnsi="Arial" w:cs="Arial"/>
          <w:sz w:val="22"/>
          <w:szCs w:val="22"/>
        </w:rPr>
        <w:t xml:space="preserve">uppgick till </w:t>
      </w:r>
      <w:r w:rsidR="00E25E1E">
        <w:rPr>
          <w:rFonts w:ascii="Arial" w:hAnsi="Arial" w:cs="Arial"/>
          <w:sz w:val="22"/>
          <w:szCs w:val="22"/>
        </w:rPr>
        <w:t>232</w:t>
      </w:r>
      <w:r w:rsidR="006B3524">
        <w:rPr>
          <w:rFonts w:ascii="Arial" w:hAnsi="Arial" w:cs="Arial"/>
          <w:sz w:val="22"/>
          <w:szCs w:val="22"/>
        </w:rPr>
        <w:t xml:space="preserve"> </w:t>
      </w:r>
      <w:r w:rsidR="00073EEE" w:rsidRPr="002277EB">
        <w:rPr>
          <w:rFonts w:ascii="Arial" w:hAnsi="Arial" w:cs="Arial"/>
          <w:sz w:val="22"/>
          <w:szCs w:val="22"/>
        </w:rPr>
        <w:t>MSEK (</w:t>
      </w:r>
      <w:r w:rsidR="00E25E1E">
        <w:rPr>
          <w:rFonts w:ascii="Arial" w:hAnsi="Arial" w:cs="Arial"/>
          <w:sz w:val="22"/>
          <w:szCs w:val="22"/>
        </w:rPr>
        <w:t>252</w:t>
      </w:r>
      <w:r w:rsidR="00073EEE" w:rsidRPr="002277EB">
        <w:rPr>
          <w:rFonts w:ascii="Arial" w:hAnsi="Arial" w:cs="Arial"/>
          <w:sz w:val="22"/>
          <w:szCs w:val="22"/>
        </w:rPr>
        <w:t>)</w:t>
      </w:r>
      <w:r w:rsidR="00793B2D">
        <w:rPr>
          <w:rFonts w:ascii="Arial" w:hAnsi="Arial" w:cs="Arial"/>
          <w:sz w:val="22"/>
          <w:szCs w:val="22"/>
        </w:rPr>
        <w:t xml:space="preserve">, </w:t>
      </w:r>
      <w:r w:rsidR="00073EEE">
        <w:rPr>
          <w:rFonts w:ascii="Arial" w:hAnsi="Arial" w:cs="Arial"/>
          <w:sz w:val="22"/>
          <w:szCs w:val="22"/>
        </w:rPr>
        <w:t xml:space="preserve">en minskning </w:t>
      </w:r>
      <w:r w:rsidRPr="002277EB">
        <w:rPr>
          <w:rFonts w:ascii="Arial" w:hAnsi="Arial" w:cs="Arial"/>
          <w:sz w:val="22"/>
          <w:szCs w:val="22"/>
        </w:rPr>
        <w:t xml:space="preserve">med </w:t>
      </w:r>
      <w:r w:rsidR="00E25E1E">
        <w:rPr>
          <w:rFonts w:ascii="Arial" w:hAnsi="Arial" w:cs="Arial"/>
          <w:sz w:val="22"/>
          <w:szCs w:val="22"/>
        </w:rPr>
        <w:t>8</w:t>
      </w:r>
      <w:r w:rsidR="00824391">
        <w:rPr>
          <w:rFonts w:ascii="Arial" w:hAnsi="Arial" w:cs="Arial"/>
          <w:sz w:val="22"/>
          <w:szCs w:val="22"/>
        </w:rPr>
        <w:t xml:space="preserve"> </w:t>
      </w:r>
      <w:r w:rsidR="00305A56">
        <w:rPr>
          <w:rFonts w:ascii="Arial" w:hAnsi="Arial" w:cs="Arial"/>
          <w:sz w:val="22"/>
          <w:szCs w:val="22"/>
        </w:rPr>
        <w:t xml:space="preserve">procent jämfört med </w:t>
      </w:r>
      <w:r w:rsidRPr="002277EB">
        <w:rPr>
          <w:rFonts w:ascii="Arial" w:hAnsi="Arial" w:cs="Arial"/>
          <w:sz w:val="22"/>
          <w:szCs w:val="22"/>
        </w:rPr>
        <w:t>motsvarande kvartal föregående år.</w:t>
      </w:r>
      <w:r w:rsidR="00824391">
        <w:rPr>
          <w:rFonts w:ascii="Arial" w:hAnsi="Arial" w:cs="Arial"/>
          <w:sz w:val="22"/>
          <w:szCs w:val="22"/>
        </w:rPr>
        <w:t xml:space="preserve"> </w:t>
      </w:r>
    </w:p>
    <w:p w:rsidR="002277EB" w:rsidRPr="002277EB" w:rsidRDefault="002277EB" w:rsidP="00F4779D">
      <w:pPr>
        <w:pStyle w:val="BlockText"/>
        <w:spacing w:after="200" w:line="240" w:lineRule="atLeast"/>
        <w:ind w:left="0" w:right="113"/>
        <w:jc w:val="both"/>
        <w:rPr>
          <w:rFonts w:ascii="Arial" w:hAnsi="Arial" w:cs="Arial"/>
          <w:sz w:val="22"/>
          <w:szCs w:val="22"/>
        </w:rPr>
      </w:pPr>
      <w:r w:rsidRPr="002277EB">
        <w:rPr>
          <w:rFonts w:ascii="Arial" w:hAnsi="Arial" w:cs="Arial"/>
          <w:b/>
          <w:sz w:val="22"/>
          <w:szCs w:val="22"/>
        </w:rPr>
        <w:t xml:space="preserve">Rörelseresultatet </w:t>
      </w:r>
      <w:r w:rsidRPr="002277EB">
        <w:rPr>
          <w:rFonts w:ascii="Arial" w:hAnsi="Arial" w:cs="Arial"/>
          <w:sz w:val="22"/>
          <w:szCs w:val="22"/>
        </w:rPr>
        <w:t>för kvartalet</w:t>
      </w:r>
      <w:r w:rsidRPr="002277EB">
        <w:rPr>
          <w:rFonts w:ascii="Arial" w:hAnsi="Arial" w:cs="Arial"/>
          <w:b/>
          <w:sz w:val="22"/>
          <w:szCs w:val="22"/>
        </w:rPr>
        <w:t xml:space="preserve"> </w:t>
      </w:r>
      <w:r w:rsidRPr="002277EB">
        <w:rPr>
          <w:rFonts w:ascii="Arial" w:hAnsi="Arial" w:cs="Arial"/>
          <w:sz w:val="22"/>
          <w:szCs w:val="22"/>
        </w:rPr>
        <w:t xml:space="preserve">uppgick till </w:t>
      </w:r>
      <w:r w:rsidR="00E25E1E">
        <w:rPr>
          <w:rFonts w:ascii="Arial" w:hAnsi="Arial" w:cs="Arial"/>
          <w:sz w:val="22"/>
          <w:szCs w:val="22"/>
        </w:rPr>
        <w:t>28</w:t>
      </w:r>
      <w:r w:rsidR="006B3524">
        <w:rPr>
          <w:rFonts w:ascii="Arial" w:hAnsi="Arial" w:cs="Arial"/>
          <w:sz w:val="22"/>
          <w:szCs w:val="22"/>
        </w:rPr>
        <w:t xml:space="preserve"> </w:t>
      </w:r>
      <w:r w:rsidRPr="002277EB">
        <w:rPr>
          <w:rFonts w:ascii="Arial" w:hAnsi="Arial" w:cs="Arial"/>
          <w:sz w:val="22"/>
          <w:szCs w:val="22"/>
        </w:rPr>
        <w:t>MSEK (</w:t>
      </w:r>
      <w:r w:rsidR="00E25E1E">
        <w:rPr>
          <w:rFonts w:ascii="Arial" w:hAnsi="Arial" w:cs="Arial"/>
          <w:sz w:val="22"/>
          <w:szCs w:val="22"/>
        </w:rPr>
        <w:t>48</w:t>
      </w:r>
      <w:r w:rsidRPr="002277EB">
        <w:rPr>
          <w:rFonts w:ascii="Arial" w:hAnsi="Arial" w:cs="Arial"/>
          <w:sz w:val="22"/>
          <w:szCs w:val="22"/>
        </w:rPr>
        <w:t>).</w:t>
      </w:r>
      <w:r w:rsidR="00973917" w:rsidRPr="00973917">
        <w:rPr>
          <w:rFonts w:ascii="Arial" w:hAnsi="Arial" w:cs="Arial"/>
          <w:sz w:val="22"/>
          <w:szCs w:val="22"/>
        </w:rPr>
        <w:t xml:space="preserve"> </w:t>
      </w:r>
      <w:r w:rsidR="007C52D3">
        <w:rPr>
          <w:rFonts w:ascii="Arial" w:hAnsi="Arial" w:cs="Arial"/>
          <w:sz w:val="22"/>
          <w:szCs w:val="22"/>
        </w:rPr>
        <w:t xml:space="preserve">Rörelsemarginalen var </w:t>
      </w:r>
      <w:r w:rsidR="00E25E1E">
        <w:rPr>
          <w:rFonts w:ascii="Arial" w:hAnsi="Arial" w:cs="Arial"/>
          <w:sz w:val="22"/>
          <w:szCs w:val="22"/>
        </w:rPr>
        <w:t>12</w:t>
      </w:r>
      <w:r w:rsidR="006B3524">
        <w:rPr>
          <w:rFonts w:ascii="Arial" w:hAnsi="Arial" w:cs="Arial"/>
          <w:sz w:val="22"/>
          <w:szCs w:val="22"/>
        </w:rPr>
        <w:t xml:space="preserve"> </w:t>
      </w:r>
      <w:r w:rsidR="007C52D3">
        <w:rPr>
          <w:rFonts w:ascii="Arial" w:hAnsi="Arial" w:cs="Arial"/>
          <w:sz w:val="22"/>
          <w:szCs w:val="22"/>
        </w:rPr>
        <w:t>procent (</w:t>
      </w:r>
      <w:r w:rsidR="00E25E1E">
        <w:rPr>
          <w:rFonts w:ascii="Arial" w:hAnsi="Arial" w:cs="Arial"/>
          <w:sz w:val="22"/>
          <w:szCs w:val="22"/>
        </w:rPr>
        <w:t>19</w:t>
      </w:r>
      <w:r w:rsidR="007C52D3">
        <w:rPr>
          <w:rFonts w:ascii="Arial" w:hAnsi="Arial" w:cs="Arial"/>
          <w:sz w:val="22"/>
          <w:szCs w:val="22"/>
        </w:rPr>
        <w:t>).</w:t>
      </w:r>
    </w:p>
    <w:p w:rsidR="002277EB" w:rsidRDefault="002277EB" w:rsidP="00F4779D">
      <w:pPr>
        <w:pStyle w:val="BlockText"/>
        <w:spacing w:after="200" w:line="240" w:lineRule="atLeast"/>
        <w:ind w:left="0" w:right="113"/>
        <w:jc w:val="both"/>
        <w:rPr>
          <w:rFonts w:ascii="Arial" w:hAnsi="Arial" w:cs="Arial"/>
          <w:sz w:val="22"/>
          <w:szCs w:val="22"/>
        </w:rPr>
      </w:pPr>
      <w:r w:rsidRPr="002277EB">
        <w:rPr>
          <w:rFonts w:ascii="Arial" w:hAnsi="Arial" w:cs="Arial"/>
          <w:b/>
          <w:sz w:val="22"/>
          <w:szCs w:val="22"/>
        </w:rPr>
        <w:t>Periodens resultat</w:t>
      </w:r>
      <w:r w:rsidRPr="002277EB">
        <w:rPr>
          <w:rFonts w:ascii="Arial" w:hAnsi="Arial" w:cs="Arial"/>
          <w:sz w:val="22"/>
          <w:szCs w:val="22"/>
        </w:rPr>
        <w:t xml:space="preserve"> </w:t>
      </w:r>
      <w:r w:rsidR="00124EB7">
        <w:rPr>
          <w:rFonts w:ascii="Arial" w:hAnsi="Arial" w:cs="Arial"/>
          <w:sz w:val="22"/>
          <w:szCs w:val="22"/>
        </w:rPr>
        <w:t xml:space="preserve">för kvartalet </w:t>
      </w:r>
      <w:r w:rsidR="00291D72">
        <w:rPr>
          <w:rFonts w:ascii="Arial" w:hAnsi="Arial" w:cs="Arial"/>
          <w:sz w:val="22"/>
          <w:szCs w:val="22"/>
        </w:rPr>
        <w:t xml:space="preserve">uppgick till </w:t>
      </w:r>
      <w:r w:rsidR="00E25E1E">
        <w:rPr>
          <w:rFonts w:ascii="Arial" w:hAnsi="Arial" w:cs="Arial"/>
          <w:sz w:val="22"/>
          <w:szCs w:val="22"/>
        </w:rPr>
        <w:t>21</w:t>
      </w:r>
      <w:r w:rsidR="006B3524">
        <w:rPr>
          <w:rFonts w:ascii="Arial" w:hAnsi="Arial" w:cs="Arial"/>
          <w:sz w:val="22"/>
          <w:szCs w:val="22"/>
        </w:rPr>
        <w:t xml:space="preserve"> </w:t>
      </w:r>
      <w:r w:rsidR="0059415F">
        <w:rPr>
          <w:rFonts w:ascii="Arial" w:hAnsi="Arial" w:cs="Arial"/>
          <w:sz w:val="22"/>
          <w:szCs w:val="22"/>
        </w:rPr>
        <w:t>MSEK</w:t>
      </w:r>
      <w:r w:rsidR="00593438">
        <w:rPr>
          <w:rFonts w:ascii="Arial" w:hAnsi="Arial" w:cs="Arial"/>
          <w:sz w:val="22"/>
          <w:szCs w:val="22"/>
        </w:rPr>
        <w:t xml:space="preserve"> </w:t>
      </w:r>
      <w:r w:rsidRPr="002277EB">
        <w:rPr>
          <w:rFonts w:ascii="Arial" w:hAnsi="Arial" w:cs="Arial"/>
          <w:sz w:val="22"/>
          <w:szCs w:val="22"/>
        </w:rPr>
        <w:t>(</w:t>
      </w:r>
      <w:r w:rsidR="00E25E1E">
        <w:rPr>
          <w:rFonts w:ascii="Arial" w:hAnsi="Arial" w:cs="Arial"/>
          <w:sz w:val="22"/>
          <w:szCs w:val="22"/>
        </w:rPr>
        <w:t>37</w:t>
      </w:r>
      <w:r w:rsidR="00593438">
        <w:rPr>
          <w:rFonts w:ascii="Arial" w:hAnsi="Arial" w:cs="Arial"/>
          <w:sz w:val="22"/>
          <w:szCs w:val="22"/>
        </w:rPr>
        <w:t>)</w:t>
      </w:r>
      <w:r w:rsidR="00124EB7">
        <w:rPr>
          <w:rFonts w:ascii="Arial" w:hAnsi="Arial" w:cs="Arial"/>
          <w:sz w:val="22"/>
          <w:szCs w:val="22"/>
        </w:rPr>
        <w:t xml:space="preserve">, </w:t>
      </w:r>
      <w:r w:rsidR="00124EB7" w:rsidRPr="002277EB">
        <w:rPr>
          <w:rFonts w:ascii="Arial" w:hAnsi="Arial" w:cs="Arial"/>
          <w:sz w:val="22"/>
          <w:szCs w:val="22"/>
        </w:rPr>
        <w:t xml:space="preserve">motsvarande ett resultat per aktie om </w:t>
      </w:r>
      <w:r w:rsidR="00824391">
        <w:rPr>
          <w:rFonts w:ascii="Arial" w:hAnsi="Arial" w:cs="Arial"/>
          <w:sz w:val="22"/>
          <w:szCs w:val="22"/>
        </w:rPr>
        <w:t>0,</w:t>
      </w:r>
      <w:r w:rsidR="00E25E1E">
        <w:rPr>
          <w:rFonts w:ascii="Arial" w:hAnsi="Arial" w:cs="Arial"/>
          <w:sz w:val="22"/>
          <w:szCs w:val="22"/>
        </w:rPr>
        <w:t>11</w:t>
      </w:r>
      <w:r w:rsidR="006B3524">
        <w:rPr>
          <w:rFonts w:ascii="Arial" w:hAnsi="Arial" w:cs="Arial"/>
          <w:sz w:val="22"/>
          <w:szCs w:val="22"/>
        </w:rPr>
        <w:t xml:space="preserve"> </w:t>
      </w:r>
      <w:r w:rsidR="00124EB7" w:rsidRPr="002277EB">
        <w:rPr>
          <w:rFonts w:ascii="Arial" w:hAnsi="Arial" w:cs="Arial"/>
          <w:sz w:val="22"/>
          <w:szCs w:val="22"/>
        </w:rPr>
        <w:t>MSEK (</w:t>
      </w:r>
      <w:r w:rsidR="006B3524">
        <w:rPr>
          <w:rFonts w:ascii="Arial" w:hAnsi="Arial" w:cs="Arial"/>
          <w:sz w:val="22"/>
          <w:szCs w:val="22"/>
        </w:rPr>
        <w:t>0,</w:t>
      </w:r>
      <w:r w:rsidR="00E25E1E">
        <w:rPr>
          <w:rFonts w:ascii="Arial" w:hAnsi="Arial" w:cs="Arial"/>
          <w:sz w:val="22"/>
          <w:szCs w:val="22"/>
        </w:rPr>
        <w:t>19</w:t>
      </w:r>
      <w:r w:rsidR="00124EB7" w:rsidRPr="002277EB">
        <w:rPr>
          <w:rFonts w:ascii="Arial" w:hAnsi="Arial" w:cs="Arial"/>
          <w:sz w:val="22"/>
          <w:szCs w:val="22"/>
        </w:rPr>
        <w:t>)</w:t>
      </w:r>
      <w:r w:rsidR="00124EB7">
        <w:rPr>
          <w:rFonts w:ascii="Arial" w:hAnsi="Arial" w:cs="Arial"/>
          <w:sz w:val="22"/>
          <w:szCs w:val="22"/>
        </w:rPr>
        <w:t>.</w:t>
      </w:r>
      <w:r w:rsidR="00124EB7" w:rsidRPr="00124EB7">
        <w:rPr>
          <w:rFonts w:ascii="Arial" w:hAnsi="Arial" w:cs="Arial"/>
          <w:sz w:val="22"/>
          <w:szCs w:val="22"/>
        </w:rPr>
        <w:t xml:space="preserve"> </w:t>
      </w:r>
    </w:p>
    <w:p w:rsidR="007C52D3" w:rsidRPr="007C52D3" w:rsidRDefault="007C52D3" w:rsidP="00F4779D">
      <w:pPr>
        <w:pStyle w:val="BlockText"/>
        <w:spacing w:after="200" w:line="240" w:lineRule="atLeast"/>
        <w:ind w:left="0" w:right="113"/>
        <w:jc w:val="both"/>
        <w:rPr>
          <w:rFonts w:ascii="Arial" w:hAnsi="Arial" w:cs="Arial"/>
          <w:sz w:val="22"/>
          <w:szCs w:val="22"/>
        </w:rPr>
      </w:pPr>
      <w:r>
        <w:rPr>
          <w:rFonts w:ascii="Arial" w:hAnsi="Arial" w:cs="Arial"/>
          <w:b/>
          <w:sz w:val="22"/>
          <w:szCs w:val="22"/>
        </w:rPr>
        <w:t>Kassaflöde från den löpande verksamheten</w:t>
      </w:r>
      <w:r>
        <w:rPr>
          <w:rFonts w:ascii="Arial" w:hAnsi="Arial" w:cs="Arial"/>
          <w:sz w:val="22"/>
          <w:szCs w:val="22"/>
        </w:rPr>
        <w:t xml:space="preserve"> för kvartalet uppgick till </w:t>
      </w:r>
      <w:r w:rsidR="00E25E1E">
        <w:rPr>
          <w:rFonts w:ascii="Arial" w:hAnsi="Arial" w:cs="Arial"/>
          <w:sz w:val="22"/>
          <w:szCs w:val="22"/>
        </w:rPr>
        <w:t>21</w:t>
      </w:r>
      <w:r w:rsidR="006B3524">
        <w:rPr>
          <w:rFonts w:ascii="Arial" w:hAnsi="Arial" w:cs="Arial"/>
          <w:sz w:val="22"/>
          <w:szCs w:val="22"/>
        </w:rPr>
        <w:t xml:space="preserve"> </w:t>
      </w:r>
      <w:r w:rsidR="003E71F6">
        <w:rPr>
          <w:rFonts w:ascii="Arial" w:hAnsi="Arial" w:cs="Arial"/>
          <w:sz w:val="22"/>
          <w:szCs w:val="22"/>
        </w:rPr>
        <w:t xml:space="preserve">MSEK </w:t>
      </w:r>
      <w:r>
        <w:rPr>
          <w:rFonts w:ascii="Arial" w:hAnsi="Arial" w:cs="Arial"/>
          <w:sz w:val="22"/>
          <w:szCs w:val="22"/>
        </w:rPr>
        <w:t>(</w:t>
      </w:r>
      <w:r w:rsidR="00E25E1E">
        <w:rPr>
          <w:rFonts w:ascii="Arial" w:hAnsi="Arial" w:cs="Arial"/>
          <w:sz w:val="22"/>
          <w:szCs w:val="22"/>
        </w:rPr>
        <w:t>39</w:t>
      </w:r>
      <w:r>
        <w:rPr>
          <w:rFonts w:ascii="Arial" w:hAnsi="Arial" w:cs="Arial"/>
          <w:sz w:val="22"/>
          <w:szCs w:val="22"/>
        </w:rPr>
        <w:t>).</w:t>
      </w:r>
    </w:p>
    <w:p w:rsidR="00D10991" w:rsidRDefault="00D10991" w:rsidP="00D10991">
      <w:pPr>
        <w:spacing w:before="240" w:after="120"/>
        <w:jc w:val="both"/>
        <w:rPr>
          <w:rFonts w:ascii="Arial" w:hAnsi="Arial" w:cs="Arial"/>
          <w:b/>
          <w:noProof/>
          <w:sz w:val="28"/>
          <w:szCs w:val="28"/>
          <w:lang w:eastAsia="sv-SE"/>
        </w:rPr>
      </w:pPr>
      <w:r>
        <w:rPr>
          <w:rFonts w:ascii="Arial" w:hAnsi="Arial" w:cs="Arial"/>
          <w:b/>
          <w:noProof/>
          <w:sz w:val="28"/>
          <w:szCs w:val="28"/>
          <w:lang w:eastAsia="sv-SE"/>
        </w:rPr>
        <w:t xml:space="preserve">Perioden januari – </w:t>
      </w:r>
      <w:r w:rsidR="00E25E1E">
        <w:rPr>
          <w:rFonts w:ascii="Arial" w:hAnsi="Arial" w:cs="Arial"/>
          <w:b/>
          <w:noProof/>
          <w:sz w:val="28"/>
          <w:szCs w:val="28"/>
          <w:lang w:eastAsia="sv-SE"/>
        </w:rPr>
        <w:t>september</w:t>
      </w:r>
      <w:r>
        <w:rPr>
          <w:rFonts w:ascii="Arial" w:hAnsi="Arial" w:cs="Arial"/>
          <w:b/>
          <w:noProof/>
          <w:sz w:val="28"/>
          <w:szCs w:val="28"/>
          <w:lang w:eastAsia="sv-SE"/>
        </w:rPr>
        <w:t xml:space="preserve"> 2015</w:t>
      </w:r>
    </w:p>
    <w:p w:rsidR="006B3524" w:rsidRPr="002277EB" w:rsidRDefault="006B3524" w:rsidP="006B3524">
      <w:pPr>
        <w:pStyle w:val="BlockText"/>
        <w:spacing w:after="200" w:line="240" w:lineRule="atLeast"/>
        <w:ind w:left="0" w:right="113"/>
        <w:jc w:val="both"/>
        <w:rPr>
          <w:rFonts w:ascii="Arial" w:hAnsi="Arial" w:cs="Arial"/>
          <w:sz w:val="22"/>
          <w:szCs w:val="22"/>
        </w:rPr>
      </w:pPr>
      <w:r w:rsidRPr="002277EB">
        <w:rPr>
          <w:rFonts w:ascii="Arial" w:hAnsi="Arial" w:cs="Arial"/>
          <w:b/>
          <w:sz w:val="22"/>
          <w:szCs w:val="22"/>
        </w:rPr>
        <w:t>Nettoomsättningen</w:t>
      </w:r>
      <w:r w:rsidRPr="002277EB">
        <w:rPr>
          <w:rFonts w:ascii="Arial" w:hAnsi="Arial" w:cs="Arial"/>
          <w:sz w:val="22"/>
          <w:szCs w:val="22"/>
        </w:rPr>
        <w:t xml:space="preserve"> för </w:t>
      </w:r>
      <w:r>
        <w:rPr>
          <w:rFonts w:ascii="Arial" w:hAnsi="Arial" w:cs="Arial"/>
          <w:sz w:val="22"/>
          <w:szCs w:val="22"/>
        </w:rPr>
        <w:t xml:space="preserve">perioden januari – </w:t>
      </w:r>
      <w:r w:rsidR="00E25E1E">
        <w:rPr>
          <w:rFonts w:ascii="Arial" w:hAnsi="Arial" w:cs="Arial"/>
          <w:sz w:val="22"/>
          <w:szCs w:val="22"/>
        </w:rPr>
        <w:t>september</w:t>
      </w:r>
      <w:r>
        <w:rPr>
          <w:rFonts w:ascii="Arial" w:hAnsi="Arial" w:cs="Arial"/>
          <w:sz w:val="22"/>
          <w:szCs w:val="22"/>
        </w:rPr>
        <w:t xml:space="preserve"> 2015 </w:t>
      </w:r>
      <w:r w:rsidRPr="002277EB">
        <w:rPr>
          <w:rFonts w:ascii="Arial" w:hAnsi="Arial" w:cs="Arial"/>
          <w:sz w:val="22"/>
          <w:szCs w:val="22"/>
        </w:rPr>
        <w:t xml:space="preserve">uppgick till </w:t>
      </w:r>
      <w:r w:rsidR="00E25E1E">
        <w:rPr>
          <w:rFonts w:ascii="Arial" w:hAnsi="Arial" w:cs="Arial"/>
          <w:sz w:val="22"/>
          <w:szCs w:val="22"/>
        </w:rPr>
        <w:t>716</w:t>
      </w:r>
      <w:r>
        <w:rPr>
          <w:rFonts w:ascii="Arial" w:hAnsi="Arial" w:cs="Arial"/>
          <w:sz w:val="22"/>
          <w:szCs w:val="22"/>
        </w:rPr>
        <w:t xml:space="preserve"> </w:t>
      </w:r>
      <w:r w:rsidRPr="002277EB">
        <w:rPr>
          <w:rFonts w:ascii="Arial" w:hAnsi="Arial" w:cs="Arial"/>
          <w:sz w:val="22"/>
          <w:szCs w:val="22"/>
        </w:rPr>
        <w:t>MSEK (</w:t>
      </w:r>
      <w:r w:rsidR="00E25E1E">
        <w:rPr>
          <w:rFonts w:ascii="Arial" w:hAnsi="Arial" w:cs="Arial"/>
          <w:sz w:val="22"/>
          <w:szCs w:val="22"/>
        </w:rPr>
        <w:t>771</w:t>
      </w:r>
      <w:r w:rsidRPr="002277EB">
        <w:rPr>
          <w:rFonts w:ascii="Arial" w:hAnsi="Arial" w:cs="Arial"/>
          <w:sz w:val="22"/>
          <w:szCs w:val="22"/>
        </w:rPr>
        <w:t>)</w:t>
      </w:r>
      <w:r>
        <w:rPr>
          <w:rFonts w:ascii="Arial" w:hAnsi="Arial" w:cs="Arial"/>
          <w:sz w:val="22"/>
          <w:szCs w:val="22"/>
        </w:rPr>
        <w:t xml:space="preserve">, en minskning </w:t>
      </w:r>
      <w:r w:rsidRPr="002277EB">
        <w:rPr>
          <w:rFonts w:ascii="Arial" w:hAnsi="Arial" w:cs="Arial"/>
          <w:sz w:val="22"/>
          <w:szCs w:val="22"/>
        </w:rPr>
        <w:t xml:space="preserve">med </w:t>
      </w:r>
      <w:r>
        <w:rPr>
          <w:rFonts w:ascii="Arial" w:hAnsi="Arial" w:cs="Arial"/>
          <w:sz w:val="22"/>
          <w:szCs w:val="22"/>
        </w:rPr>
        <w:t xml:space="preserve">7 procent jämfört med </w:t>
      </w:r>
      <w:r w:rsidRPr="002277EB">
        <w:rPr>
          <w:rFonts w:ascii="Arial" w:hAnsi="Arial" w:cs="Arial"/>
          <w:sz w:val="22"/>
          <w:szCs w:val="22"/>
        </w:rPr>
        <w:t xml:space="preserve">motsvarande </w:t>
      </w:r>
      <w:r w:rsidR="005F2728">
        <w:rPr>
          <w:rFonts w:ascii="Arial" w:hAnsi="Arial" w:cs="Arial"/>
          <w:sz w:val="22"/>
          <w:szCs w:val="22"/>
        </w:rPr>
        <w:t xml:space="preserve">period </w:t>
      </w:r>
      <w:r w:rsidRPr="002277EB">
        <w:rPr>
          <w:rFonts w:ascii="Arial" w:hAnsi="Arial" w:cs="Arial"/>
          <w:sz w:val="22"/>
          <w:szCs w:val="22"/>
        </w:rPr>
        <w:t>föregående år.</w:t>
      </w:r>
      <w:r>
        <w:rPr>
          <w:rFonts w:ascii="Arial" w:hAnsi="Arial" w:cs="Arial"/>
          <w:sz w:val="22"/>
          <w:szCs w:val="22"/>
        </w:rPr>
        <w:t xml:space="preserve"> </w:t>
      </w:r>
    </w:p>
    <w:p w:rsidR="006B3524" w:rsidRDefault="006B3524" w:rsidP="006B3524">
      <w:pPr>
        <w:pStyle w:val="BlockText"/>
        <w:spacing w:after="200" w:line="240" w:lineRule="atLeast"/>
        <w:ind w:left="0" w:right="113"/>
        <w:jc w:val="both"/>
        <w:rPr>
          <w:rFonts w:ascii="Arial" w:hAnsi="Arial" w:cs="Arial"/>
          <w:sz w:val="22"/>
          <w:szCs w:val="22"/>
        </w:rPr>
      </w:pPr>
      <w:r w:rsidRPr="002277EB">
        <w:rPr>
          <w:rFonts w:ascii="Arial" w:hAnsi="Arial" w:cs="Arial"/>
          <w:b/>
          <w:sz w:val="22"/>
          <w:szCs w:val="22"/>
        </w:rPr>
        <w:t xml:space="preserve">Rörelseresultatet </w:t>
      </w:r>
      <w:r w:rsidRPr="002277EB">
        <w:rPr>
          <w:rFonts w:ascii="Arial" w:hAnsi="Arial" w:cs="Arial"/>
          <w:sz w:val="22"/>
          <w:szCs w:val="22"/>
        </w:rPr>
        <w:t xml:space="preserve">uppgick till </w:t>
      </w:r>
      <w:r w:rsidR="00E25E1E">
        <w:rPr>
          <w:rFonts w:ascii="Arial" w:hAnsi="Arial" w:cs="Arial"/>
          <w:sz w:val="22"/>
          <w:szCs w:val="22"/>
        </w:rPr>
        <w:t>70</w:t>
      </w:r>
      <w:r>
        <w:rPr>
          <w:rFonts w:ascii="Arial" w:hAnsi="Arial" w:cs="Arial"/>
          <w:sz w:val="22"/>
          <w:szCs w:val="22"/>
        </w:rPr>
        <w:t xml:space="preserve"> </w:t>
      </w:r>
      <w:r w:rsidRPr="002277EB">
        <w:rPr>
          <w:rFonts w:ascii="Arial" w:hAnsi="Arial" w:cs="Arial"/>
          <w:sz w:val="22"/>
          <w:szCs w:val="22"/>
        </w:rPr>
        <w:t>MSEK (</w:t>
      </w:r>
      <w:r w:rsidR="00E377C0">
        <w:rPr>
          <w:rFonts w:ascii="Arial" w:hAnsi="Arial" w:cs="Arial"/>
          <w:sz w:val="22"/>
          <w:szCs w:val="22"/>
        </w:rPr>
        <w:t>109</w:t>
      </w:r>
      <w:r w:rsidRPr="002277EB">
        <w:rPr>
          <w:rFonts w:ascii="Arial" w:hAnsi="Arial" w:cs="Arial"/>
          <w:sz w:val="22"/>
          <w:szCs w:val="22"/>
        </w:rPr>
        <w:t>).</w:t>
      </w:r>
      <w:r w:rsidRPr="00973917">
        <w:rPr>
          <w:rFonts w:ascii="Arial" w:hAnsi="Arial" w:cs="Arial"/>
          <w:sz w:val="22"/>
          <w:szCs w:val="22"/>
        </w:rPr>
        <w:t xml:space="preserve"> </w:t>
      </w:r>
      <w:r>
        <w:rPr>
          <w:rFonts w:ascii="Arial" w:hAnsi="Arial" w:cs="Arial"/>
          <w:sz w:val="22"/>
          <w:szCs w:val="22"/>
        </w:rPr>
        <w:t xml:space="preserve">Rörelsemarginalen var </w:t>
      </w:r>
      <w:r w:rsidR="00E25E1E">
        <w:rPr>
          <w:rFonts w:ascii="Arial" w:hAnsi="Arial" w:cs="Arial"/>
          <w:sz w:val="22"/>
          <w:szCs w:val="22"/>
        </w:rPr>
        <w:t>10</w:t>
      </w:r>
      <w:r>
        <w:rPr>
          <w:rFonts w:ascii="Arial" w:hAnsi="Arial" w:cs="Arial"/>
          <w:sz w:val="22"/>
          <w:szCs w:val="22"/>
        </w:rPr>
        <w:t xml:space="preserve"> procent (</w:t>
      </w:r>
      <w:r w:rsidR="00E25E1E">
        <w:rPr>
          <w:rFonts w:ascii="Arial" w:hAnsi="Arial" w:cs="Arial"/>
          <w:sz w:val="22"/>
          <w:szCs w:val="22"/>
        </w:rPr>
        <w:t>14</w:t>
      </w:r>
      <w:r>
        <w:rPr>
          <w:rFonts w:ascii="Arial" w:hAnsi="Arial" w:cs="Arial"/>
          <w:sz w:val="22"/>
          <w:szCs w:val="22"/>
        </w:rPr>
        <w:t>).</w:t>
      </w:r>
      <w:r w:rsidR="008072A9">
        <w:rPr>
          <w:rFonts w:ascii="Arial" w:hAnsi="Arial" w:cs="Arial"/>
          <w:sz w:val="22"/>
          <w:szCs w:val="22"/>
        </w:rPr>
        <w:t xml:space="preserve"> </w:t>
      </w:r>
    </w:p>
    <w:p w:rsidR="006B3524" w:rsidRDefault="006B3524" w:rsidP="006B3524">
      <w:pPr>
        <w:pStyle w:val="BlockText"/>
        <w:spacing w:after="200" w:line="240" w:lineRule="atLeast"/>
        <w:ind w:left="0" w:right="113"/>
        <w:jc w:val="both"/>
        <w:rPr>
          <w:rFonts w:ascii="Arial" w:hAnsi="Arial" w:cs="Arial"/>
          <w:sz w:val="22"/>
          <w:szCs w:val="22"/>
        </w:rPr>
      </w:pPr>
      <w:r w:rsidRPr="002277EB">
        <w:rPr>
          <w:rFonts w:ascii="Arial" w:hAnsi="Arial" w:cs="Arial"/>
          <w:b/>
          <w:sz w:val="22"/>
          <w:szCs w:val="22"/>
        </w:rPr>
        <w:t>Periodens resultat</w:t>
      </w:r>
      <w:r w:rsidRPr="002277EB">
        <w:rPr>
          <w:rFonts w:ascii="Arial" w:hAnsi="Arial" w:cs="Arial"/>
          <w:sz w:val="22"/>
          <w:szCs w:val="22"/>
        </w:rPr>
        <w:t xml:space="preserve"> </w:t>
      </w:r>
      <w:r>
        <w:rPr>
          <w:rFonts w:ascii="Arial" w:hAnsi="Arial" w:cs="Arial"/>
          <w:sz w:val="22"/>
          <w:szCs w:val="22"/>
        </w:rPr>
        <w:t xml:space="preserve">uppgick till </w:t>
      </w:r>
      <w:r w:rsidR="00992844">
        <w:rPr>
          <w:rFonts w:ascii="Arial" w:hAnsi="Arial" w:cs="Arial"/>
          <w:sz w:val="22"/>
          <w:szCs w:val="22"/>
        </w:rPr>
        <w:t>55</w:t>
      </w:r>
      <w:r>
        <w:rPr>
          <w:rFonts w:ascii="Arial" w:hAnsi="Arial" w:cs="Arial"/>
          <w:sz w:val="22"/>
          <w:szCs w:val="22"/>
        </w:rPr>
        <w:t xml:space="preserve"> MSEK </w:t>
      </w:r>
      <w:r w:rsidRPr="002277EB">
        <w:rPr>
          <w:rFonts w:ascii="Arial" w:hAnsi="Arial" w:cs="Arial"/>
          <w:sz w:val="22"/>
          <w:szCs w:val="22"/>
        </w:rPr>
        <w:t>(</w:t>
      </w:r>
      <w:r w:rsidR="00992844">
        <w:rPr>
          <w:rFonts w:ascii="Arial" w:hAnsi="Arial" w:cs="Arial"/>
          <w:sz w:val="22"/>
          <w:szCs w:val="22"/>
        </w:rPr>
        <w:t>83</w:t>
      </w:r>
      <w:r>
        <w:rPr>
          <w:rFonts w:ascii="Arial" w:hAnsi="Arial" w:cs="Arial"/>
          <w:sz w:val="22"/>
          <w:szCs w:val="22"/>
        </w:rPr>
        <w:t xml:space="preserve">), </w:t>
      </w:r>
      <w:r w:rsidRPr="002277EB">
        <w:rPr>
          <w:rFonts w:ascii="Arial" w:hAnsi="Arial" w:cs="Arial"/>
          <w:sz w:val="22"/>
          <w:szCs w:val="22"/>
        </w:rPr>
        <w:t xml:space="preserve">motsvarande ett resultat per aktie om </w:t>
      </w:r>
      <w:r w:rsidR="00992844">
        <w:rPr>
          <w:rFonts w:ascii="Arial" w:hAnsi="Arial" w:cs="Arial"/>
          <w:sz w:val="22"/>
          <w:szCs w:val="22"/>
        </w:rPr>
        <w:t>0,28</w:t>
      </w:r>
      <w:r>
        <w:rPr>
          <w:rFonts w:ascii="Arial" w:hAnsi="Arial" w:cs="Arial"/>
          <w:sz w:val="22"/>
          <w:szCs w:val="22"/>
        </w:rPr>
        <w:t xml:space="preserve"> </w:t>
      </w:r>
      <w:r w:rsidRPr="002277EB">
        <w:rPr>
          <w:rFonts w:ascii="Arial" w:hAnsi="Arial" w:cs="Arial"/>
          <w:sz w:val="22"/>
          <w:szCs w:val="22"/>
        </w:rPr>
        <w:t>MSEK (</w:t>
      </w:r>
      <w:r w:rsidR="00992844">
        <w:rPr>
          <w:rFonts w:ascii="Arial" w:hAnsi="Arial" w:cs="Arial"/>
          <w:sz w:val="22"/>
          <w:szCs w:val="22"/>
        </w:rPr>
        <w:t>0,42</w:t>
      </w:r>
      <w:r w:rsidRPr="002277EB">
        <w:rPr>
          <w:rFonts w:ascii="Arial" w:hAnsi="Arial" w:cs="Arial"/>
          <w:sz w:val="22"/>
          <w:szCs w:val="22"/>
        </w:rPr>
        <w:t>)</w:t>
      </w:r>
      <w:r>
        <w:rPr>
          <w:rFonts w:ascii="Arial" w:hAnsi="Arial" w:cs="Arial"/>
          <w:sz w:val="22"/>
          <w:szCs w:val="22"/>
        </w:rPr>
        <w:t>.</w:t>
      </w:r>
      <w:r w:rsidRPr="00124EB7">
        <w:rPr>
          <w:rFonts w:ascii="Arial" w:hAnsi="Arial" w:cs="Arial"/>
          <w:sz w:val="22"/>
          <w:szCs w:val="22"/>
        </w:rPr>
        <w:t xml:space="preserve"> </w:t>
      </w:r>
    </w:p>
    <w:p w:rsidR="00E10BEB" w:rsidRDefault="00E10BEB" w:rsidP="006B3524">
      <w:pPr>
        <w:pStyle w:val="BlockText"/>
        <w:spacing w:after="200" w:line="240" w:lineRule="atLeast"/>
        <w:ind w:left="0" w:right="113"/>
        <w:jc w:val="both"/>
        <w:rPr>
          <w:rFonts w:ascii="Arial" w:hAnsi="Arial" w:cs="Arial"/>
          <w:sz w:val="22"/>
          <w:szCs w:val="22"/>
        </w:rPr>
      </w:pPr>
      <w:r>
        <w:rPr>
          <w:rFonts w:ascii="Arial" w:hAnsi="Arial" w:cs="Arial"/>
          <w:b/>
          <w:sz w:val="22"/>
          <w:szCs w:val="22"/>
        </w:rPr>
        <w:t>Kassaflöde från den löpande verksamheten</w:t>
      </w:r>
      <w:r>
        <w:rPr>
          <w:rFonts w:ascii="Arial" w:hAnsi="Arial" w:cs="Arial"/>
          <w:sz w:val="22"/>
          <w:szCs w:val="22"/>
        </w:rPr>
        <w:t xml:space="preserve"> för </w:t>
      </w:r>
      <w:r w:rsidR="00DD732A">
        <w:rPr>
          <w:rFonts w:ascii="Arial" w:hAnsi="Arial" w:cs="Arial"/>
          <w:sz w:val="22"/>
          <w:szCs w:val="22"/>
        </w:rPr>
        <w:t xml:space="preserve">perioden </w:t>
      </w:r>
      <w:r>
        <w:rPr>
          <w:rFonts w:ascii="Arial" w:hAnsi="Arial" w:cs="Arial"/>
          <w:sz w:val="22"/>
          <w:szCs w:val="22"/>
        </w:rPr>
        <w:t xml:space="preserve">uppgick till </w:t>
      </w:r>
      <w:r w:rsidR="00992844">
        <w:rPr>
          <w:rFonts w:ascii="Arial" w:hAnsi="Arial" w:cs="Arial"/>
          <w:sz w:val="22"/>
          <w:szCs w:val="22"/>
        </w:rPr>
        <w:t>44</w:t>
      </w:r>
      <w:r>
        <w:rPr>
          <w:rFonts w:ascii="Arial" w:hAnsi="Arial" w:cs="Arial"/>
          <w:sz w:val="22"/>
          <w:szCs w:val="22"/>
        </w:rPr>
        <w:t xml:space="preserve"> MSEK (</w:t>
      </w:r>
      <w:r w:rsidR="00992844">
        <w:rPr>
          <w:rFonts w:ascii="Arial" w:hAnsi="Arial" w:cs="Arial"/>
          <w:sz w:val="22"/>
          <w:szCs w:val="22"/>
        </w:rPr>
        <w:t>92</w:t>
      </w:r>
      <w:r>
        <w:rPr>
          <w:rFonts w:ascii="Arial" w:hAnsi="Arial" w:cs="Arial"/>
          <w:sz w:val="22"/>
          <w:szCs w:val="22"/>
        </w:rPr>
        <w:t>).</w:t>
      </w:r>
    </w:p>
    <w:p w:rsidR="00B26F1F" w:rsidRDefault="00E25E1E" w:rsidP="006B3524">
      <w:pPr>
        <w:pStyle w:val="BlockText"/>
        <w:spacing w:after="200" w:line="240" w:lineRule="atLeast"/>
        <w:ind w:left="0" w:right="113"/>
        <w:jc w:val="both"/>
        <w:rPr>
          <w:rFonts w:ascii="Arial" w:hAnsi="Arial" w:cs="Arial"/>
          <w:sz w:val="22"/>
          <w:szCs w:val="22"/>
        </w:rPr>
      </w:pPr>
      <w:r>
        <w:rPr>
          <w:rFonts w:ascii="Arial" w:hAnsi="Arial" w:cs="Arial"/>
          <w:noProof/>
          <w:sz w:val="22"/>
          <w:szCs w:val="22"/>
          <w:lang w:eastAsia="sv-SE"/>
        </w:rPr>
        <w:drawing>
          <wp:inline distT="0" distB="0" distL="0" distR="0">
            <wp:extent cx="4770120" cy="22291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120" cy="2229164"/>
                    </a:xfrm>
                    <a:prstGeom prst="rect">
                      <a:avLst/>
                    </a:prstGeom>
                    <a:noFill/>
                    <a:ln>
                      <a:noFill/>
                    </a:ln>
                  </pic:spPr>
                </pic:pic>
              </a:graphicData>
            </a:graphic>
          </wp:inline>
        </w:drawing>
      </w:r>
    </w:p>
    <w:p w:rsidR="000C54DA" w:rsidRDefault="000C54DA">
      <w:pPr>
        <w:rPr>
          <w:rFonts w:ascii="Arial" w:hAnsi="Arial" w:cs="Arial"/>
          <w:sz w:val="22"/>
          <w:szCs w:val="22"/>
        </w:rPr>
      </w:pPr>
      <w:r>
        <w:rPr>
          <w:rFonts w:ascii="Arial" w:hAnsi="Arial" w:cs="Arial"/>
          <w:sz w:val="22"/>
          <w:szCs w:val="22"/>
        </w:rPr>
        <w:br w:type="page"/>
      </w:r>
    </w:p>
    <w:p w:rsidR="00511616" w:rsidRDefault="00511616" w:rsidP="00AB5DAB">
      <w:pPr>
        <w:pStyle w:val="Subtitle"/>
        <w:rPr>
          <w:rFonts w:ascii="Arial" w:hAnsi="Arial" w:cs="Arial"/>
          <w:b/>
          <w:color w:val="auto"/>
          <w:sz w:val="20"/>
        </w:rPr>
      </w:pPr>
    </w:p>
    <w:p w:rsidR="00AB5DAB" w:rsidRPr="00761EAF" w:rsidRDefault="0093568C" w:rsidP="00AB5DAB">
      <w:pPr>
        <w:pStyle w:val="Subtitle"/>
        <w:rPr>
          <w:rFonts w:ascii="Arial" w:hAnsi="Arial" w:cs="Arial"/>
          <w:b/>
          <w:color w:val="auto"/>
          <w:sz w:val="20"/>
        </w:rPr>
      </w:pPr>
      <w:r w:rsidRPr="00761EAF">
        <w:rPr>
          <w:rFonts w:ascii="Arial" w:hAnsi="Arial" w:cs="Arial"/>
          <w:b/>
          <w:color w:val="auto"/>
          <w:sz w:val="20"/>
        </w:rPr>
        <w:t>VD har ordet</w:t>
      </w:r>
    </w:p>
    <w:p w:rsidR="005240C2" w:rsidRPr="00D93B4F" w:rsidRDefault="005240C2" w:rsidP="005240C2">
      <w:pPr>
        <w:rPr>
          <w:rFonts w:ascii="Arial" w:hAnsi="Arial" w:cs="Arial"/>
          <w:highlight w:val="yellow"/>
        </w:rPr>
      </w:pPr>
    </w:p>
    <w:p w:rsidR="00A70F43" w:rsidRPr="00A70F43" w:rsidRDefault="00A70F43" w:rsidP="00A70F43">
      <w:pPr>
        <w:keepNext/>
        <w:spacing w:line="520" w:lineRule="atLeast"/>
        <w:contextualSpacing/>
        <w:outlineLvl w:val="0"/>
        <w:rPr>
          <w:rFonts w:ascii="Arial" w:eastAsia="Times New Roman" w:hAnsi="Arial" w:cs="Arial"/>
          <w:b/>
          <w:bCs/>
          <w:sz w:val="26"/>
          <w:szCs w:val="26"/>
        </w:rPr>
      </w:pPr>
      <w:r w:rsidRPr="00A70F43">
        <w:rPr>
          <w:rFonts w:ascii="Arial" w:eastAsia="Times New Roman" w:hAnsi="Arial" w:cs="Arial"/>
          <w:b/>
          <w:bCs/>
          <w:sz w:val="26"/>
          <w:szCs w:val="26"/>
        </w:rPr>
        <w:t xml:space="preserve">Fortsatt </w:t>
      </w:r>
      <w:r w:rsidR="00C66AEF">
        <w:rPr>
          <w:rFonts w:ascii="Arial" w:eastAsia="Times New Roman" w:hAnsi="Arial" w:cs="Arial"/>
          <w:b/>
          <w:bCs/>
          <w:sz w:val="26"/>
          <w:szCs w:val="26"/>
        </w:rPr>
        <w:t>omställning</w:t>
      </w:r>
      <w:r w:rsidRPr="00A70F43">
        <w:rPr>
          <w:rFonts w:ascii="Arial" w:eastAsia="Times New Roman" w:hAnsi="Arial" w:cs="Arial"/>
          <w:b/>
          <w:bCs/>
          <w:sz w:val="26"/>
          <w:szCs w:val="26"/>
        </w:rPr>
        <w:t xml:space="preserve"> med fokus på nya kunder</w:t>
      </w:r>
    </w:p>
    <w:p w:rsidR="00A70F43" w:rsidRPr="00A70F43" w:rsidRDefault="00A70F43" w:rsidP="00A70F43">
      <w:pPr>
        <w:rPr>
          <w:rFonts w:ascii="Calibri" w:eastAsia="Times New Roman" w:hAnsi="Calibri" w:cs="Times New Roman"/>
        </w:rPr>
      </w:pPr>
    </w:p>
    <w:p w:rsidR="00A70F43" w:rsidRPr="00A70F43" w:rsidRDefault="00A70F43" w:rsidP="00A70F43">
      <w:pPr>
        <w:jc w:val="both"/>
        <w:rPr>
          <w:rFonts w:ascii="Arial" w:eastAsia="Times New Roman" w:hAnsi="Arial" w:cs="Arial"/>
          <w:sz w:val="22"/>
          <w:szCs w:val="22"/>
        </w:rPr>
      </w:pPr>
      <w:r w:rsidRPr="00A70F43">
        <w:rPr>
          <w:rFonts w:ascii="Arial" w:eastAsia="Times New Roman" w:hAnsi="Arial" w:cs="Arial"/>
          <w:sz w:val="22"/>
          <w:szCs w:val="22"/>
        </w:rPr>
        <w:t>Arbetet med att ställa om Orio från att vara världens enda leverantör av Saab or</w:t>
      </w:r>
      <w:r w:rsidR="00D14EA7">
        <w:rPr>
          <w:rFonts w:ascii="Arial" w:eastAsia="Times New Roman" w:hAnsi="Arial" w:cs="Arial"/>
          <w:sz w:val="22"/>
          <w:szCs w:val="22"/>
        </w:rPr>
        <w:t>i</w:t>
      </w:r>
      <w:r w:rsidRPr="00A70F43">
        <w:rPr>
          <w:rFonts w:ascii="Arial" w:eastAsia="Times New Roman" w:hAnsi="Arial" w:cs="Arial"/>
          <w:sz w:val="22"/>
          <w:szCs w:val="22"/>
        </w:rPr>
        <w:t>ginaldelar till ett bolag med breddad kundbas och utökat produktutbud fortsätter</w:t>
      </w:r>
      <w:r w:rsidR="00C66AEF">
        <w:rPr>
          <w:rFonts w:ascii="Arial" w:eastAsia="Times New Roman" w:hAnsi="Arial" w:cs="Arial"/>
          <w:sz w:val="22"/>
          <w:szCs w:val="22"/>
        </w:rPr>
        <w:t>.</w:t>
      </w:r>
      <w:r w:rsidR="0074056C">
        <w:rPr>
          <w:rFonts w:ascii="Arial" w:eastAsia="Times New Roman" w:hAnsi="Arial" w:cs="Arial"/>
          <w:sz w:val="22"/>
          <w:szCs w:val="22"/>
        </w:rPr>
        <w:t xml:space="preserve"> </w:t>
      </w:r>
      <w:r w:rsidR="00C66AEF">
        <w:rPr>
          <w:rFonts w:ascii="Arial" w:eastAsia="Times New Roman" w:hAnsi="Arial" w:cs="Arial"/>
          <w:sz w:val="22"/>
          <w:szCs w:val="22"/>
        </w:rPr>
        <w:t>F</w:t>
      </w:r>
      <w:r w:rsidRPr="00A70F43">
        <w:rPr>
          <w:rFonts w:ascii="Arial" w:eastAsia="Times New Roman" w:hAnsi="Arial" w:cs="Arial"/>
          <w:sz w:val="22"/>
          <w:szCs w:val="22"/>
        </w:rPr>
        <w:t xml:space="preserve">ör att öka servicegraden etablerades under försommaren distributionscentraler i Storbritannien och Tyskland. En ny portal lanseras på våra huvudmarknader. Nästa steg är att introducera nya betalningslösningar, vilket kommer att ske under fjärde kvartalet. </w:t>
      </w:r>
    </w:p>
    <w:p w:rsidR="00A70F43" w:rsidRPr="00A70F43" w:rsidRDefault="00A70F43" w:rsidP="00A70F43">
      <w:pPr>
        <w:jc w:val="both"/>
        <w:rPr>
          <w:rFonts w:ascii="Arial" w:eastAsia="Times New Roman" w:hAnsi="Arial" w:cs="Arial"/>
          <w:sz w:val="22"/>
          <w:szCs w:val="22"/>
        </w:rPr>
      </w:pPr>
    </w:p>
    <w:p w:rsidR="00A70F43" w:rsidRPr="00A70F43" w:rsidRDefault="00C66AEF" w:rsidP="00A70F43">
      <w:pPr>
        <w:jc w:val="both"/>
        <w:rPr>
          <w:rFonts w:ascii="Arial" w:eastAsia="Times New Roman" w:hAnsi="Arial" w:cs="Arial"/>
          <w:sz w:val="22"/>
          <w:szCs w:val="22"/>
        </w:rPr>
      </w:pPr>
      <w:r>
        <w:rPr>
          <w:rFonts w:ascii="Arial" w:eastAsia="Times New Roman" w:hAnsi="Arial" w:cs="Arial"/>
          <w:sz w:val="22"/>
          <w:szCs w:val="22"/>
        </w:rPr>
        <w:t>Antalet nya kunder ökar</w:t>
      </w:r>
      <w:r w:rsidR="00A70F43" w:rsidRPr="00A70F43">
        <w:rPr>
          <w:rFonts w:ascii="Arial" w:eastAsia="Times New Roman" w:hAnsi="Arial" w:cs="Arial"/>
          <w:sz w:val="22"/>
          <w:szCs w:val="22"/>
        </w:rPr>
        <w:t>. Expansionen sker främst mot oberoende verkstäder vilket till stor del är en ny kundgrupp för Orio. I september månad uppgick försäljningen till dessa kunder till drygt sju procent av reservdels</w:t>
      </w:r>
      <w:r>
        <w:rPr>
          <w:rFonts w:ascii="Arial" w:eastAsia="Times New Roman" w:hAnsi="Arial" w:cs="Arial"/>
          <w:sz w:val="22"/>
          <w:szCs w:val="22"/>
        </w:rPr>
        <w:t>-</w:t>
      </w:r>
      <w:r w:rsidR="00A70F43" w:rsidRPr="00A70F43">
        <w:rPr>
          <w:rFonts w:ascii="Arial" w:eastAsia="Times New Roman" w:hAnsi="Arial" w:cs="Arial"/>
          <w:sz w:val="22"/>
          <w:szCs w:val="22"/>
        </w:rPr>
        <w:t>försäljningen.</w:t>
      </w:r>
    </w:p>
    <w:p w:rsidR="00A70F43" w:rsidRPr="00A70F43" w:rsidRDefault="00A70F43" w:rsidP="00A70F43">
      <w:pPr>
        <w:jc w:val="both"/>
        <w:rPr>
          <w:rFonts w:ascii="Arial" w:eastAsia="Times New Roman" w:hAnsi="Arial" w:cs="Arial"/>
          <w:sz w:val="22"/>
          <w:szCs w:val="22"/>
        </w:rPr>
      </w:pPr>
    </w:p>
    <w:p w:rsidR="00A70F43" w:rsidRPr="00A70F43" w:rsidRDefault="00C66AEF" w:rsidP="00C66AEF">
      <w:pPr>
        <w:pStyle w:val="NoSpacing"/>
        <w:rPr>
          <w:rFonts w:ascii="Arial" w:eastAsia="Times New Roman" w:hAnsi="Arial" w:cs="Arial"/>
          <w:sz w:val="22"/>
          <w:szCs w:val="22"/>
        </w:rPr>
      </w:pPr>
      <w:r w:rsidRPr="00C66AEF">
        <w:rPr>
          <w:rFonts w:ascii="Arial" w:eastAsia="Times New Roman" w:hAnsi="Arial" w:cs="Arial"/>
          <w:sz w:val="22"/>
          <w:szCs w:val="22"/>
        </w:rPr>
        <w:t xml:space="preserve">Bolaget har fortsatt </w:t>
      </w:r>
      <w:r>
        <w:rPr>
          <w:rFonts w:ascii="Arial" w:eastAsia="Times New Roman" w:hAnsi="Arial" w:cs="Arial"/>
          <w:sz w:val="22"/>
          <w:szCs w:val="22"/>
        </w:rPr>
        <w:t xml:space="preserve">med </w:t>
      </w:r>
      <w:r w:rsidRPr="00C66AEF">
        <w:rPr>
          <w:rFonts w:ascii="Arial" w:eastAsia="Times New Roman" w:hAnsi="Arial" w:cs="Arial"/>
          <w:sz w:val="22"/>
          <w:szCs w:val="22"/>
        </w:rPr>
        <w:t>utmaningen att parallellt med lanseringen av nytt kunderbjudande och breddning av kundbasen ställa om och utveckla komp</w:t>
      </w:r>
      <w:r>
        <w:rPr>
          <w:rFonts w:ascii="Arial" w:eastAsia="Times New Roman" w:hAnsi="Arial" w:cs="Arial"/>
          <w:sz w:val="22"/>
          <w:szCs w:val="22"/>
        </w:rPr>
        <w:t>etens, arbetssätt och processer.</w:t>
      </w:r>
      <w:r w:rsidR="00A70F43" w:rsidRPr="00A70F43">
        <w:rPr>
          <w:rFonts w:ascii="Arial" w:eastAsia="Times New Roman" w:hAnsi="Arial" w:cs="Arial"/>
          <w:sz w:val="22"/>
          <w:szCs w:val="22"/>
        </w:rPr>
        <w:t xml:space="preserve"> </w:t>
      </w:r>
    </w:p>
    <w:p w:rsidR="00A70F43" w:rsidRPr="00A70F43" w:rsidRDefault="00A70F43" w:rsidP="00A70F43">
      <w:pPr>
        <w:jc w:val="both"/>
        <w:rPr>
          <w:rFonts w:ascii="Arial" w:eastAsia="Times New Roman" w:hAnsi="Arial" w:cs="Arial"/>
          <w:sz w:val="22"/>
          <w:szCs w:val="22"/>
          <w:highlight w:val="yellow"/>
        </w:rPr>
      </w:pPr>
    </w:p>
    <w:p w:rsidR="00A70F43" w:rsidRPr="00A70F43" w:rsidRDefault="00A70F43" w:rsidP="00A70F43">
      <w:pPr>
        <w:jc w:val="both"/>
        <w:rPr>
          <w:rFonts w:ascii="Arial" w:eastAsia="Times New Roman" w:hAnsi="Arial" w:cs="Arial"/>
          <w:sz w:val="22"/>
          <w:szCs w:val="22"/>
        </w:rPr>
      </w:pPr>
      <w:r w:rsidRPr="00A70F43">
        <w:rPr>
          <w:rFonts w:ascii="Arial" w:eastAsia="Times New Roman" w:hAnsi="Arial" w:cs="Arial"/>
          <w:sz w:val="22"/>
          <w:szCs w:val="22"/>
        </w:rPr>
        <w:t xml:space="preserve">Som </w:t>
      </w:r>
      <w:r w:rsidR="00C66AEF">
        <w:rPr>
          <w:rFonts w:ascii="Arial" w:eastAsia="Times New Roman" w:hAnsi="Arial" w:cs="Arial"/>
          <w:sz w:val="22"/>
          <w:szCs w:val="22"/>
        </w:rPr>
        <w:t>ett resultat av omstruktureringen</w:t>
      </w:r>
      <w:r w:rsidRPr="00A70F43">
        <w:rPr>
          <w:rFonts w:ascii="Arial" w:eastAsia="Times New Roman" w:hAnsi="Arial" w:cs="Arial"/>
          <w:sz w:val="22"/>
          <w:szCs w:val="22"/>
        </w:rPr>
        <w:t xml:space="preserve"> har omkostnaderna under årets tre första kvartal minskat med elva procent jämfört med motsvarande period föregående år.</w:t>
      </w:r>
    </w:p>
    <w:p w:rsidR="00A70F43" w:rsidRPr="00A70F43" w:rsidRDefault="00A70F43" w:rsidP="00A70F43">
      <w:pPr>
        <w:keepNext/>
        <w:spacing w:before="360" w:after="57" w:line="280" w:lineRule="atLeast"/>
        <w:outlineLvl w:val="1"/>
        <w:rPr>
          <w:rFonts w:ascii="Arial" w:eastAsia="Times New Roman" w:hAnsi="Arial" w:cs="Arial"/>
          <w:bCs/>
          <w:sz w:val="26"/>
          <w:szCs w:val="26"/>
        </w:rPr>
      </w:pPr>
      <w:r w:rsidRPr="00A70F43">
        <w:rPr>
          <w:rFonts w:ascii="Arial" w:eastAsia="Times New Roman" w:hAnsi="Arial" w:cs="Arial"/>
          <w:b/>
          <w:bCs/>
          <w:sz w:val="26"/>
          <w:szCs w:val="26"/>
        </w:rPr>
        <w:t>Marknadsutveckling</w:t>
      </w:r>
      <w:r w:rsidRPr="00A70F43">
        <w:rPr>
          <w:rFonts w:ascii="Arial" w:eastAsia="Times New Roman" w:hAnsi="Arial" w:cs="Arial"/>
          <w:bCs/>
          <w:sz w:val="26"/>
          <w:szCs w:val="26"/>
        </w:rPr>
        <w:t xml:space="preserve"> </w:t>
      </w:r>
    </w:p>
    <w:p w:rsidR="00A70F43" w:rsidRPr="00A70F43" w:rsidRDefault="00A70F43" w:rsidP="00A70F43">
      <w:pPr>
        <w:jc w:val="both"/>
        <w:rPr>
          <w:rFonts w:ascii="Arial" w:eastAsia="Times New Roman" w:hAnsi="Arial" w:cs="Arial"/>
          <w:sz w:val="22"/>
          <w:szCs w:val="22"/>
        </w:rPr>
      </w:pPr>
      <w:r w:rsidRPr="00A70F43">
        <w:rPr>
          <w:rFonts w:ascii="Arial" w:eastAsia="Times New Roman" w:hAnsi="Arial" w:cs="Arial"/>
          <w:sz w:val="22"/>
          <w:szCs w:val="22"/>
        </w:rPr>
        <w:t>Nettoomsättningen för tredje kvartalet 2015 uppgick till 232</w:t>
      </w:r>
      <w:r w:rsidR="00776666">
        <w:rPr>
          <w:rFonts w:ascii="Arial" w:eastAsia="Times New Roman" w:hAnsi="Arial" w:cs="Arial"/>
          <w:sz w:val="22"/>
          <w:szCs w:val="22"/>
        </w:rPr>
        <w:t xml:space="preserve"> MSEK vilket är en  </w:t>
      </w:r>
      <w:r w:rsidR="00723C58">
        <w:rPr>
          <w:rFonts w:ascii="Arial" w:eastAsia="Times New Roman" w:hAnsi="Arial" w:cs="Arial"/>
          <w:sz w:val="22"/>
          <w:szCs w:val="22"/>
        </w:rPr>
        <w:t>minskning med 8</w:t>
      </w:r>
      <w:r w:rsidRPr="00A70F43">
        <w:rPr>
          <w:rFonts w:ascii="Arial" w:eastAsia="Times New Roman" w:hAnsi="Arial" w:cs="Arial"/>
          <w:sz w:val="22"/>
          <w:szCs w:val="22"/>
        </w:rPr>
        <w:t xml:space="preserve"> procent jämfört med motsvarande kvartal föregående år. Justerat för valutakurseffekter var minskningen 14 procent. </w:t>
      </w:r>
    </w:p>
    <w:p w:rsidR="00A70F43" w:rsidRPr="00A70F43" w:rsidRDefault="00A70F43" w:rsidP="00A70F43">
      <w:pPr>
        <w:jc w:val="both"/>
        <w:rPr>
          <w:rFonts w:ascii="Arial" w:eastAsia="Times New Roman" w:hAnsi="Arial" w:cs="Arial"/>
          <w:sz w:val="22"/>
          <w:szCs w:val="22"/>
        </w:rPr>
      </w:pPr>
    </w:p>
    <w:p w:rsidR="00A70F43" w:rsidRPr="00A70F43" w:rsidRDefault="00A70F43" w:rsidP="00A70F43">
      <w:pPr>
        <w:jc w:val="both"/>
        <w:rPr>
          <w:rFonts w:ascii="Arial" w:eastAsia="Times New Roman" w:hAnsi="Arial" w:cs="Arial"/>
          <w:sz w:val="22"/>
          <w:szCs w:val="22"/>
        </w:rPr>
      </w:pPr>
      <w:r w:rsidRPr="00A70F43">
        <w:rPr>
          <w:rFonts w:ascii="Arial" w:eastAsia="Times New Roman" w:hAnsi="Arial" w:cs="Arial"/>
          <w:sz w:val="22"/>
          <w:szCs w:val="22"/>
        </w:rPr>
        <w:t xml:space="preserve">För perioden januari-september uppgick nettoomsättningen till 716 MSEK vilket är en minskning med </w:t>
      </w:r>
      <w:r w:rsidR="00723C58">
        <w:rPr>
          <w:rFonts w:ascii="Arial" w:eastAsia="Times New Roman" w:hAnsi="Arial" w:cs="Arial"/>
          <w:sz w:val="22"/>
          <w:szCs w:val="22"/>
        </w:rPr>
        <w:t xml:space="preserve">7 </w:t>
      </w:r>
      <w:r w:rsidRPr="00A70F43">
        <w:rPr>
          <w:rFonts w:ascii="Arial" w:eastAsia="Times New Roman" w:hAnsi="Arial" w:cs="Arial"/>
          <w:sz w:val="22"/>
          <w:szCs w:val="22"/>
        </w:rPr>
        <w:t xml:space="preserve">procent jämfört med motsvarande period föregående år, rensat för valutaeffekter uppgick omsättningsminskning </w:t>
      </w:r>
      <w:r w:rsidR="00776666">
        <w:rPr>
          <w:rFonts w:ascii="Arial" w:eastAsia="Times New Roman" w:hAnsi="Arial" w:cs="Arial"/>
          <w:sz w:val="22"/>
          <w:szCs w:val="22"/>
        </w:rPr>
        <w:t>med 15</w:t>
      </w:r>
      <w:r w:rsidRPr="00A70F43">
        <w:rPr>
          <w:rFonts w:ascii="Arial" w:eastAsia="Times New Roman" w:hAnsi="Arial" w:cs="Arial"/>
          <w:sz w:val="22"/>
          <w:szCs w:val="22"/>
        </w:rPr>
        <w:t xml:space="preserve"> procent.</w:t>
      </w:r>
    </w:p>
    <w:p w:rsidR="00A70F43" w:rsidRPr="00A70F43" w:rsidRDefault="00A70F43" w:rsidP="00A70F43">
      <w:pPr>
        <w:jc w:val="both"/>
        <w:rPr>
          <w:rFonts w:ascii="Arial" w:eastAsia="Times New Roman" w:hAnsi="Arial" w:cs="Arial"/>
          <w:sz w:val="22"/>
          <w:szCs w:val="22"/>
        </w:rPr>
      </w:pPr>
    </w:p>
    <w:p w:rsidR="00A70F43" w:rsidRPr="00A70F43" w:rsidRDefault="00A70F43" w:rsidP="00A70F43">
      <w:pPr>
        <w:jc w:val="both"/>
        <w:rPr>
          <w:rFonts w:ascii="Arial" w:eastAsia="Times New Roman" w:hAnsi="Arial" w:cs="Arial"/>
          <w:sz w:val="22"/>
          <w:szCs w:val="22"/>
        </w:rPr>
      </w:pPr>
      <w:r w:rsidRPr="00A70F43">
        <w:rPr>
          <w:rFonts w:ascii="Arial" w:eastAsia="Times New Roman" w:hAnsi="Arial" w:cs="Arial"/>
          <w:sz w:val="22"/>
          <w:szCs w:val="22"/>
        </w:rPr>
        <w:t>Försäljningen har minskat på de flesta marknaderna jämfört med utfallet 2014. Gemensamt för samtliga marknader är att volymminskningen jämfört med föregående år till stor del förklaras av att Saab-bilflottan successivt minskar</w:t>
      </w:r>
      <w:r w:rsidR="00C66AEF">
        <w:rPr>
          <w:rFonts w:ascii="Arial" w:eastAsia="Times New Roman" w:hAnsi="Arial" w:cs="Arial"/>
          <w:sz w:val="22"/>
          <w:szCs w:val="22"/>
        </w:rPr>
        <w:t>.</w:t>
      </w:r>
    </w:p>
    <w:p w:rsidR="00A70F43" w:rsidRPr="00A70F43" w:rsidRDefault="00A70F43" w:rsidP="00A70F43">
      <w:pPr>
        <w:jc w:val="both"/>
        <w:rPr>
          <w:rFonts w:ascii="Arial" w:eastAsia="Times New Roman" w:hAnsi="Arial" w:cs="Arial"/>
          <w:sz w:val="22"/>
          <w:szCs w:val="22"/>
          <w:highlight w:val="yellow"/>
        </w:rPr>
      </w:pPr>
    </w:p>
    <w:p w:rsidR="00A70F43" w:rsidRPr="00A70F43" w:rsidRDefault="00A70F43" w:rsidP="00A70F43">
      <w:pPr>
        <w:jc w:val="both"/>
        <w:rPr>
          <w:rFonts w:ascii="Arial" w:eastAsia="Times New Roman" w:hAnsi="Arial" w:cs="Arial"/>
          <w:sz w:val="22"/>
          <w:szCs w:val="22"/>
        </w:rPr>
      </w:pPr>
      <w:r w:rsidRPr="00A70F43">
        <w:rPr>
          <w:rFonts w:ascii="Arial" w:eastAsia="Times New Roman" w:hAnsi="Arial" w:cs="Arial"/>
          <w:sz w:val="22"/>
          <w:szCs w:val="22"/>
        </w:rPr>
        <w:t>Försäljning i Tyskland, Spanien och Italien har ökat trots att  marknaden för reservdelar till Saab krymper.</w:t>
      </w:r>
    </w:p>
    <w:p w:rsidR="00A70F43" w:rsidRPr="00A70F43" w:rsidRDefault="00A70F43" w:rsidP="00A70F43">
      <w:pPr>
        <w:rPr>
          <w:rFonts w:ascii="Arial" w:eastAsia="Times New Roman" w:hAnsi="Arial" w:cs="Arial"/>
          <w:bCs/>
          <w:sz w:val="26"/>
          <w:szCs w:val="26"/>
          <w:highlight w:val="yellow"/>
        </w:rPr>
      </w:pPr>
    </w:p>
    <w:p w:rsidR="00A70F43" w:rsidRPr="00A70F43" w:rsidRDefault="00A70F43" w:rsidP="00A70F43">
      <w:pPr>
        <w:keepNext/>
        <w:spacing w:after="57" w:line="280" w:lineRule="atLeast"/>
        <w:outlineLvl w:val="1"/>
        <w:rPr>
          <w:rFonts w:ascii="Arial" w:eastAsia="Times New Roman" w:hAnsi="Arial" w:cs="Arial"/>
          <w:b/>
          <w:bCs/>
          <w:sz w:val="26"/>
          <w:szCs w:val="26"/>
        </w:rPr>
      </w:pPr>
      <w:r w:rsidRPr="00A70F43">
        <w:rPr>
          <w:rFonts w:ascii="Arial" w:eastAsia="Times New Roman" w:hAnsi="Arial" w:cs="Arial"/>
          <w:b/>
          <w:bCs/>
          <w:sz w:val="26"/>
          <w:szCs w:val="26"/>
        </w:rPr>
        <w:t>Verksamhet och strategi</w:t>
      </w:r>
    </w:p>
    <w:p w:rsidR="00A70F43" w:rsidRPr="00A70F43" w:rsidRDefault="00A70F43" w:rsidP="00A70F43">
      <w:pPr>
        <w:spacing w:line="240" w:lineRule="auto"/>
        <w:jc w:val="both"/>
        <w:rPr>
          <w:rFonts w:ascii="Arial" w:eastAsia="Times New Roman" w:hAnsi="Arial" w:cs="Arial"/>
          <w:sz w:val="22"/>
          <w:szCs w:val="22"/>
        </w:rPr>
      </w:pPr>
      <w:r w:rsidRPr="00A70F43">
        <w:rPr>
          <w:rFonts w:ascii="Arial" w:eastAsia="Times New Roman" w:hAnsi="Arial" w:cs="Arial"/>
          <w:sz w:val="22"/>
          <w:szCs w:val="22"/>
        </w:rPr>
        <w:t>Som världens enda distributör av Saab Originaldelar har vår verksamhet bedrivits med Saab-bilen och tillhörande auktoriserade kanaler i centrum. Framtiden ligger i en breddning mot att se service- och reparationsprocessen som det centrala för vårt erbjudande och vår affär. Detta oavsett bilmärke eller försäljningskanal. Koncernens strategi för att nå våra mål innebär att vi ska:</w:t>
      </w:r>
    </w:p>
    <w:p w:rsidR="00A70F43" w:rsidRPr="00A70F43" w:rsidRDefault="00A70F43" w:rsidP="00A70F43">
      <w:pPr>
        <w:spacing w:line="240" w:lineRule="auto"/>
        <w:jc w:val="both"/>
        <w:rPr>
          <w:rFonts w:ascii="Arial" w:eastAsia="Times New Roman" w:hAnsi="Arial" w:cs="Arial"/>
          <w:sz w:val="22"/>
          <w:szCs w:val="22"/>
        </w:rPr>
      </w:pPr>
    </w:p>
    <w:p w:rsidR="00A70F43" w:rsidRPr="00A70F43" w:rsidRDefault="00A70F43" w:rsidP="00A70F43">
      <w:pPr>
        <w:numPr>
          <w:ilvl w:val="0"/>
          <w:numId w:val="13"/>
        </w:numPr>
        <w:spacing w:line="240" w:lineRule="auto"/>
        <w:contextualSpacing/>
        <w:jc w:val="both"/>
        <w:rPr>
          <w:rFonts w:ascii="Arial" w:eastAsia="Times New Roman" w:hAnsi="Arial" w:cs="Arial"/>
          <w:sz w:val="22"/>
          <w:szCs w:val="22"/>
        </w:rPr>
      </w:pPr>
      <w:r w:rsidRPr="00A70F43">
        <w:rPr>
          <w:rFonts w:ascii="Arial" w:eastAsia="Times New Roman" w:hAnsi="Arial" w:cs="Arial"/>
          <w:sz w:val="22"/>
          <w:szCs w:val="22"/>
        </w:rPr>
        <w:t xml:space="preserve">bredda kundbasen och inkludera även e-handel och oberoende verkstäder, </w:t>
      </w:r>
    </w:p>
    <w:p w:rsidR="00A70F43" w:rsidRPr="00A70F43" w:rsidRDefault="00A70F43" w:rsidP="00A70F43">
      <w:pPr>
        <w:numPr>
          <w:ilvl w:val="0"/>
          <w:numId w:val="13"/>
        </w:numPr>
        <w:spacing w:line="240" w:lineRule="auto"/>
        <w:contextualSpacing/>
        <w:jc w:val="both"/>
        <w:rPr>
          <w:rFonts w:ascii="Arial" w:eastAsia="Times New Roman" w:hAnsi="Arial" w:cs="Arial"/>
          <w:sz w:val="22"/>
          <w:szCs w:val="22"/>
        </w:rPr>
      </w:pPr>
      <w:r w:rsidRPr="00A70F43">
        <w:rPr>
          <w:rFonts w:ascii="Arial" w:eastAsia="Times New Roman" w:hAnsi="Arial" w:cs="Arial"/>
          <w:sz w:val="22"/>
          <w:szCs w:val="22"/>
        </w:rPr>
        <w:t xml:space="preserve">bredda produktutbudet med reservdelar av motsvarande originaldelskvalité vid sidan av fortsatt leverans av Saab Originaldelar </w:t>
      </w:r>
    </w:p>
    <w:p w:rsidR="00A70F43" w:rsidRPr="00A70F43" w:rsidRDefault="00A70F43" w:rsidP="00A70F43">
      <w:pPr>
        <w:numPr>
          <w:ilvl w:val="0"/>
          <w:numId w:val="13"/>
        </w:numPr>
        <w:spacing w:line="240" w:lineRule="auto"/>
        <w:contextualSpacing/>
        <w:jc w:val="both"/>
        <w:rPr>
          <w:rFonts w:ascii="Arial" w:eastAsia="Times New Roman" w:hAnsi="Arial" w:cs="Arial"/>
          <w:sz w:val="22"/>
          <w:szCs w:val="22"/>
        </w:rPr>
      </w:pPr>
      <w:r w:rsidRPr="00A70F43">
        <w:rPr>
          <w:rFonts w:ascii="Arial" w:eastAsia="Times New Roman" w:hAnsi="Arial" w:cs="Arial"/>
          <w:sz w:val="22"/>
          <w:szCs w:val="22"/>
        </w:rPr>
        <w:t>tillhandahålla teknik- och logistiktjänster</w:t>
      </w:r>
    </w:p>
    <w:p w:rsidR="00A70F43" w:rsidRPr="00A70F43" w:rsidRDefault="00A70F43" w:rsidP="00A70F43">
      <w:pPr>
        <w:spacing w:line="240" w:lineRule="auto"/>
        <w:ind w:left="720"/>
        <w:contextualSpacing/>
        <w:jc w:val="both"/>
        <w:rPr>
          <w:rFonts w:ascii="Arial" w:eastAsia="Times New Roman" w:hAnsi="Arial" w:cs="Arial"/>
          <w:sz w:val="22"/>
          <w:szCs w:val="22"/>
        </w:rPr>
      </w:pPr>
    </w:p>
    <w:p w:rsidR="00A70F43" w:rsidRPr="00A70F43" w:rsidRDefault="00A70F43" w:rsidP="00A70F43">
      <w:pPr>
        <w:spacing w:line="240" w:lineRule="auto"/>
        <w:jc w:val="both"/>
        <w:rPr>
          <w:rFonts w:ascii="Arial" w:eastAsia="Times New Roman" w:hAnsi="Arial" w:cs="Arial"/>
          <w:sz w:val="22"/>
          <w:szCs w:val="22"/>
        </w:rPr>
      </w:pPr>
      <w:r w:rsidRPr="00A70F43">
        <w:rPr>
          <w:rFonts w:ascii="Arial" w:eastAsia="Times New Roman" w:hAnsi="Arial" w:cs="Arial"/>
          <w:sz w:val="22"/>
          <w:szCs w:val="22"/>
        </w:rPr>
        <w:t xml:space="preserve">Intåget på en mer konkurrensutsatt marknad med ett breddat produktutbud </w:t>
      </w:r>
      <w:r w:rsidR="00C66AEF">
        <w:rPr>
          <w:rFonts w:ascii="Arial" w:eastAsia="Times New Roman" w:hAnsi="Arial" w:cs="Arial"/>
          <w:sz w:val="22"/>
          <w:szCs w:val="22"/>
        </w:rPr>
        <w:t>är</w:t>
      </w:r>
      <w:r w:rsidRPr="00A70F43">
        <w:rPr>
          <w:rFonts w:ascii="Arial" w:eastAsia="Times New Roman" w:hAnsi="Arial" w:cs="Arial"/>
          <w:sz w:val="22"/>
          <w:szCs w:val="22"/>
        </w:rPr>
        <w:t xml:space="preserve"> igång. Under året har fokus legat på breddning av kundbasen, framförallt i Norden och Amerika. Samtidigt som vi med ökad intensitet breddat kundbasen utökas produkt- och tjänsteerbjudandet. </w:t>
      </w:r>
    </w:p>
    <w:p w:rsidR="00A70F43" w:rsidRPr="00A70F43" w:rsidRDefault="00A70F43" w:rsidP="00A70F43">
      <w:pPr>
        <w:spacing w:line="240" w:lineRule="auto"/>
        <w:jc w:val="both"/>
        <w:rPr>
          <w:rFonts w:ascii="Arial" w:eastAsia="Times New Roman" w:hAnsi="Arial" w:cs="Arial"/>
          <w:sz w:val="22"/>
          <w:szCs w:val="22"/>
        </w:rPr>
      </w:pPr>
    </w:p>
    <w:p w:rsidR="00A70F43" w:rsidRPr="00A70F43" w:rsidRDefault="00A70F43" w:rsidP="00A70F43">
      <w:pPr>
        <w:spacing w:line="240" w:lineRule="auto"/>
        <w:jc w:val="both"/>
        <w:rPr>
          <w:rFonts w:ascii="Arial" w:eastAsia="Times New Roman" w:hAnsi="Arial" w:cs="Arial"/>
          <w:sz w:val="22"/>
          <w:szCs w:val="22"/>
        </w:rPr>
      </w:pPr>
      <w:r w:rsidRPr="00A70F43">
        <w:rPr>
          <w:rFonts w:ascii="Arial" w:eastAsia="Times New Roman" w:hAnsi="Arial" w:cs="Arial"/>
          <w:sz w:val="22"/>
          <w:szCs w:val="22"/>
        </w:rPr>
        <w:t>För att utveckla vår nya position och ett attraktivt marknadserbjudande ökar betydelsen av det genomgripande förändringsarbete</w:t>
      </w:r>
      <w:r w:rsidR="00C66AEF">
        <w:rPr>
          <w:rFonts w:ascii="Arial" w:eastAsia="Times New Roman" w:hAnsi="Arial" w:cs="Arial"/>
          <w:sz w:val="22"/>
          <w:szCs w:val="22"/>
        </w:rPr>
        <w:t>. P</w:t>
      </w:r>
      <w:r w:rsidRPr="00A70F43">
        <w:rPr>
          <w:rFonts w:ascii="Arial" w:eastAsia="Times New Roman" w:hAnsi="Arial" w:cs="Arial"/>
          <w:sz w:val="22"/>
          <w:szCs w:val="22"/>
        </w:rPr>
        <w:t>arallellt med att vi förändrar arbetssätt stärker och utvecklar vi kompetens inom försäljning, marknad och inköp. Genom de nya stegen i vårt omställningsprogram bygger vi en ny effektivare operativ plattform som gör att vi stärker vår långsiktiga konkurrenskraft.</w:t>
      </w:r>
    </w:p>
    <w:p w:rsidR="00A70F43" w:rsidRPr="00A70F43" w:rsidRDefault="00A70F43" w:rsidP="00A70F43">
      <w:pPr>
        <w:spacing w:line="240" w:lineRule="auto"/>
        <w:jc w:val="both"/>
        <w:rPr>
          <w:rFonts w:ascii="Arial" w:eastAsia="Times New Roman" w:hAnsi="Arial" w:cs="Arial"/>
          <w:sz w:val="22"/>
          <w:szCs w:val="22"/>
          <w:highlight w:val="yellow"/>
        </w:rPr>
      </w:pPr>
    </w:p>
    <w:p w:rsidR="00A70F43" w:rsidRPr="00A70F43" w:rsidRDefault="00A70F43" w:rsidP="00A70F43">
      <w:pPr>
        <w:tabs>
          <w:tab w:val="left" w:pos="1680"/>
        </w:tabs>
        <w:jc w:val="both"/>
        <w:rPr>
          <w:rFonts w:ascii="Arial" w:eastAsia="Times New Roman" w:hAnsi="Arial" w:cs="Arial"/>
          <w:sz w:val="22"/>
          <w:szCs w:val="22"/>
          <w:highlight w:val="yellow"/>
        </w:rPr>
      </w:pPr>
    </w:p>
    <w:p w:rsidR="00A70F43" w:rsidRPr="00A70F43" w:rsidRDefault="00A70F43" w:rsidP="00A70F43">
      <w:pPr>
        <w:tabs>
          <w:tab w:val="left" w:pos="1680"/>
        </w:tabs>
        <w:jc w:val="both"/>
        <w:rPr>
          <w:rFonts w:ascii="Arial" w:eastAsia="Times New Roman" w:hAnsi="Arial" w:cs="Arial"/>
          <w:sz w:val="22"/>
          <w:szCs w:val="22"/>
          <w:highlight w:val="yellow"/>
        </w:rPr>
      </w:pPr>
    </w:p>
    <w:p w:rsidR="00A70F43" w:rsidRPr="00A70F43" w:rsidRDefault="00A70F43" w:rsidP="00A70F43">
      <w:pPr>
        <w:tabs>
          <w:tab w:val="left" w:pos="1680"/>
          <w:tab w:val="left" w:pos="3097"/>
        </w:tabs>
        <w:jc w:val="both"/>
        <w:rPr>
          <w:rFonts w:ascii="Arial" w:eastAsia="Times New Roman" w:hAnsi="Arial" w:cs="Arial"/>
          <w:sz w:val="22"/>
          <w:szCs w:val="22"/>
        </w:rPr>
      </w:pPr>
      <w:r w:rsidRPr="00A70F43">
        <w:rPr>
          <w:rFonts w:ascii="Arial" w:eastAsia="Times New Roman" w:hAnsi="Arial" w:cs="Arial"/>
          <w:sz w:val="22"/>
          <w:szCs w:val="22"/>
        </w:rPr>
        <w:t>Jonas Tegström</w:t>
      </w:r>
      <w:r w:rsidRPr="00A70F43">
        <w:rPr>
          <w:rFonts w:ascii="Arial" w:eastAsia="Times New Roman" w:hAnsi="Arial" w:cs="Arial"/>
          <w:sz w:val="22"/>
          <w:szCs w:val="22"/>
        </w:rPr>
        <w:tab/>
      </w:r>
    </w:p>
    <w:p w:rsidR="005240C2" w:rsidRPr="00A70F43" w:rsidRDefault="00A70F43" w:rsidP="000E0E44">
      <w:pPr>
        <w:jc w:val="both"/>
        <w:rPr>
          <w:rFonts w:ascii="Calibri" w:eastAsia="Times New Roman" w:hAnsi="Calibri" w:cs="Times New Roman"/>
          <w:highlight w:val="yellow"/>
        </w:rPr>
      </w:pPr>
      <w:r w:rsidRPr="00A70F43">
        <w:rPr>
          <w:rFonts w:ascii="Arial" w:eastAsia="Times New Roman" w:hAnsi="Arial" w:cs="Arial"/>
          <w:sz w:val="22"/>
          <w:szCs w:val="22"/>
        </w:rPr>
        <w:t xml:space="preserve">Vd </w:t>
      </w:r>
      <w:r w:rsidRPr="00A70F43">
        <w:rPr>
          <w:rFonts w:ascii="Calibri" w:eastAsia="Times New Roman" w:hAnsi="Calibri" w:cs="Times New Roman"/>
          <w:highlight w:val="yellow"/>
        </w:rPr>
        <w:br w:type="page"/>
      </w:r>
    </w:p>
    <w:p w:rsidR="0076195A" w:rsidRDefault="0076195A" w:rsidP="0076195A">
      <w:pPr>
        <w:rPr>
          <w:rStyle w:val="FootnoteReference"/>
          <w:rFonts w:ascii="Arial" w:hAnsi="Arial" w:cs="Arial"/>
        </w:rPr>
      </w:pPr>
      <w:r>
        <w:rPr>
          <w:rFonts w:ascii="Arial" w:hAnsi="Arial" w:cs="Arial"/>
          <w:b/>
          <w:sz w:val="28"/>
        </w:rPr>
        <w:lastRenderedPageBreak/>
        <w:t>Finansiell utveckling</w:t>
      </w:r>
    </w:p>
    <w:p w:rsidR="00820DEB" w:rsidRPr="00BF33A4" w:rsidRDefault="00820DEB" w:rsidP="0076195A">
      <w:pPr>
        <w:rPr>
          <w:rFonts w:ascii="Arial" w:hAnsi="Arial" w:cs="Arial"/>
          <w:b/>
          <w:sz w:val="28"/>
        </w:rPr>
      </w:pPr>
    </w:p>
    <w:p w:rsidR="0076195A" w:rsidRPr="00761EAF" w:rsidRDefault="001C4EC9" w:rsidP="008146DB">
      <w:pPr>
        <w:pStyle w:val="Heading2"/>
        <w:spacing w:before="360"/>
        <w:rPr>
          <w:rFonts w:ascii="Arial" w:hAnsi="Arial" w:cs="Arial"/>
          <w:b/>
        </w:rPr>
      </w:pPr>
      <w:r w:rsidRPr="00761EAF">
        <w:rPr>
          <w:rFonts w:ascii="Arial" w:hAnsi="Arial" w:cs="Arial"/>
          <w:b/>
        </w:rPr>
        <w:t>Nettoomsättning</w:t>
      </w:r>
    </w:p>
    <w:p w:rsidR="001C4EC9" w:rsidRPr="002F4D3C" w:rsidRDefault="00D93B4F" w:rsidP="002F4D3C">
      <w:pPr>
        <w:tabs>
          <w:tab w:val="left" w:pos="2977"/>
        </w:tabs>
        <w:jc w:val="both"/>
        <w:rPr>
          <w:rFonts w:ascii="Arial" w:hAnsi="Arial" w:cs="Arial"/>
          <w:noProof/>
          <w:sz w:val="12"/>
          <w:szCs w:val="12"/>
          <w:lang w:eastAsia="sv-SE"/>
        </w:rPr>
      </w:pPr>
      <w:r>
        <w:rPr>
          <w:rFonts w:ascii="Arial" w:hAnsi="Arial" w:cs="Arial"/>
          <w:noProof/>
          <w:sz w:val="12"/>
          <w:szCs w:val="12"/>
          <w:lang w:eastAsia="sv-SE"/>
        </w:rPr>
        <w:t xml:space="preserve">   </w:t>
      </w:r>
      <w:r w:rsidR="001335D7">
        <w:rPr>
          <w:rFonts w:ascii="Arial" w:hAnsi="Arial" w:cs="Arial"/>
          <w:noProof/>
          <w:sz w:val="12"/>
          <w:szCs w:val="12"/>
          <w:lang w:eastAsia="sv-SE"/>
        </w:rPr>
        <w:t>MSEK</w:t>
      </w:r>
      <w:r w:rsidR="001335D7">
        <w:rPr>
          <w:rFonts w:ascii="Arial" w:hAnsi="Arial" w:cs="Arial"/>
          <w:noProof/>
          <w:sz w:val="12"/>
          <w:szCs w:val="12"/>
          <w:lang w:eastAsia="sv-SE"/>
        </w:rPr>
        <w:tab/>
        <w:t xml:space="preserve"> </w:t>
      </w:r>
      <w:r>
        <w:rPr>
          <w:rFonts w:ascii="Arial" w:hAnsi="Arial" w:cs="Arial"/>
          <w:noProof/>
          <w:sz w:val="12"/>
          <w:szCs w:val="12"/>
          <w:lang w:eastAsia="sv-SE"/>
        </w:rPr>
        <w:t xml:space="preserve">                 </w:t>
      </w:r>
      <w:r w:rsidR="001335D7">
        <w:rPr>
          <w:rFonts w:ascii="Arial" w:hAnsi="Arial" w:cs="Arial"/>
          <w:noProof/>
          <w:sz w:val="12"/>
          <w:szCs w:val="12"/>
          <w:lang w:eastAsia="sv-SE"/>
        </w:rPr>
        <w:t xml:space="preserve">  MSEK</w:t>
      </w:r>
    </w:p>
    <w:p w:rsidR="001C4EC9" w:rsidRDefault="00E377C0" w:rsidP="0076195A">
      <w:pPr>
        <w:jc w:val="both"/>
        <w:rPr>
          <w:rFonts w:ascii="Arial" w:hAnsi="Arial" w:cs="Arial"/>
          <w:noProof/>
          <w:lang w:eastAsia="sv-SE"/>
        </w:rPr>
      </w:pPr>
      <w:r>
        <w:rPr>
          <w:rFonts w:ascii="Arial" w:hAnsi="Arial" w:cs="Arial"/>
          <w:noProof/>
          <w:lang w:eastAsia="sv-SE"/>
        </w:rPr>
        <w:drawing>
          <wp:inline distT="0" distB="0" distL="0" distR="0" wp14:anchorId="07E4C17C" wp14:editId="6DDF6DEA">
            <wp:extent cx="2579370" cy="19234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9370" cy="1923415"/>
                    </a:xfrm>
                    <a:prstGeom prst="rect">
                      <a:avLst/>
                    </a:prstGeom>
                    <a:noFill/>
                    <a:ln>
                      <a:noFill/>
                    </a:ln>
                  </pic:spPr>
                </pic:pic>
              </a:graphicData>
            </a:graphic>
          </wp:inline>
        </w:drawing>
      </w:r>
    </w:p>
    <w:p w:rsidR="0076195A" w:rsidRPr="00761EAF" w:rsidRDefault="00D93B4F" w:rsidP="00E86734">
      <w:pPr>
        <w:spacing w:before="240"/>
        <w:jc w:val="both"/>
        <w:rPr>
          <w:rFonts w:ascii="Arial" w:hAnsi="Arial" w:cs="Arial"/>
          <w:i/>
          <w:noProof/>
          <w:sz w:val="22"/>
          <w:szCs w:val="22"/>
          <w:lang w:eastAsia="sv-SE"/>
        </w:rPr>
      </w:pPr>
      <w:r w:rsidRPr="00761EAF">
        <w:rPr>
          <w:rFonts w:ascii="Arial" w:hAnsi="Arial" w:cs="Arial"/>
          <w:i/>
          <w:noProof/>
          <w:sz w:val="22"/>
          <w:szCs w:val="22"/>
          <w:lang w:eastAsia="sv-SE"/>
        </w:rPr>
        <w:t xml:space="preserve">Kvartalet </w:t>
      </w:r>
      <w:r w:rsidR="00E377C0">
        <w:rPr>
          <w:rFonts w:ascii="Arial" w:hAnsi="Arial" w:cs="Arial"/>
          <w:i/>
          <w:noProof/>
          <w:sz w:val="22"/>
          <w:szCs w:val="22"/>
          <w:lang w:eastAsia="sv-SE"/>
        </w:rPr>
        <w:t xml:space="preserve">juli </w:t>
      </w:r>
      <w:r w:rsidRPr="00761EAF">
        <w:rPr>
          <w:rFonts w:ascii="Arial" w:hAnsi="Arial" w:cs="Arial"/>
          <w:i/>
          <w:noProof/>
          <w:sz w:val="22"/>
          <w:szCs w:val="22"/>
          <w:lang w:eastAsia="sv-SE"/>
        </w:rPr>
        <w:t xml:space="preserve">– </w:t>
      </w:r>
      <w:r w:rsidR="00E377C0">
        <w:rPr>
          <w:rFonts w:ascii="Arial" w:hAnsi="Arial" w:cs="Arial"/>
          <w:i/>
          <w:noProof/>
          <w:sz w:val="22"/>
          <w:szCs w:val="22"/>
          <w:lang w:eastAsia="sv-SE"/>
        </w:rPr>
        <w:t>september</w:t>
      </w:r>
      <w:r w:rsidRPr="00761EAF">
        <w:rPr>
          <w:rFonts w:ascii="Arial" w:hAnsi="Arial" w:cs="Arial"/>
          <w:i/>
          <w:noProof/>
          <w:sz w:val="22"/>
          <w:szCs w:val="22"/>
          <w:lang w:eastAsia="sv-SE"/>
        </w:rPr>
        <w:t xml:space="preserve"> </w:t>
      </w:r>
      <w:r w:rsidR="003356F2" w:rsidRPr="00761EAF">
        <w:rPr>
          <w:rFonts w:ascii="Arial" w:hAnsi="Arial" w:cs="Arial"/>
          <w:i/>
          <w:noProof/>
          <w:sz w:val="22"/>
          <w:szCs w:val="22"/>
          <w:lang w:eastAsia="sv-SE"/>
        </w:rPr>
        <w:t>2015</w:t>
      </w:r>
    </w:p>
    <w:p w:rsidR="0076195A" w:rsidRPr="00F74784" w:rsidRDefault="0076195A" w:rsidP="00E86734">
      <w:pPr>
        <w:spacing w:before="120"/>
        <w:jc w:val="both"/>
        <w:rPr>
          <w:rFonts w:ascii="Arial" w:hAnsi="Arial" w:cs="Arial"/>
          <w:sz w:val="22"/>
          <w:szCs w:val="22"/>
        </w:rPr>
      </w:pPr>
      <w:r w:rsidRPr="00F74784">
        <w:rPr>
          <w:rFonts w:ascii="Arial" w:hAnsi="Arial" w:cs="Arial"/>
          <w:sz w:val="22"/>
          <w:szCs w:val="22"/>
        </w:rPr>
        <w:t xml:space="preserve">Koncernens nettoomsättning </w:t>
      </w:r>
      <w:r w:rsidR="00601614">
        <w:rPr>
          <w:rFonts w:ascii="Arial" w:hAnsi="Arial" w:cs="Arial"/>
          <w:sz w:val="22"/>
          <w:szCs w:val="22"/>
        </w:rPr>
        <w:t>för</w:t>
      </w:r>
      <w:r w:rsidRPr="00F74784">
        <w:rPr>
          <w:rFonts w:ascii="Arial" w:hAnsi="Arial" w:cs="Arial"/>
          <w:sz w:val="22"/>
          <w:szCs w:val="22"/>
        </w:rPr>
        <w:t xml:space="preserve"> </w:t>
      </w:r>
      <w:r w:rsidR="00E377C0">
        <w:rPr>
          <w:rFonts w:ascii="Arial" w:hAnsi="Arial" w:cs="Arial"/>
          <w:sz w:val="22"/>
          <w:szCs w:val="22"/>
        </w:rPr>
        <w:t xml:space="preserve">tredje </w:t>
      </w:r>
      <w:r w:rsidRPr="00F74784">
        <w:rPr>
          <w:rFonts w:ascii="Arial" w:hAnsi="Arial" w:cs="Arial"/>
          <w:sz w:val="22"/>
          <w:szCs w:val="22"/>
        </w:rPr>
        <w:t xml:space="preserve">kvartalet </w:t>
      </w:r>
      <w:r w:rsidR="003356F2">
        <w:rPr>
          <w:rFonts w:ascii="Arial" w:hAnsi="Arial" w:cs="Arial"/>
          <w:sz w:val="22"/>
          <w:szCs w:val="22"/>
        </w:rPr>
        <w:t xml:space="preserve">2015 </w:t>
      </w:r>
      <w:r w:rsidR="00793B2D" w:rsidRPr="00F74784">
        <w:rPr>
          <w:rFonts w:ascii="Arial" w:hAnsi="Arial" w:cs="Arial"/>
          <w:sz w:val="22"/>
          <w:szCs w:val="22"/>
        </w:rPr>
        <w:t xml:space="preserve">uppgick till </w:t>
      </w:r>
      <w:r w:rsidR="00E377C0">
        <w:rPr>
          <w:rFonts w:ascii="Arial" w:hAnsi="Arial" w:cs="Arial"/>
          <w:sz w:val="22"/>
          <w:szCs w:val="22"/>
        </w:rPr>
        <w:t xml:space="preserve">232 </w:t>
      </w:r>
      <w:r w:rsidR="00793B2D" w:rsidRPr="00F74784">
        <w:rPr>
          <w:rFonts w:ascii="Arial" w:hAnsi="Arial" w:cs="Arial"/>
          <w:sz w:val="22"/>
          <w:szCs w:val="22"/>
        </w:rPr>
        <w:t>MSEK (</w:t>
      </w:r>
      <w:r w:rsidR="00E377C0">
        <w:rPr>
          <w:rFonts w:ascii="Arial" w:hAnsi="Arial" w:cs="Arial"/>
          <w:sz w:val="22"/>
          <w:szCs w:val="22"/>
        </w:rPr>
        <w:t>252</w:t>
      </w:r>
      <w:r w:rsidR="00793B2D" w:rsidRPr="00F74784">
        <w:rPr>
          <w:rFonts w:ascii="Arial" w:hAnsi="Arial" w:cs="Arial"/>
          <w:sz w:val="22"/>
          <w:szCs w:val="22"/>
        </w:rPr>
        <w:t>)</w:t>
      </w:r>
      <w:r w:rsidR="00793B2D">
        <w:rPr>
          <w:rFonts w:ascii="Arial" w:hAnsi="Arial" w:cs="Arial"/>
          <w:sz w:val="22"/>
          <w:szCs w:val="22"/>
        </w:rPr>
        <w:t xml:space="preserve">, en </w:t>
      </w:r>
      <w:r w:rsidR="00383268">
        <w:rPr>
          <w:rFonts w:ascii="Arial" w:hAnsi="Arial" w:cs="Arial"/>
          <w:sz w:val="22"/>
          <w:szCs w:val="22"/>
        </w:rPr>
        <w:t>minsk</w:t>
      </w:r>
      <w:r w:rsidR="00793B2D">
        <w:rPr>
          <w:rFonts w:ascii="Arial" w:hAnsi="Arial" w:cs="Arial"/>
          <w:sz w:val="22"/>
          <w:szCs w:val="22"/>
        </w:rPr>
        <w:t>ning</w:t>
      </w:r>
      <w:r w:rsidR="00383268">
        <w:rPr>
          <w:rFonts w:ascii="Arial" w:hAnsi="Arial" w:cs="Arial"/>
          <w:sz w:val="22"/>
          <w:szCs w:val="22"/>
        </w:rPr>
        <w:t xml:space="preserve"> </w:t>
      </w:r>
      <w:r w:rsidRPr="00F74784">
        <w:rPr>
          <w:rFonts w:ascii="Arial" w:hAnsi="Arial" w:cs="Arial"/>
          <w:sz w:val="22"/>
          <w:szCs w:val="22"/>
        </w:rPr>
        <w:t xml:space="preserve">med </w:t>
      </w:r>
      <w:r w:rsidR="0089480D">
        <w:rPr>
          <w:rFonts w:ascii="Arial" w:hAnsi="Arial" w:cs="Arial"/>
          <w:sz w:val="22"/>
          <w:szCs w:val="22"/>
        </w:rPr>
        <w:t>8</w:t>
      </w:r>
      <w:r w:rsidR="00D93B4F">
        <w:rPr>
          <w:rFonts w:ascii="Arial" w:hAnsi="Arial" w:cs="Arial"/>
          <w:sz w:val="22"/>
          <w:szCs w:val="22"/>
        </w:rPr>
        <w:t xml:space="preserve"> </w:t>
      </w:r>
      <w:r w:rsidR="00383268">
        <w:rPr>
          <w:rFonts w:ascii="Arial" w:hAnsi="Arial" w:cs="Arial"/>
          <w:sz w:val="22"/>
          <w:szCs w:val="22"/>
        </w:rPr>
        <w:t xml:space="preserve">procent jämfört </w:t>
      </w:r>
      <w:r w:rsidR="00E745E2">
        <w:rPr>
          <w:rFonts w:ascii="Arial" w:hAnsi="Arial" w:cs="Arial"/>
          <w:sz w:val="22"/>
          <w:szCs w:val="22"/>
        </w:rPr>
        <w:t xml:space="preserve">med </w:t>
      </w:r>
      <w:r w:rsidRPr="00F74784">
        <w:rPr>
          <w:rFonts w:ascii="Arial" w:hAnsi="Arial" w:cs="Arial"/>
          <w:sz w:val="22"/>
          <w:szCs w:val="22"/>
        </w:rPr>
        <w:t xml:space="preserve">motsvarande kvartal föregående år. </w:t>
      </w:r>
      <w:r w:rsidR="00CC1942">
        <w:rPr>
          <w:rFonts w:ascii="Arial" w:hAnsi="Arial" w:cs="Arial"/>
          <w:sz w:val="22"/>
          <w:szCs w:val="22"/>
        </w:rPr>
        <w:t>Koncernens nettoo</w:t>
      </w:r>
      <w:r w:rsidR="0090413A">
        <w:rPr>
          <w:rFonts w:ascii="Arial" w:hAnsi="Arial" w:cs="Arial"/>
          <w:sz w:val="22"/>
          <w:szCs w:val="22"/>
        </w:rPr>
        <w:t>m</w:t>
      </w:r>
      <w:r w:rsidR="00CC1942">
        <w:rPr>
          <w:rFonts w:ascii="Arial" w:hAnsi="Arial" w:cs="Arial"/>
          <w:sz w:val="22"/>
          <w:szCs w:val="22"/>
        </w:rPr>
        <w:t xml:space="preserve">sättning är exponerad för </w:t>
      </w:r>
      <w:r w:rsidR="00036EE7">
        <w:rPr>
          <w:rFonts w:ascii="Arial" w:hAnsi="Arial" w:cs="Arial"/>
          <w:sz w:val="22"/>
          <w:szCs w:val="22"/>
        </w:rPr>
        <w:t>effekter från va</w:t>
      </w:r>
      <w:r w:rsidR="001C786A">
        <w:rPr>
          <w:rFonts w:ascii="Arial" w:hAnsi="Arial" w:cs="Arial"/>
          <w:sz w:val="22"/>
          <w:szCs w:val="22"/>
        </w:rPr>
        <w:t>l</w:t>
      </w:r>
      <w:r w:rsidR="00036EE7">
        <w:rPr>
          <w:rFonts w:ascii="Arial" w:hAnsi="Arial" w:cs="Arial"/>
          <w:sz w:val="22"/>
          <w:szCs w:val="22"/>
        </w:rPr>
        <w:t xml:space="preserve">utakursförändringar </w:t>
      </w:r>
      <w:r w:rsidR="00CC1942">
        <w:rPr>
          <w:rFonts w:ascii="Arial" w:hAnsi="Arial" w:cs="Arial"/>
          <w:sz w:val="22"/>
          <w:szCs w:val="22"/>
        </w:rPr>
        <w:t xml:space="preserve">för </w:t>
      </w:r>
      <w:r w:rsidR="00BC0901">
        <w:rPr>
          <w:rFonts w:ascii="Arial" w:hAnsi="Arial" w:cs="Arial"/>
          <w:sz w:val="22"/>
          <w:szCs w:val="22"/>
        </w:rPr>
        <w:t xml:space="preserve">utländska valutor, främst den amerikanska dollarn </w:t>
      </w:r>
      <w:r w:rsidR="00F0010B">
        <w:rPr>
          <w:rFonts w:ascii="Arial" w:hAnsi="Arial" w:cs="Arial"/>
          <w:sz w:val="22"/>
          <w:szCs w:val="22"/>
        </w:rPr>
        <w:t xml:space="preserve">och </w:t>
      </w:r>
      <w:r w:rsidR="00BC0901">
        <w:rPr>
          <w:rFonts w:ascii="Arial" w:hAnsi="Arial" w:cs="Arial"/>
          <w:sz w:val="22"/>
          <w:szCs w:val="22"/>
        </w:rPr>
        <w:t xml:space="preserve">det brittiska pundet, </w:t>
      </w:r>
      <w:r w:rsidR="00CC1942">
        <w:rPr>
          <w:rFonts w:ascii="Arial" w:hAnsi="Arial" w:cs="Arial"/>
          <w:sz w:val="22"/>
          <w:szCs w:val="22"/>
        </w:rPr>
        <w:t xml:space="preserve">i förhållande till den svenska kronan. </w:t>
      </w:r>
      <w:r w:rsidRPr="00A57170">
        <w:rPr>
          <w:rFonts w:ascii="Arial" w:hAnsi="Arial" w:cs="Arial"/>
          <w:sz w:val="22"/>
          <w:szCs w:val="22"/>
        </w:rPr>
        <w:t xml:space="preserve">Vid oförändrade valutakurser </w:t>
      </w:r>
      <w:r w:rsidR="00BC0901">
        <w:rPr>
          <w:rFonts w:ascii="Arial" w:hAnsi="Arial" w:cs="Arial"/>
          <w:sz w:val="22"/>
          <w:szCs w:val="22"/>
        </w:rPr>
        <w:t xml:space="preserve">jämfört med föregående år </w:t>
      </w:r>
      <w:r w:rsidRPr="00A57170">
        <w:rPr>
          <w:rFonts w:ascii="Arial" w:hAnsi="Arial" w:cs="Arial"/>
          <w:sz w:val="22"/>
          <w:szCs w:val="22"/>
        </w:rPr>
        <w:t xml:space="preserve">hade Koncernen redovisat en nettoomsättning om </w:t>
      </w:r>
      <w:r w:rsidR="00BC0901">
        <w:rPr>
          <w:rFonts w:ascii="Arial" w:hAnsi="Arial" w:cs="Arial"/>
          <w:sz w:val="22"/>
          <w:szCs w:val="22"/>
        </w:rPr>
        <w:t>216</w:t>
      </w:r>
      <w:r w:rsidR="003F3B62" w:rsidRPr="00A57170">
        <w:rPr>
          <w:rFonts w:ascii="Arial" w:hAnsi="Arial" w:cs="Arial"/>
          <w:sz w:val="22"/>
          <w:szCs w:val="22"/>
        </w:rPr>
        <w:t xml:space="preserve"> </w:t>
      </w:r>
      <w:r w:rsidRPr="00A57170">
        <w:rPr>
          <w:rFonts w:ascii="Arial" w:hAnsi="Arial" w:cs="Arial"/>
          <w:sz w:val="22"/>
          <w:szCs w:val="22"/>
        </w:rPr>
        <w:t xml:space="preserve">MSEK, vilket hade utgjort en minskning med </w:t>
      </w:r>
      <w:r w:rsidR="00BC0901">
        <w:rPr>
          <w:rFonts w:ascii="Arial" w:hAnsi="Arial" w:cs="Arial"/>
          <w:sz w:val="22"/>
          <w:szCs w:val="22"/>
        </w:rPr>
        <w:t>14</w:t>
      </w:r>
      <w:r w:rsidR="00E10BEB" w:rsidRPr="00A57170">
        <w:rPr>
          <w:rFonts w:ascii="Arial" w:hAnsi="Arial" w:cs="Arial"/>
          <w:sz w:val="22"/>
          <w:szCs w:val="22"/>
        </w:rPr>
        <w:t xml:space="preserve"> </w:t>
      </w:r>
      <w:r w:rsidRPr="00A57170">
        <w:rPr>
          <w:rFonts w:ascii="Arial" w:hAnsi="Arial" w:cs="Arial"/>
          <w:sz w:val="22"/>
          <w:szCs w:val="22"/>
        </w:rPr>
        <w:t>procent.</w:t>
      </w:r>
      <w:r w:rsidRPr="00F74784">
        <w:rPr>
          <w:rFonts w:ascii="Arial" w:hAnsi="Arial" w:cs="Arial"/>
          <w:sz w:val="22"/>
          <w:szCs w:val="22"/>
        </w:rPr>
        <w:t xml:space="preserve"> </w:t>
      </w:r>
    </w:p>
    <w:p w:rsidR="004848F2" w:rsidRPr="00761EAF" w:rsidRDefault="004848F2" w:rsidP="004848F2">
      <w:pPr>
        <w:spacing w:before="240"/>
        <w:jc w:val="both"/>
        <w:rPr>
          <w:rFonts w:ascii="Arial" w:hAnsi="Arial" w:cs="Arial"/>
          <w:i/>
          <w:noProof/>
          <w:sz w:val="22"/>
          <w:szCs w:val="22"/>
          <w:lang w:eastAsia="sv-SE"/>
        </w:rPr>
      </w:pPr>
      <w:r w:rsidRPr="00761EAF">
        <w:rPr>
          <w:rFonts w:ascii="Arial" w:hAnsi="Arial" w:cs="Arial"/>
          <w:i/>
          <w:noProof/>
          <w:sz w:val="22"/>
          <w:szCs w:val="22"/>
          <w:lang w:eastAsia="sv-SE"/>
        </w:rPr>
        <w:t xml:space="preserve">Perioden januari – </w:t>
      </w:r>
      <w:r w:rsidR="0089480D">
        <w:rPr>
          <w:rFonts w:ascii="Arial" w:hAnsi="Arial" w:cs="Arial"/>
          <w:i/>
          <w:noProof/>
          <w:sz w:val="22"/>
          <w:szCs w:val="22"/>
          <w:lang w:eastAsia="sv-SE"/>
        </w:rPr>
        <w:t>september</w:t>
      </w:r>
      <w:r w:rsidRPr="00761EAF">
        <w:rPr>
          <w:rFonts w:ascii="Arial" w:hAnsi="Arial" w:cs="Arial"/>
          <w:i/>
          <w:noProof/>
          <w:sz w:val="22"/>
          <w:szCs w:val="22"/>
          <w:lang w:eastAsia="sv-SE"/>
        </w:rPr>
        <w:t xml:space="preserve"> 2015</w:t>
      </w:r>
    </w:p>
    <w:p w:rsidR="004848F2" w:rsidRPr="00F74784" w:rsidRDefault="004848F2" w:rsidP="004848F2">
      <w:pPr>
        <w:spacing w:before="120"/>
        <w:jc w:val="both"/>
        <w:rPr>
          <w:rFonts w:ascii="Arial" w:hAnsi="Arial" w:cs="Arial"/>
          <w:sz w:val="22"/>
          <w:szCs w:val="22"/>
        </w:rPr>
      </w:pPr>
      <w:r w:rsidRPr="00F74784">
        <w:rPr>
          <w:rFonts w:ascii="Arial" w:hAnsi="Arial" w:cs="Arial"/>
          <w:sz w:val="22"/>
          <w:szCs w:val="22"/>
        </w:rPr>
        <w:t xml:space="preserve">Koncernens nettoomsättning </w:t>
      </w:r>
      <w:r>
        <w:rPr>
          <w:rFonts w:ascii="Arial" w:hAnsi="Arial" w:cs="Arial"/>
          <w:sz w:val="22"/>
          <w:szCs w:val="22"/>
        </w:rPr>
        <w:t>för</w:t>
      </w:r>
      <w:r w:rsidRPr="00F74784">
        <w:rPr>
          <w:rFonts w:ascii="Arial" w:hAnsi="Arial" w:cs="Arial"/>
          <w:sz w:val="22"/>
          <w:szCs w:val="22"/>
        </w:rPr>
        <w:t xml:space="preserve"> </w:t>
      </w:r>
      <w:r>
        <w:rPr>
          <w:rFonts w:ascii="Arial" w:hAnsi="Arial" w:cs="Arial"/>
          <w:sz w:val="22"/>
          <w:szCs w:val="22"/>
        </w:rPr>
        <w:t xml:space="preserve">perioden januari – </w:t>
      </w:r>
      <w:r w:rsidR="00460F02">
        <w:rPr>
          <w:rFonts w:ascii="Arial" w:hAnsi="Arial" w:cs="Arial"/>
          <w:sz w:val="22"/>
          <w:szCs w:val="22"/>
        </w:rPr>
        <w:t xml:space="preserve">september </w:t>
      </w:r>
      <w:r>
        <w:rPr>
          <w:rFonts w:ascii="Arial" w:hAnsi="Arial" w:cs="Arial"/>
          <w:sz w:val="22"/>
          <w:szCs w:val="22"/>
        </w:rPr>
        <w:t xml:space="preserve">2015 </w:t>
      </w:r>
      <w:r w:rsidRPr="00F74784">
        <w:rPr>
          <w:rFonts w:ascii="Arial" w:hAnsi="Arial" w:cs="Arial"/>
          <w:sz w:val="22"/>
          <w:szCs w:val="22"/>
        </w:rPr>
        <w:t xml:space="preserve">uppgick till </w:t>
      </w:r>
      <w:r w:rsidR="00460F02">
        <w:rPr>
          <w:rFonts w:ascii="Arial" w:hAnsi="Arial" w:cs="Arial"/>
          <w:sz w:val="22"/>
          <w:szCs w:val="22"/>
        </w:rPr>
        <w:t xml:space="preserve">716 </w:t>
      </w:r>
      <w:r>
        <w:rPr>
          <w:rFonts w:ascii="Arial" w:hAnsi="Arial" w:cs="Arial"/>
          <w:sz w:val="22"/>
          <w:szCs w:val="22"/>
        </w:rPr>
        <w:t xml:space="preserve"> </w:t>
      </w:r>
      <w:r w:rsidRPr="00F74784">
        <w:rPr>
          <w:rFonts w:ascii="Arial" w:hAnsi="Arial" w:cs="Arial"/>
          <w:sz w:val="22"/>
          <w:szCs w:val="22"/>
        </w:rPr>
        <w:t>MSEK (</w:t>
      </w:r>
      <w:r w:rsidR="00460F02">
        <w:rPr>
          <w:rFonts w:ascii="Arial" w:hAnsi="Arial" w:cs="Arial"/>
          <w:sz w:val="22"/>
          <w:szCs w:val="22"/>
        </w:rPr>
        <w:t>771</w:t>
      </w:r>
      <w:r w:rsidRPr="00F74784">
        <w:rPr>
          <w:rFonts w:ascii="Arial" w:hAnsi="Arial" w:cs="Arial"/>
          <w:sz w:val="22"/>
          <w:szCs w:val="22"/>
        </w:rPr>
        <w:t>)</w:t>
      </w:r>
      <w:r>
        <w:rPr>
          <w:rFonts w:ascii="Arial" w:hAnsi="Arial" w:cs="Arial"/>
          <w:sz w:val="22"/>
          <w:szCs w:val="22"/>
        </w:rPr>
        <w:t xml:space="preserve">, en minskning </w:t>
      </w:r>
      <w:r w:rsidRPr="00F74784">
        <w:rPr>
          <w:rFonts w:ascii="Arial" w:hAnsi="Arial" w:cs="Arial"/>
          <w:sz w:val="22"/>
          <w:szCs w:val="22"/>
        </w:rPr>
        <w:t xml:space="preserve">med </w:t>
      </w:r>
      <w:r>
        <w:rPr>
          <w:rFonts w:ascii="Arial" w:hAnsi="Arial" w:cs="Arial"/>
          <w:sz w:val="22"/>
          <w:szCs w:val="22"/>
        </w:rPr>
        <w:t xml:space="preserve">7 procent jämfört med </w:t>
      </w:r>
      <w:r w:rsidRPr="00F74784">
        <w:rPr>
          <w:rFonts w:ascii="Arial" w:hAnsi="Arial" w:cs="Arial"/>
          <w:sz w:val="22"/>
          <w:szCs w:val="22"/>
        </w:rPr>
        <w:t xml:space="preserve">motsvarande </w:t>
      </w:r>
      <w:r>
        <w:rPr>
          <w:rFonts w:ascii="Arial" w:hAnsi="Arial" w:cs="Arial"/>
          <w:sz w:val="22"/>
          <w:szCs w:val="22"/>
        </w:rPr>
        <w:t xml:space="preserve">period </w:t>
      </w:r>
      <w:r w:rsidRPr="00F74784">
        <w:rPr>
          <w:rFonts w:ascii="Arial" w:hAnsi="Arial" w:cs="Arial"/>
          <w:sz w:val="22"/>
          <w:szCs w:val="22"/>
        </w:rPr>
        <w:t xml:space="preserve">föregående år. </w:t>
      </w:r>
      <w:r w:rsidRPr="001002E7">
        <w:rPr>
          <w:rFonts w:ascii="Arial" w:hAnsi="Arial" w:cs="Arial"/>
          <w:sz w:val="22"/>
          <w:szCs w:val="22"/>
        </w:rPr>
        <w:t xml:space="preserve">Vid oförändrade valutakurser hade Koncernen redovisat en nettoomsättning </w:t>
      </w:r>
      <w:r>
        <w:rPr>
          <w:rFonts w:ascii="Arial" w:hAnsi="Arial" w:cs="Arial"/>
          <w:sz w:val="22"/>
          <w:szCs w:val="22"/>
        </w:rPr>
        <w:t xml:space="preserve">för perioden </w:t>
      </w:r>
      <w:r w:rsidRPr="001002E7">
        <w:rPr>
          <w:rFonts w:ascii="Arial" w:hAnsi="Arial" w:cs="Arial"/>
          <w:sz w:val="22"/>
          <w:szCs w:val="22"/>
        </w:rPr>
        <w:t xml:space="preserve">om </w:t>
      </w:r>
      <w:r w:rsidR="00BC0901">
        <w:rPr>
          <w:rFonts w:ascii="Arial" w:hAnsi="Arial" w:cs="Arial"/>
          <w:sz w:val="22"/>
          <w:szCs w:val="22"/>
        </w:rPr>
        <w:t>657</w:t>
      </w:r>
      <w:r w:rsidR="003F3B62" w:rsidRPr="00A57170">
        <w:rPr>
          <w:rFonts w:ascii="Arial" w:hAnsi="Arial" w:cs="Arial"/>
          <w:sz w:val="22"/>
          <w:szCs w:val="22"/>
        </w:rPr>
        <w:t xml:space="preserve"> </w:t>
      </w:r>
      <w:r w:rsidRPr="00A57170">
        <w:rPr>
          <w:rFonts w:ascii="Arial" w:hAnsi="Arial" w:cs="Arial"/>
          <w:sz w:val="22"/>
          <w:szCs w:val="22"/>
        </w:rPr>
        <w:t xml:space="preserve">MSEK, vilket </w:t>
      </w:r>
      <w:r w:rsidR="00BC0901">
        <w:rPr>
          <w:rFonts w:ascii="Arial" w:hAnsi="Arial" w:cs="Arial"/>
          <w:sz w:val="22"/>
          <w:szCs w:val="22"/>
        </w:rPr>
        <w:t>hade utgjort en minskning med 15</w:t>
      </w:r>
      <w:r w:rsidRPr="00A57170">
        <w:rPr>
          <w:rFonts w:ascii="Arial" w:hAnsi="Arial" w:cs="Arial"/>
          <w:sz w:val="22"/>
          <w:szCs w:val="22"/>
        </w:rPr>
        <w:t xml:space="preserve"> procent.</w:t>
      </w:r>
      <w:r w:rsidRPr="00F74784">
        <w:rPr>
          <w:rFonts w:ascii="Arial" w:hAnsi="Arial" w:cs="Arial"/>
          <w:sz w:val="22"/>
          <w:szCs w:val="22"/>
        </w:rPr>
        <w:t xml:space="preserve"> </w:t>
      </w:r>
    </w:p>
    <w:p w:rsidR="00802096" w:rsidRDefault="00802096">
      <w:pPr>
        <w:rPr>
          <w:rFonts w:ascii="Arial" w:eastAsiaTheme="majorEastAsia" w:hAnsi="Arial" w:cs="Arial"/>
          <w:bCs/>
          <w:sz w:val="22"/>
          <w:szCs w:val="22"/>
        </w:rPr>
      </w:pPr>
      <w:r>
        <w:rPr>
          <w:rFonts w:ascii="Arial" w:hAnsi="Arial" w:cs="Arial"/>
          <w:sz w:val="22"/>
          <w:szCs w:val="22"/>
        </w:rPr>
        <w:br w:type="page"/>
      </w:r>
    </w:p>
    <w:p w:rsidR="0076195A" w:rsidRPr="00761EAF" w:rsidRDefault="00067A31" w:rsidP="008146DB">
      <w:pPr>
        <w:pStyle w:val="Heading2"/>
        <w:spacing w:before="360"/>
        <w:rPr>
          <w:rFonts w:ascii="Arial" w:hAnsi="Arial" w:cs="Arial"/>
          <w:b/>
        </w:rPr>
      </w:pPr>
      <w:r w:rsidRPr="00761EAF">
        <w:rPr>
          <w:rFonts w:ascii="Arial" w:hAnsi="Arial" w:cs="Arial"/>
          <w:b/>
        </w:rPr>
        <w:lastRenderedPageBreak/>
        <w:t>Bruttor</w:t>
      </w:r>
      <w:r w:rsidR="0076195A" w:rsidRPr="00761EAF">
        <w:rPr>
          <w:rFonts w:ascii="Arial" w:hAnsi="Arial" w:cs="Arial"/>
          <w:b/>
        </w:rPr>
        <w:t xml:space="preserve">esultat </w:t>
      </w:r>
    </w:p>
    <w:p w:rsidR="001335D7" w:rsidRPr="002F4D3C" w:rsidRDefault="000D15E1" w:rsidP="002F4D3C">
      <w:pPr>
        <w:tabs>
          <w:tab w:val="left" w:pos="3119"/>
        </w:tabs>
        <w:rPr>
          <w:rFonts w:ascii="Arial" w:hAnsi="Arial" w:cs="Arial"/>
          <w:sz w:val="12"/>
          <w:szCs w:val="12"/>
        </w:rPr>
      </w:pPr>
      <w:r>
        <w:rPr>
          <w:sz w:val="14"/>
          <w:szCs w:val="14"/>
        </w:rPr>
        <w:t xml:space="preserve">    </w:t>
      </w:r>
      <w:r w:rsidR="001335D7">
        <w:rPr>
          <w:sz w:val="14"/>
          <w:szCs w:val="14"/>
        </w:rPr>
        <w:t xml:space="preserve">  </w:t>
      </w:r>
      <w:r w:rsidR="001335D7" w:rsidRPr="002F4D3C">
        <w:rPr>
          <w:rFonts w:ascii="Arial" w:hAnsi="Arial" w:cs="Arial"/>
          <w:sz w:val="12"/>
          <w:szCs w:val="12"/>
        </w:rPr>
        <w:t>MSEK</w:t>
      </w:r>
      <w:r w:rsidR="001335D7" w:rsidRPr="002F4D3C">
        <w:rPr>
          <w:rFonts w:ascii="Arial" w:hAnsi="Arial" w:cs="Arial"/>
          <w:sz w:val="12"/>
          <w:szCs w:val="12"/>
        </w:rPr>
        <w:tab/>
      </w:r>
      <w:r>
        <w:rPr>
          <w:rFonts w:ascii="Arial" w:hAnsi="Arial" w:cs="Arial"/>
          <w:sz w:val="12"/>
          <w:szCs w:val="12"/>
        </w:rPr>
        <w:t xml:space="preserve">               </w:t>
      </w:r>
      <w:r w:rsidR="001335D7" w:rsidRPr="002F4D3C">
        <w:rPr>
          <w:rFonts w:ascii="Arial" w:hAnsi="Arial" w:cs="Arial"/>
          <w:sz w:val="12"/>
          <w:szCs w:val="12"/>
        </w:rPr>
        <w:t>MSEK</w:t>
      </w:r>
    </w:p>
    <w:p w:rsidR="00000929" w:rsidRDefault="00000929" w:rsidP="0076195A">
      <w:pPr>
        <w:jc w:val="both"/>
        <w:rPr>
          <w:rFonts w:ascii="Arial" w:hAnsi="Arial" w:cs="Arial"/>
          <w:i/>
          <w:sz w:val="22"/>
          <w:szCs w:val="22"/>
        </w:rPr>
      </w:pPr>
      <w:r w:rsidRPr="00F74784" w:rsidDel="00000929">
        <w:rPr>
          <w:rFonts w:ascii="Arial" w:hAnsi="Arial" w:cs="Arial"/>
          <w:i/>
          <w:sz w:val="22"/>
          <w:szCs w:val="22"/>
        </w:rPr>
        <w:t xml:space="preserve"> </w:t>
      </w:r>
      <w:r w:rsidR="00460F02">
        <w:rPr>
          <w:rFonts w:ascii="Arial" w:hAnsi="Arial" w:cs="Arial"/>
          <w:i/>
          <w:noProof/>
          <w:sz w:val="22"/>
          <w:szCs w:val="22"/>
          <w:lang w:eastAsia="sv-SE"/>
        </w:rPr>
        <w:drawing>
          <wp:inline distT="0" distB="0" distL="0" distR="0" wp14:anchorId="2F8888DE" wp14:editId="23F784FE">
            <wp:extent cx="2579370" cy="19411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9370" cy="1941195"/>
                    </a:xfrm>
                    <a:prstGeom prst="rect">
                      <a:avLst/>
                    </a:prstGeom>
                    <a:noFill/>
                    <a:ln>
                      <a:noFill/>
                    </a:ln>
                  </pic:spPr>
                </pic:pic>
              </a:graphicData>
            </a:graphic>
          </wp:inline>
        </w:drawing>
      </w:r>
    </w:p>
    <w:p w:rsidR="0040138C" w:rsidRPr="00761EAF" w:rsidRDefault="000D15E1" w:rsidP="008146DB">
      <w:pPr>
        <w:spacing w:before="240"/>
        <w:jc w:val="both"/>
        <w:rPr>
          <w:rFonts w:ascii="Arial" w:hAnsi="Arial" w:cs="Arial"/>
          <w:i/>
          <w:noProof/>
          <w:sz w:val="22"/>
          <w:szCs w:val="22"/>
          <w:lang w:eastAsia="sv-SE"/>
        </w:rPr>
      </w:pPr>
      <w:r w:rsidRPr="00761EAF">
        <w:rPr>
          <w:rFonts w:ascii="Arial" w:hAnsi="Arial" w:cs="Arial"/>
          <w:i/>
          <w:noProof/>
          <w:sz w:val="22"/>
          <w:szCs w:val="22"/>
          <w:lang w:eastAsia="sv-SE"/>
        </w:rPr>
        <w:t xml:space="preserve">Kvartalet </w:t>
      </w:r>
      <w:r w:rsidR="00460F02">
        <w:rPr>
          <w:rFonts w:ascii="Arial" w:hAnsi="Arial" w:cs="Arial"/>
          <w:i/>
          <w:noProof/>
          <w:sz w:val="22"/>
          <w:szCs w:val="22"/>
          <w:lang w:eastAsia="sv-SE"/>
        </w:rPr>
        <w:t xml:space="preserve">juli </w:t>
      </w:r>
      <w:r w:rsidRPr="00761EAF">
        <w:rPr>
          <w:rFonts w:ascii="Arial" w:hAnsi="Arial" w:cs="Arial"/>
          <w:i/>
          <w:noProof/>
          <w:sz w:val="22"/>
          <w:szCs w:val="22"/>
          <w:lang w:eastAsia="sv-SE"/>
        </w:rPr>
        <w:t xml:space="preserve"> </w:t>
      </w:r>
      <w:r w:rsidR="007C2367" w:rsidRPr="00761EAF">
        <w:rPr>
          <w:rFonts w:ascii="Arial" w:hAnsi="Arial" w:cs="Arial"/>
          <w:i/>
          <w:noProof/>
          <w:sz w:val="22"/>
          <w:szCs w:val="22"/>
          <w:lang w:eastAsia="sv-SE"/>
        </w:rPr>
        <w:t xml:space="preserve">– </w:t>
      </w:r>
      <w:r w:rsidR="00460F02">
        <w:rPr>
          <w:rFonts w:ascii="Arial" w:hAnsi="Arial" w:cs="Arial"/>
          <w:i/>
          <w:noProof/>
          <w:sz w:val="22"/>
          <w:szCs w:val="22"/>
          <w:lang w:eastAsia="sv-SE"/>
        </w:rPr>
        <w:t xml:space="preserve">september </w:t>
      </w:r>
      <w:r w:rsidR="007C2367" w:rsidRPr="00761EAF">
        <w:rPr>
          <w:rFonts w:ascii="Arial" w:hAnsi="Arial" w:cs="Arial"/>
          <w:i/>
          <w:noProof/>
          <w:sz w:val="22"/>
          <w:szCs w:val="22"/>
          <w:lang w:eastAsia="sv-SE"/>
        </w:rPr>
        <w:t>2015</w:t>
      </w:r>
    </w:p>
    <w:p w:rsidR="0076195A" w:rsidRDefault="0076195A" w:rsidP="008146DB">
      <w:pPr>
        <w:spacing w:before="120"/>
        <w:jc w:val="both"/>
        <w:rPr>
          <w:rFonts w:ascii="Arial" w:hAnsi="Arial" w:cs="Arial"/>
          <w:sz w:val="22"/>
          <w:szCs w:val="22"/>
        </w:rPr>
      </w:pPr>
      <w:r w:rsidRPr="00F74784">
        <w:rPr>
          <w:rFonts w:ascii="Arial" w:hAnsi="Arial" w:cs="Arial"/>
          <w:sz w:val="22"/>
          <w:szCs w:val="22"/>
        </w:rPr>
        <w:t xml:space="preserve">Koncernens bruttoresultat </w:t>
      </w:r>
      <w:r w:rsidR="00601614">
        <w:rPr>
          <w:rFonts w:ascii="Arial" w:hAnsi="Arial" w:cs="Arial"/>
          <w:sz w:val="22"/>
          <w:szCs w:val="22"/>
        </w:rPr>
        <w:t>för</w:t>
      </w:r>
      <w:r w:rsidRPr="00F74784">
        <w:rPr>
          <w:rFonts w:ascii="Arial" w:hAnsi="Arial" w:cs="Arial"/>
          <w:sz w:val="22"/>
          <w:szCs w:val="22"/>
        </w:rPr>
        <w:t xml:space="preserve"> </w:t>
      </w:r>
      <w:r w:rsidR="00460F02">
        <w:rPr>
          <w:rFonts w:ascii="Arial" w:hAnsi="Arial" w:cs="Arial"/>
          <w:sz w:val="22"/>
          <w:szCs w:val="22"/>
        </w:rPr>
        <w:t xml:space="preserve">tredje </w:t>
      </w:r>
      <w:r w:rsidRPr="00F74784">
        <w:rPr>
          <w:rFonts w:ascii="Arial" w:hAnsi="Arial" w:cs="Arial"/>
          <w:sz w:val="22"/>
          <w:szCs w:val="22"/>
        </w:rPr>
        <w:t xml:space="preserve">kvartalet </w:t>
      </w:r>
      <w:r w:rsidR="007C2367">
        <w:rPr>
          <w:rFonts w:ascii="Arial" w:hAnsi="Arial" w:cs="Arial"/>
          <w:sz w:val="22"/>
          <w:szCs w:val="22"/>
        </w:rPr>
        <w:t xml:space="preserve">2015 </w:t>
      </w:r>
      <w:r w:rsidRPr="00F74784">
        <w:rPr>
          <w:rFonts w:ascii="Arial" w:hAnsi="Arial" w:cs="Arial"/>
          <w:sz w:val="22"/>
          <w:szCs w:val="22"/>
        </w:rPr>
        <w:t xml:space="preserve">uppgick till </w:t>
      </w:r>
      <w:r w:rsidR="00460F02">
        <w:rPr>
          <w:rFonts w:ascii="Arial" w:hAnsi="Arial" w:cs="Arial"/>
          <w:sz w:val="22"/>
          <w:szCs w:val="22"/>
        </w:rPr>
        <w:t>82</w:t>
      </w:r>
      <w:r w:rsidR="000D15E1">
        <w:rPr>
          <w:rFonts w:ascii="Arial" w:hAnsi="Arial" w:cs="Arial"/>
          <w:sz w:val="22"/>
          <w:szCs w:val="22"/>
        </w:rPr>
        <w:t xml:space="preserve"> </w:t>
      </w:r>
      <w:r w:rsidRPr="00F74784">
        <w:rPr>
          <w:rFonts w:ascii="Arial" w:hAnsi="Arial" w:cs="Arial"/>
          <w:sz w:val="22"/>
          <w:szCs w:val="22"/>
        </w:rPr>
        <w:t>MSEK (</w:t>
      </w:r>
      <w:r w:rsidR="000D15E1">
        <w:rPr>
          <w:rFonts w:ascii="Arial" w:hAnsi="Arial" w:cs="Arial"/>
          <w:sz w:val="22"/>
          <w:szCs w:val="22"/>
        </w:rPr>
        <w:t>119</w:t>
      </w:r>
      <w:r w:rsidRPr="00F74784">
        <w:rPr>
          <w:rFonts w:ascii="Arial" w:hAnsi="Arial" w:cs="Arial"/>
          <w:sz w:val="22"/>
          <w:szCs w:val="22"/>
        </w:rPr>
        <w:t xml:space="preserve">), en minskning med </w:t>
      </w:r>
      <w:r w:rsidR="00460F02">
        <w:rPr>
          <w:rFonts w:ascii="Arial" w:hAnsi="Arial" w:cs="Arial"/>
          <w:sz w:val="22"/>
          <w:szCs w:val="22"/>
        </w:rPr>
        <w:t>31</w:t>
      </w:r>
      <w:r w:rsidR="0065650E">
        <w:rPr>
          <w:rFonts w:ascii="Arial" w:hAnsi="Arial" w:cs="Arial"/>
          <w:sz w:val="22"/>
          <w:szCs w:val="22"/>
        </w:rPr>
        <w:t xml:space="preserve"> </w:t>
      </w:r>
      <w:r w:rsidRPr="00F74784">
        <w:rPr>
          <w:rFonts w:ascii="Arial" w:hAnsi="Arial" w:cs="Arial"/>
          <w:sz w:val="22"/>
          <w:szCs w:val="22"/>
        </w:rPr>
        <w:t xml:space="preserve">procent jämfört med motsvarande kvartal föregående år. </w:t>
      </w:r>
      <w:r w:rsidR="000D15E1">
        <w:rPr>
          <w:rFonts w:ascii="Arial" w:hAnsi="Arial" w:cs="Arial"/>
          <w:sz w:val="22"/>
          <w:szCs w:val="22"/>
        </w:rPr>
        <w:t xml:space="preserve">Samtliga marknadssegment </w:t>
      </w:r>
      <w:r w:rsidR="007700D2">
        <w:rPr>
          <w:rFonts w:ascii="Arial" w:hAnsi="Arial" w:cs="Arial"/>
          <w:sz w:val="22"/>
          <w:szCs w:val="22"/>
        </w:rPr>
        <w:t>redovisade</w:t>
      </w:r>
      <w:r w:rsidR="000D15E1">
        <w:rPr>
          <w:rFonts w:ascii="Arial" w:hAnsi="Arial" w:cs="Arial"/>
          <w:sz w:val="22"/>
          <w:szCs w:val="22"/>
        </w:rPr>
        <w:t xml:space="preserve"> </w:t>
      </w:r>
      <w:r w:rsidR="007700D2">
        <w:rPr>
          <w:rFonts w:ascii="Arial" w:hAnsi="Arial" w:cs="Arial"/>
          <w:sz w:val="22"/>
          <w:szCs w:val="22"/>
        </w:rPr>
        <w:t xml:space="preserve">försämrat </w:t>
      </w:r>
      <w:r w:rsidR="000D15E1">
        <w:rPr>
          <w:rFonts w:ascii="Arial" w:hAnsi="Arial" w:cs="Arial"/>
          <w:sz w:val="22"/>
          <w:szCs w:val="22"/>
        </w:rPr>
        <w:t>bruttoresultat för kvartalet</w:t>
      </w:r>
      <w:r w:rsidR="007700D2">
        <w:rPr>
          <w:rFonts w:ascii="Arial" w:hAnsi="Arial" w:cs="Arial"/>
          <w:sz w:val="22"/>
          <w:szCs w:val="22"/>
        </w:rPr>
        <w:t xml:space="preserve"> </w:t>
      </w:r>
      <w:r w:rsidR="001C786A">
        <w:rPr>
          <w:rFonts w:ascii="Arial" w:hAnsi="Arial" w:cs="Arial"/>
          <w:sz w:val="22"/>
          <w:szCs w:val="22"/>
        </w:rPr>
        <w:t>j</w:t>
      </w:r>
      <w:r w:rsidR="007700D2">
        <w:rPr>
          <w:rFonts w:ascii="Arial" w:hAnsi="Arial" w:cs="Arial"/>
          <w:sz w:val="22"/>
          <w:szCs w:val="22"/>
        </w:rPr>
        <w:t>ämfört med motsvarande kvartal föregående år</w:t>
      </w:r>
      <w:r w:rsidR="000D15E1">
        <w:rPr>
          <w:rFonts w:ascii="Arial" w:hAnsi="Arial" w:cs="Arial"/>
          <w:sz w:val="22"/>
          <w:szCs w:val="22"/>
        </w:rPr>
        <w:t xml:space="preserve">. </w:t>
      </w:r>
      <w:r w:rsidR="000D15E1" w:rsidRPr="00F74784">
        <w:rPr>
          <w:rFonts w:ascii="Arial" w:hAnsi="Arial" w:cs="Arial"/>
          <w:sz w:val="22"/>
          <w:szCs w:val="22"/>
        </w:rPr>
        <w:t xml:space="preserve">Bruttomarginalen för kvartalet var </w:t>
      </w:r>
      <w:r w:rsidR="00460F02">
        <w:rPr>
          <w:rFonts w:ascii="Arial" w:hAnsi="Arial" w:cs="Arial"/>
          <w:sz w:val="22"/>
          <w:szCs w:val="22"/>
        </w:rPr>
        <w:t>35</w:t>
      </w:r>
      <w:r w:rsidR="000D15E1">
        <w:rPr>
          <w:rFonts w:ascii="Arial" w:hAnsi="Arial" w:cs="Arial"/>
          <w:sz w:val="22"/>
          <w:szCs w:val="22"/>
        </w:rPr>
        <w:t xml:space="preserve"> </w:t>
      </w:r>
      <w:r w:rsidR="000D15E1" w:rsidRPr="00F74784">
        <w:rPr>
          <w:rFonts w:ascii="Arial" w:hAnsi="Arial" w:cs="Arial"/>
          <w:sz w:val="22"/>
          <w:szCs w:val="22"/>
        </w:rPr>
        <w:t>procent (</w:t>
      </w:r>
      <w:r w:rsidR="00460F02">
        <w:rPr>
          <w:rFonts w:ascii="Arial" w:hAnsi="Arial" w:cs="Arial"/>
          <w:sz w:val="22"/>
          <w:szCs w:val="22"/>
        </w:rPr>
        <w:t>47</w:t>
      </w:r>
      <w:r w:rsidR="000D15E1" w:rsidRPr="00F74784">
        <w:rPr>
          <w:rFonts w:ascii="Arial" w:hAnsi="Arial" w:cs="Arial"/>
          <w:sz w:val="22"/>
          <w:szCs w:val="22"/>
        </w:rPr>
        <w:t xml:space="preserve">). </w:t>
      </w:r>
      <w:r w:rsidR="000D15E1" w:rsidRPr="000C54DA">
        <w:rPr>
          <w:rFonts w:ascii="Arial" w:hAnsi="Arial" w:cs="Arial"/>
          <w:sz w:val="22"/>
          <w:szCs w:val="22"/>
        </w:rPr>
        <w:t>Jämfört med mo</w:t>
      </w:r>
      <w:r w:rsidR="0077544C">
        <w:rPr>
          <w:rFonts w:ascii="Arial" w:hAnsi="Arial" w:cs="Arial"/>
          <w:sz w:val="22"/>
          <w:szCs w:val="22"/>
        </w:rPr>
        <w:t xml:space="preserve">tsvarande kvartal föregående år minskade </w:t>
      </w:r>
      <w:r w:rsidR="000D15E1" w:rsidRPr="000C54DA">
        <w:rPr>
          <w:rFonts w:ascii="Arial" w:hAnsi="Arial" w:cs="Arial"/>
          <w:sz w:val="22"/>
          <w:szCs w:val="22"/>
        </w:rPr>
        <w:t>b</w:t>
      </w:r>
      <w:r w:rsidR="007C7856" w:rsidRPr="000C54DA">
        <w:rPr>
          <w:rFonts w:ascii="Arial" w:hAnsi="Arial" w:cs="Arial"/>
          <w:sz w:val="22"/>
          <w:szCs w:val="22"/>
        </w:rPr>
        <w:t xml:space="preserve">ruttomarginalen </w:t>
      </w:r>
      <w:r w:rsidR="000C54DA" w:rsidRPr="000C54DA">
        <w:rPr>
          <w:rFonts w:ascii="Arial" w:hAnsi="Arial" w:cs="Arial"/>
          <w:sz w:val="22"/>
          <w:szCs w:val="22"/>
        </w:rPr>
        <w:t xml:space="preserve">i samtliga marknadssegment, vilket </w:t>
      </w:r>
      <w:r w:rsidR="00723C58">
        <w:rPr>
          <w:rFonts w:ascii="Arial" w:hAnsi="Arial" w:cs="Arial"/>
          <w:sz w:val="22"/>
          <w:szCs w:val="22"/>
        </w:rPr>
        <w:t>främst förklaras av</w:t>
      </w:r>
      <w:r w:rsidR="009247A2">
        <w:rPr>
          <w:rFonts w:ascii="Arial" w:hAnsi="Arial" w:cs="Arial"/>
          <w:sz w:val="22"/>
          <w:szCs w:val="22"/>
        </w:rPr>
        <w:t xml:space="preserve"> </w:t>
      </w:r>
      <w:r w:rsidR="000C54DA">
        <w:rPr>
          <w:rFonts w:ascii="Arial" w:hAnsi="Arial" w:cs="Arial"/>
          <w:sz w:val="22"/>
          <w:szCs w:val="22"/>
        </w:rPr>
        <w:t xml:space="preserve">hårdare </w:t>
      </w:r>
      <w:r w:rsidR="000C54DA" w:rsidRPr="000C54DA">
        <w:rPr>
          <w:rFonts w:ascii="Arial" w:hAnsi="Arial" w:cs="Arial"/>
          <w:sz w:val="22"/>
          <w:szCs w:val="22"/>
        </w:rPr>
        <w:t>prispress i såväl försäljnings- som inköpsled</w:t>
      </w:r>
      <w:r w:rsidR="007C7856" w:rsidRPr="000C54DA">
        <w:rPr>
          <w:rFonts w:ascii="Arial" w:hAnsi="Arial" w:cs="Arial"/>
          <w:sz w:val="22"/>
          <w:szCs w:val="22"/>
        </w:rPr>
        <w:t>.</w:t>
      </w:r>
      <w:r w:rsidR="0063653E" w:rsidRPr="000C54DA">
        <w:rPr>
          <w:rFonts w:ascii="Arial" w:hAnsi="Arial" w:cs="Arial"/>
          <w:sz w:val="22"/>
          <w:szCs w:val="22"/>
        </w:rPr>
        <w:t xml:space="preserve"> </w:t>
      </w:r>
      <w:r w:rsidR="001B082C" w:rsidRPr="000C54DA">
        <w:rPr>
          <w:rFonts w:ascii="Arial" w:hAnsi="Arial" w:cs="Arial"/>
          <w:sz w:val="22"/>
          <w:szCs w:val="22"/>
        </w:rPr>
        <w:t xml:space="preserve">Försämringen i bruttomarginalen i Amerika </w:t>
      </w:r>
      <w:r w:rsidR="00723C58">
        <w:rPr>
          <w:rFonts w:ascii="Arial" w:hAnsi="Arial" w:cs="Arial"/>
          <w:sz w:val="22"/>
          <w:szCs w:val="22"/>
        </w:rPr>
        <w:t xml:space="preserve">beror </w:t>
      </w:r>
      <w:r w:rsidR="000C54DA" w:rsidRPr="000C54DA">
        <w:rPr>
          <w:rFonts w:ascii="Arial" w:hAnsi="Arial" w:cs="Arial"/>
          <w:sz w:val="22"/>
          <w:szCs w:val="22"/>
        </w:rPr>
        <w:t xml:space="preserve">även </w:t>
      </w:r>
      <w:r w:rsidR="00117778" w:rsidRPr="000C54DA">
        <w:rPr>
          <w:rFonts w:ascii="Arial" w:hAnsi="Arial" w:cs="Arial"/>
          <w:sz w:val="22"/>
          <w:szCs w:val="22"/>
        </w:rPr>
        <w:t xml:space="preserve">till stor del </w:t>
      </w:r>
      <w:r w:rsidR="00723C58">
        <w:rPr>
          <w:rFonts w:ascii="Arial" w:hAnsi="Arial" w:cs="Arial"/>
          <w:sz w:val="22"/>
          <w:szCs w:val="22"/>
        </w:rPr>
        <w:t xml:space="preserve">på </w:t>
      </w:r>
      <w:r w:rsidR="001B082C" w:rsidRPr="000C54DA">
        <w:rPr>
          <w:rFonts w:ascii="Arial" w:hAnsi="Arial" w:cs="Arial"/>
          <w:sz w:val="22"/>
          <w:szCs w:val="22"/>
        </w:rPr>
        <w:t>att kostnader hänförliga till den lokala logistik</w:t>
      </w:r>
      <w:r w:rsidR="000C54DA" w:rsidRPr="000C54DA">
        <w:rPr>
          <w:rFonts w:ascii="Arial" w:hAnsi="Arial" w:cs="Arial"/>
          <w:sz w:val="22"/>
          <w:szCs w:val="22"/>
        </w:rPr>
        <w:t>-</w:t>
      </w:r>
      <w:r w:rsidR="001B082C" w:rsidRPr="000C54DA">
        <w:rPr>
          <w:rFonts w:ascii="Arial" w:hAnsi="Arial" w:cs="Arial"/>
          <w:sz w:val="22"/>
          <w:szCs w:val="22"/>
        </w:rPr>
        <w:t xml:space="preserve"> och distributionsstrukturen, vilka tidigare redovisats som försäljningskostnader, från och med 2015 redovisas som kostnad för sålda varor.</w:t>
      </w:r>
      <w:r w:rsidR="001B082C">
        <w:rPr>
          <w:rFonts w:ascii="Arial" w:hAnsi="Arial" w:cs="Arial"/>
          <w:sz w:val="22"/>
          <w:szCs w:val="22"/>
        </w:rPr>
        <w:t xml:space="preserve"> Se </w:t>
      </w:r>
      <w:r w:rsidR="0063653E">
        <w:rPr>
          <w:rFonts w:ascii="Arial" w:hAnsi="Arial" w:cs="Arial"/>
          <w:sz w:val="22"/>
          <w:szCs w:val="22"/>
        </w:rPr>
        <w:t>vidare Segmentsinformation.</w:t>
      </w:r>
    </w:p>
    <w:p w:rsidR="000D15E1" w:rsidRPr="00761EAF" w:rsidRDefault="000D15E1" w:rsidP="000D15E1">
      <w:pPr>
        <w:spacing w:before="240"/>
        <w:jc w:val="both"/>
        <w:rPr>
          <w:rFonts w:ascii="Arial" w:hAnsi="Arial" w:cs="Arial"/>
          <w:i/>
          <w:noProof/>
          <w:sz w:val="22"/>
          <w:szCs w:val="22"/>
          <w:lang w:eastAsia="sv-SE"/>
        </w:rPr>
      </w:pPr>
      <w:r w:rsidRPr="00761EAF">
        <w:rPr>
          <w:rFonts w:ascii="Arial" w:hAnsi="Arial" w:cs="Arial"/>
          <w:i/>
          <w:noProof/>
          <w:sz w:val="22"/>
          <w:szCs w:val="22"/>
          <w:lang w:eastAsia="sv-SE"/>
        </w:rPr>
        <w:t xml:space="preserve">Perioden januari – </w:t>
      </w:r>
      <w:r w:rsidR="00A57170">
        <w:rPr>
          <w:rFonts w:ascii="Arial" w:hAnsi="Arial" w:cs="Arial"/>
          <w:i/>
          <w:noProof/>
          <w:sz w:val="22"/>
          <w:szCs w:val="22"/>
          <w:lang w:eastAsia="sv-SE"/>
        </w:rPr>
        <w:t>september</w:t>
      </w:r>
      <w:r w:rsidRPr="00761EAF">
        <w:rPr>
          <w:rFonts w:ascii="Arial" w:hAnsi="Arial" w:cs="Arial"/>
          <w:i/>
          <w:noProof/>
          <w:sz w:val="22"/>
          <w:szCs w:val="22"/>
          <w:lang w:eastAsia="sv-SE"/>
        </w:rPr>
        <w:t xml:space="preserve"> 2015</w:t>
      </w:r>
    </w:p>
    <w:p w:rsidR="000D15E1" w:rsidRPr="00F74784" w:rsidRDefault="000D15E1" w:rsidP="000D15E1">
      <w:pPr>
        <w:spacing w:before="120"/>
        <w:jc w:val="both"/>
        <w:rPr>
          <w:rFonts w:ascii="Arial" w:hAnsi="Arial" w:cs="Arial"/>
          <w:sz w:val="22"/>
          <w:szCs w:val="22"/>
        </w:rPr>
      </w:pPr>
      <w:r w:rsidRPr="00F74784">
        <w:rPr>
          <w:rFonts w:ascii="Arial" w:hAnsi="Arial" w:cs="Arial"/>
          <w:sz w:val="22"/>
          <w:szCs w:val="22"/>
        </w:rPr>
        <w:t xml:space="preserve">Koncernens bruttoresultat </w:t>
      </w:r>
      <w:r>
        <w:rPr>
          <w:rFonts w:ascii="Arial" w:hAnsi="Arial" w:cs="Arial"/>
          <w:sz w:val="22"/>
          <w:szCs w:val="22"/>
        </w:rPr>
        <w:t>för</w:t>
      </w:r>
      <w:r w:rsidRPr="00F74784">
        <w:rPr>
          <w:rFonts w:ascii="Arial" w:hAnsi="Arial" w:cs="Arial"/>
          <w:sz w:val="22"/>
          <w:szCs w:val="22"/>
        </w:rPr>
        <w:t xml:space="preserve"> </w:t>
      </w:r>
      <w:r>
        <w:rPr>
          <w:rFonts w:ascii="Arial" w:hAnsi="Arial" w:cs="Arial"/>
          <w:sz w:val="22"/>
          <w:szCs w:val="22"/>
        </w:rPr>
        <w:t xml:space="preserve">perioden januari – </w:t>
      </w:r>
      <w:r w:rsidR="00460F02">
        <w:rPr>
          <w:rFonts w:ascii="Arial" w:hAnsi="Arial" w:cs="Arial"/>
          <w:sz w:val="22"/>
          <w:szCs w:val="22"/>
        </w:rPr>
        <w:t>september</w:t>
      </w:r>
      <w:r>
        <w:rPr>
          <w:rFonts w:ascii="Arial" w:hAnsi="Arial" w:cs="Arial"/>
          <w:sz w:val="22"/>
          <w:szCs w:val="22"/>
        </w:rPr>
        <w:t xml:space="preserve"> 2015 </w:t>
      </w:r>
      <w:r w:rsidRPr="00F74784">
        <w:rPr>
          <w:rFonts w:ascii="Arial" w:hAnsi="Arial" w:cs="Arial"/>
          <w:sz w:val="22"/>
          <w:szCs w:val="22"/>
        </w:rPr>
        <w:t xml:space="preserve">uppgick till </w:t>
      </w:r>
      <w:r w:rsidR="00460F02">
        <w:rPr>
          <w:rFonts w:ascii="Arial" w:hAnsi="Arial" w:cs="Arial"/>
          <w:sz w:val="22"/>
          <w:szCs w:val="22"/>
        </w:rPr>
        <w:t>282</w:t>
      </w:r>
      <w:r w:rsidR="00D401F2">
        <w:rPr>
          <w:rFonts w:ascii="Arial" w:hAnsi="Arial" w:cs="Arial"/>
          <w:sz w:val="22"/>
          <w:szCs w:val="22"/>
        </w:rPr>
        <w:t xml:space="preserve"> </w:t>
      </w:r>
      <w:r w:rsidRPr="00F74784">
        <w:rPr>
          <w:rFonts w:ascii="Arial" w:hAnsi="Arial" w:cs="Arial"/>
          <w:sz w:val="22"/>
          <w:szCs w:val="22"/>
        </w:rPr>
        <w:t>MSEK (</w:t>
      </w:r>
      <w:r w:rsidR="00460F02">
        <w:rPr>
          <w:rFonts w:ascii="Arial" w:hAnsi="Arial" w:cs="Arial"/>
          <w:sz w:val="22"/>
          <w:szCs w:val="22"/>
        </w:rPr>
        <w:t>350</w:t>
      </w:r>
      <w:r w:rsidRPr="00F74784">
        <w:rPr>
          <w:rFonts w:ascii="Arial" w:hAnsi="Arial" w:cs="Arial"/>
          <w:sz w:val="22"/>
          <w:szCs w:val="22"/>
        </w:rPr>
        <w:t xml:space="preserve">), en minskning med </w:t>
      </w:r>
      <w:r w:rsidR="00460F02">
        <w:rPr>
          <w:rFonts w:ascii="Arial" w:hAnsi="Arial" w:cs="Arial"/>
          <w:sz w:val="22"/>
          <w:szCs w:val="22"/>
        </w:rPr>
        <w:t>19</w:t>
      </w:r>
      <w:r>
        <w:rPr>
          <w:rFonts w:ascii="Arial" w:hAnsi="Arial" w:cs="Arial"/>
          <w:sz w:val="22"/>
          <w:szCs w:val="22"/>
        </w:rPr>
        <w:t xml:space="preserve"> </w:t>
      </w:r>
      <w:r w:rsidRPr="00F74784">
        <w:rPr>
          <w:rFonts w:ascii="Arial" w:hAnsi="Arial" w:cs="Arial"/>
          <w:sz w:val="22"/>
          <w:szCs w:val="22"/>
        </w:rPr>
        <w:t xml:space="preserve">procent jämfört med motsvarande </w:t>
      </w:r>
      <w:r w:rsidR="00D401F2">
        <w:rPr>
          <w:rFonts w:ascii="Arial" w:hAnsi="Arial" w:cs="Arial"/>
          <w:sz w:val="22"/>
          <w:szCs w:val="22"/>
        </w:rPr>
        <w:t xml:space="preserve">period </w:t>
      </w:r>
      <w:r w:rsidRPr="00F74784">
        <w:rPr>
          <w:rFonts w:ascii="Arial" w:hAnsi="Arial" w:cs="Arial"/>
          <w:sz w:val="22"/>
          <w:szCs w:val="22"/>
        </w:rPr>
        <w:t xml:space="preserve">föregående år. Bruttomarginalen för </w:t>
      </w:r>
      <w:r w:rsidR="00D401F2">
        <w:rPr>
          <w:rFonts w:ascii="Arial" w:hAnsi="Arial" w:cs="Arial"/>
          <w:sz w:val="22"/>
          <w:szCs w:val="22"/>
        </w:rPr>
        <w:t xml:space="preserve">perioden </w:t>
      </w:r>
      <w:r w:rsidRPr="00F74784">
        <w:rPr>
          <w:rFonts w:ascii="Arial" w:hAnsi="Arial" w:cs="Arial"/>
          <w:sz w:val="22"/>
          <w:szCs w:val="22"/>
        </w:rPr>
        <w:t xml:space="preserve">var </w:t>
      </w:r>
      <w:r w:rsidR="00460F02">
        <w:rPr>
          <w:rFonts w:ascii="Arial" w:hAnsi="Arial" w:cs="Arial"/>
          <w:sz w:val="22"/>
          <w:szCs w:val="22"/>
        </w:rPr>
        <w:t>39</w:t>
      </w:r>
      <w:r>
        <w:rPr>
          <w:rFonts w:ascii="Arial" w:hAnsi="Arial" w:cs="Arial"/>
          <w:sz w:val="22"/>
          <w:szCs w:val="22"/>
        </w:rPr>
        <w:t xml:space="preserve"> </w:t>
      </w:r>
      <w:r w:rsidRPr="00F74784">
        <w:rPr>
          <w:rFonts w:ascii="Arial" w:hAnsi="Arial" w:cs="Arial"/>
          <w:sz w:val="22"/>
          <w:szCs w:val="22"/>
        </w:rPr>
        <w:t>procent (</w:t>
      </w:r>
      <w:r w:rsidR="00D401F2">
        <w:rPr>
          <w:rFonts w:ascii="Arial" w:hAnsi="Arial" w:cs="Arial"/>
          <w:sz w:val="22"/>
          <w:szCs w:val="22"/>
        </w:rPr>
        <w:t>45</w:t>
      </w:r>
      <w:r w:rsidRPr="00F74784">
        <w:rPr>
          <w:rFonts w:ascii="Arial" w:hAnsi="Arial" w:cs="Arial"/>
          <w:sz w:val="22"/>
          <w:szCs w:val="22"/>
        </w:rPr>
        <w:t xml:space="preserve">). </w:t>
      </w:r>
    </w:p>
    <w:p w:rsidR="00A350B7" w:rsidRDefault="00A350B7">
      <w:pPr>
        <w:rPr>
          <w:rFonts w:ascii="Arial" w:eastAsiaTheme="majorEastAsia" w:hAnsi="Arial" w:cs="Arial"/>
          <w:b/>
          <w:bCs/>
          <w:sz w:val="26"/>
          <w:szCs w:val="26"/>
        </w:rPr>
      </w:pPr>
      <w:r>
        <w:rPr>
          <w:rFonts w:ascii="Arial" w:hAnsi="Arial" w:cs="Arial"/>
          <w:b/>
        </w:rPr>
        <w:br w:type="page"/>
      </w:r>
    </w:p>
    <w:p w:rsidR="00067A31" w:rsidRDefault="00067A31" w:rsidP="008146DB">
      <w:pPr>
        <w:pStyle w:val="Heading2"/>
        <w:spacing w:before="360"/>
        <w:rPr>
          <w:rFonts w:ascii="Arial" w:hAnsi="Arial" w:cs="Arial"/>
        </w:rPr>
      </w:pPr>
      <w:r w:rsidRPr="00761EAF">
        <w:rPr>
          <w:rFonts w:ascii="Arial" w:hAnsi="Arial" w:cs="Arial"/>
          <w:b/>
        </w:rPr>
        <w:lastRenderedPageBreak/>
        <w:t>Rörelseresultat</w:t>
      </w:r>
      <w:r w:rsidRPr="00564B64">
        <w:rPr>
          <w:rFonts w:ascii="Arial" w:hAnsi="Arial" w:cs="Arial"/>
        </w:rPr>
        <w:t xml:space="preserve"> </w:t>
      </w:r>
    </w:p>
    <w:p w:rsidR="00E745E2" w:rsidRPr="002F4D3C" w:rsidRDefault="001335D7" w:rsidP="002F4D3C">
      <w:pPr>
        <w:tabs>
          <w:tab w:val="left" w:pos="3119"/>
        </w:tabs>
        <w:rPr>
          <w:rFonts w:ascii="Arial" w:hAnsi="Arial" w:cs="Arial"/>
          <w:sz w:val="12"/>
          <w:szCs w:val="12"/>
        </w:rPr>
      </w:pPr>
      <w:r>
        <w:rPr>
          <w:rFonts w:ascii="Arial" w:hAnsi="Arial" w:cs="Arial"/>
          <w:sz w:val="12"/>
          <w:szCs w:val="12"/>
        </w:rPr>
        <w:t xml:space="preserve">  </w:t>
      </w:r>
      <w:r w:rsidR="008E3E26">
        <w:rPr>
          <w:rFonts w:ascii="Arial" w:hAnsi="Arial" w:cs="Arial"/>
          <w:sz w:val="12"/>
          <w:szCs w:val="12"/>
        </w:rPr>
        <w:t xml:space="preserve">  </w:t>
      </w:r>
      <w:r>
        <w:rPr>
          <w:rFonts w:ascii="Arial" w:hAnsi="Arial" w:cs="Arial"/>
          <w:sz w:val="12"/>
          <w:szCs w:val="12"/>
        </w:rPr>
        <w:t>MSEK</w:t>
      </w:r>
      <w:r>
        <w:rPr>
          <w:rFonts w:ascii="Arial" w:hAnsi="Arial" w:cs="Arial"/>
          <w:sz w:val="12"/>
          <w:szCs w:val="12"/>
        </w:rPr>
        <w:tab/>
      </w:r>
      <w:r w:rsidR="008E3E26">
        <w:rPr>
          <w:rFonts w:ascii="Arial" w:hAnsi="Arial" w:cs="Arial"/>
          <w:sz w:val="12"/>
          <w:szCs w:val="12"/>
        </w:rPr>
        <w:t xml:space="preserve">        </w:t>
      </w:r>
      <w:r>
        <w:rPr>
          <w:rFonts w:ascii="Arial" w:hAnsi="Arial" w:cs="Arial"/>
          <w:sz w:val="12"/>
          <w:szCs w:val="12"/>
        </w:rPr>
        <w:t xml:space="preserve"> MSEK</w:t>
      </w:r>
    </w:p>
    <w:p w:rsidR="00067A31" w:rsidRDefault="00460F02" w:rsidP="0076195A">
      <w:pPr>
        <w:rPr>
          <w:rFonts w:ascii="Arial" w:hAnsi="Arial" w:cs="Arial"/>
          <w:i/>
          <w:sz w:val="20"/>
          <w:szCs w:val="20"/>
        </w:rPr>
      </w:pPr>
      <w:r>
        <w:rPr>
          <w:rFonts w:ascii="Arial" w:hAnsi="Arial" w:cs="Arial"/>
          <w:i/>
          <w:noProof/>
          <w:sz w:val="20"/>
          <w:szCs w:val="20"/>
          <w:lang w:eastAsia="sv-SE"/>
        </w:rPr>
        <w:drawing>
          <wp:inline distT="0" distB="0" distL="0" distR="0" wp14:anchorId="69B5BDAB" wp14:editId="7C3A2834">
            <wp:extent cx="2510155" cy="1932305"/>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0155" cy="1932305"/>
                    </a:xfrm>
                    <a:prstGeom prst="rect">
                      <a:avLst/>
                    </a:prstGeom>
                    <a:noFill/>
                    <a:ln>
                      <a:noFill/>
                    </a:ln>
                  </pic:spPr>
                </pic:pic>
              </a:graphicData>
            </a:graphic>
          </wp:inline>
        </w:drawing>
      </w:r>
    </w:p>
    <w:p w:rsidR="001B082C" w:rsidRDefault="001B082C" w:rsidP="008E3E26">
      <w:pPr>
        <w:jc w:val="both"/>
        <w:rPr>
          <w:rFonts w:ascii="Arial" w:hAnsi="Arial" w:cs="Arial"/>
          <w:b/>
          <w:noProof/>
          <w:sz w:val="22"/>
          <w:szCs w:val="22"/>
          <w:lang w:eastAsia="sv-SE"/>
        </w:rPr>
      </w:pPr>
    </w:p>
    <w:p w:rsidR="008E3E26" w:rsidRPr="00761EAF" w:rsidRDefault="008E3E26" w:rsidP="008E3E26">
      <w:pPr>
        <w:jc w:val="both"/>
        <w:rPr>
          <w:rFonts w:ascii="Arial" w:hAnsi="Arial" w:cs="Arial"/>
          <w:i/>
          <w:noProof/>
          <w:sz w:val="22"/>
          <w:szCs w:val="22"/>
          <w:lang w:eastAsia="sv-SE"/>
        </w:rPr>
      </w:pPr>
      <w:r w:rsidRPr="00761EAF">
        <w:rPr>
          <w:rFonts w:ascii="Arial" w:hAnsi="Arial" w:cs="Arial"/>
          <w:i/>
          <w:noProof/>
          <w:sz w:val="22"/>
          <w:szCs w:val="22"/>
          <w:lang w:eastAsia="sv-SE"/>
        </w:rPr>
        <w:t xml:space="preserve">Kvartalet </w:t>
      </w:r>
      <w:r w:rsidR="00460F02">
        <w:rPr>
          <w:rFonts w:ascii="Arial" w:hAnsi="Arial" w:cs="Arial"/>
          <w:i/>
          <w:noProof/>
          <w:sz w:val="22"/>
          <w:szCs w:val="22"/>
          <w:lang w:eastAsia="sv-SE"/>
        </w:rPr>
        <w:t>juli</w:t>
      </w:r>
      <w:r w:rsidRPr="00761EAF">
        <w:rPr>
          <w:rFonts w:ascii="Arial" w:hAnsi="Arial" w:cs="Arial"/>
          <w:i/>
          <w:noProof/>
          <w:sz w:val="22"/>
          <w:szCs w:val="22"/>
          <w:lang w:eastAsia="sv-SE"/>
        </w:rPr>
        <w:t xml:space="preserve"> – </w:t>
      </w:r>
      <w:r w:rsidR="00460F02">
        <w:rPr>
          <w:rFonts w:ascii="Arial" w:hAnsi="Arial" w:cs="Arial"/>
          <w:i/>
          <w:noProof/>
          <w:sz w:val="22"/>
          <w:szCs w:val="22"/>
          <w:lang w:eastAsia="sv-SE"/>
        </w:rPr>
        <w:t xml:space="preserve">september </w:t>
      </w:r>
      <w:r w:rsidRPr="00761EAF">
        <w:rPr>
          <w:rFonts w:ascii="Arial" w:hAnsi="Arial" w:cs="Arial"/>
          <w:i/>
          <w:noProof/>
          <w:sz w:val="22"/>
          <w:szCs w:val="22"/>
          <w:lang w:eastAsia="sv-SE"/>
        </w:rPr>
        <w:t>2015</w:t>
      </w:r>
    </w:p>
    <w:p w:rsidR="008E3E26" w:rsidRPr="00506B05" w:rsidRDefault="008E3E26" w:rsidP="008E3E26">
      <w:pPr>
        <w:spacing w:before="120"/>
        <w:jc w:val="both"/>
        <w:rPr>
          <w:rFonts w:ascii="Arial" w:hAnsi="Arial" w:cs="Arial"/>
          <w:sz w:val="22"/>
          <w:szCs w:val="22"/>
        </w:rPr>
      </w:pPr>
      <w:r>
        <w:rPr>
          <w:rFonts w:ascii="Arial" w:hAnsi="Arial" w:cs="Arial"/>
          <w:sz w:val="22"/>
          <w:szCs w:val="22"/>
        </w:rPr>
        <w:t>Koncernens r</w:t>
      </w:r>
      <w:r w:rsidRPr="00915BEC">
        <w:rPr>
          <w:rFonts w:ascii="Arial" w:hAnsi="Arial" w:cs="Arial"/>
          <w:sz w:val="22"/>
          <w:szCs w:val="22"/>
        </w:rPr>
        <w:t xml:space="preserve">örelseresultat för </w:t>
      </w:r>
      <w:r w:rsidR="00460F02">
        <w:rPr>
          <w:rFonts w:ascii="Arial" w:hAnsi="Arial" w:cs="Arial"/>
          <w:sz w:val="22"/>
          <w:szCs w:val="22"/>
        </w:rPr>
        <w:t xml:space="preserve">tredje </w:t>
      </w:r>
      <w:r w:rsidRPr="00915BEC">
        <w:rPr>
          <w:rFonts w:ascii="Arial" w:hAnsi="Arial" w:cs="Arial"/>
          <w:sz w:val="22"/>
          <w:szCs w:val="22"/>
        </w:rPr>
        <w:t xml:space="preserve">kvartalet </w:t>
      </w:r>
      <w:r>
        <w:rPr>
          <w:rFonts w:ascii="Arial" w:hAnsi="Arial" w:cs="Arial"/>
          <w:sz w:val="22"/>
          <w:szCs w:val="22"/>
        </w:rPr>
        <w:t xml:space="preserve">2015 </w:t>
      </w:r>
      <w:r w:rsidRPr="00915BEC">
        <w:rPr>
          <w:rFonts w:ascii="Arial" w:hAnsi="Arial" w:cs="Arial"/>
          <w:sz w:val="22"/>
          <w:szCs w:val="22"/>
        </w:rPr>
        <w:t xml:space="preserve">uppgick till </w:t>
      </w:r>
      <w:r w:rsidR="00460F02">
        <w:rPr>
          <w:rFonts w:ascii="Arial" w:hAnsi="Arial" w:cs="Arial"/>
          <w:sz w:val="22"/>
          <w:szCs w:val="22"/>
        </w:rPr>
        <w:t>28</w:t>
      </w:r>
      <w:r>
        <w:rPr>
          <w:rFonts w:ascii="Arial" w:hAnsi="Arial" w:cs="Arial"/>
          <w:sz w:val="22"/>
          <w:szCs w:val="22"/>
        </w:rPr>
        <w:t xml:space="preserve"> </w:t>
      </w:r>
      <w:r w:rsidRPr="00915BEC">
        <w:rPr>
          <w:rFonts w:ascii="Arial" w:hAnsi="Arial" w:cs="Arial"/>
          <w:sz w:val="22"/>
          <w:szCs w:val="22"/>
        </w:rPr>
        <w:t>MSEK (</w:t>
      </w:r>
      <w:r w:rsidR="00460F02">
        <w:rPr>
          <w:rFonts w:ascii="Arial" w:hAnsi="Arial" w:cs="Arial"/>
          <w:sz w:val="22"/>
          <w:szCs w:val="22"/>
        </w:rPr>
        <w:t>48</w:t>
      </w:r>
      <w:r w:rsidRPr="00915BEC">
        <w:rPr>
          <w:rFonts w:ascii="Arial" w:hAnsi="Arial" w:cs="Arial"/>
          <w:sz w:val="22"/>
          <w:szCs w:val="22"/>
        </w:rPr>
        <w:t>)</w:t>
      </w:r>
      <w:r>
        <w:rPr>
          <w:rFonts w:ascii="Arial" w:hAnsi="Arial" w:cs="Arial"/>
          <w:sz w:val="22"/>
          <w:szCs w:val="22"/>
        </w:rPr>
        <w:t xml:space="preserve">, en minskning med </w:t>
      </w:r>
      <w:r w:rsidR="00460F02">
        <w:rPr>
          <w:rFonts w:ascii="Arial" w:hAnsi="Arial" w:cs="Arial"/>
          <w:sz w:val="22"/>
          <w:szCs w:val="22"/>
        </w:rPr>
        <w:t>42</w:t>
      </w:r>
      <w:r>
        <w:rPr>
          <w:rFonts w:ascii="Arial" w:hAnsi="Arial" w:cs="Arial"/>
          <w:sz w:val="22"/>
          <w:szCs w:val="22"/>
        </w:rPr>
        <w:t xml:space="preserve"> procent jämfört med motsvarande kvartal föregående år</w:t>
      </w:r>
      <w:r w:rsidRPr="00915BEC">
        <w:rPr>
          <w:rFonts w:ascii="Arial" w:hAnsi="Arial" w:cs="Arial"/>
          <w:sz w:val="22"/>
          <w:szCs w:val="22"/>
        </w:rPr>
        <w:t>.</w:t>
      </w:r>
      <w:r w:rsidR="006C02AE">
        <w:rPr>
          <w:rFonts w:ascii="Arial" w:hAnsi="Arial" w:cs="Arial"/>
          <w:sz w:val="22"/>
          <w:szCs w:val="22"/>
        </w:rPr>
        <w:t xml:space="preserve"> </w:t>
      </w:r>
      <w:r>
        <w:rPr>
          <w:rFonts w:ascii="Arial" w:hAnsi="Arial" w:cs="Arial"/>
          <w:sz w:val="22"/>
          <w:szCs w:val="22"/>
        </w:rPr>
        <w:t xml:space="preserve">Rörelsemarginalen för kvartalet var </w:t>
      </w:r>
      <w:r w:rsidR="00460F02">
        <w:rPr>
          <w:rFonts w:ascii="Arial" w:hAnsi="Arial" w:cs="Arial"/>
          <w:sz w:val="22"/>
          <w:szCs w:val="22"/>
        </w:rPr>
        <w:t>12</w:t>
      </w:r>
      <w:r>
        <w:rPr>
          <w:rFonts w:ascii="Arial" w:hAnsi="Arial" w:cs="Arial"/>
          <w:sz w:val="22"/>
          <w:szCs w:val="22"/>
        </w:rPr>
        <w:t xml:space="preserve"> procent (</w:t>
      </w:r>
      <w:r w:rsidR="00460F02">
        <w:rPr>
          <w:rFonts w:ascii="Arial" w:hAnsi="Arial" w:cs="Arial"/>
          <w:sz w:val="22"/>
          <w:szCs w:val="22"/>
        </w:rPr>
        <w:t>19</w:t>
      </w:r>
      <w:r>
        <w:rPr>
          <w:rFonts w:ascii="Arial" w:hAnsi="Arial" w:cs="Arial"/>
          <w:sz w:val="22"/>
          <w:szCs w:val="22"/>
        </w:rPr>
        <w:t>).</w:t>
      </w:r>
      <w:r w:rsidR="00460F02">
        <w:rPr>
          <w:rFonts w:ascii="Arial" w:hAnsi="Arial" w:cs="Arial"/>
          <w:sz w:val="22"/>
          <w:szCs w:val="22"/>
        </w:rPr>
        <w:t xml:space="preserve"> </w:t>
      </w:r>
      <w:r w:rsidRPr="00E95CF9">
        <w:rPr>
          <w:rFonts w:ascii="Arial" w:hAnsi="Arial" w:cs="Arial"/>
          <w:sz w:val="22"/>
          <w:szCs w:val="22"/>
        </w:rPr>
        <w:t xml:space="preserve">  </w:t>
      </w:r>
    </w:p>
    <w:p w:rsidR="008E3E26" w:rsidRDefault="008E3E26">
      <w:pPr>
        <w:jc w:val="both"/>
        <w:rPr>
          <w:rFonts w:ascii="Arial" w:hAnsi="Arial" w:cs="Arial"/>
          <w:b/>
          <w:noProof/>
          <w:sz w:val="22"/>
          <w:szCs w:val="22"/>
          <w:lang w:eastAsia="sv-SE"/>
        </w:rPr>
      </w:pPr>
    </w:p>
    <w:p w:rsidR="006D2EA4" w:rsidRPr="00761EAF" w:rsidRDefault="006D2EA4">
      <w:pPr>
        <w:jc w:val="both"/>
        <w:rPr>
          <w:rFonts w:ascii="Arial" w:hAnsi="Arial" w:cs="Arial"/>
          <w:i/>
          <w:noProof/>
          <w:sz w:val="22"/>
          <w:szCs w:val="22"/>
          <w:lang w:eastAsia="sv-SE"/>
        </w:rPr>
      </w:pPr>
      <w:r w:rsidRPr="00761EAF">
        <w:rPr>
          <w:rFonts w:ascii="Arial" w:hAnsi="Arial" w:cs="Arial"/>
          <w:i/>
          <w:noProof/>
          <w:sz w:val="22"/>
          <w:szCs w:val="22"/>
          <w:lang w:eastAsia="sv-SE"/>
        </w:rPr>
        <w:t xml:space="preserve">Perioden </w:t>
      </w:r>
      <w:r w:rsidR="00326FCF" w:rsidRPr="00761EAF">
        <w:rPr>
          <w:rFonts w:ascii="Arial" w:hAnsi="Arial" w:cs="Arial"/>
          <w:i/>
          <w:noProof/>
          <w:sz w:val="22"/>
          <w:szCs w:val="22"/>
          <w:lang w:eastAsia="sv-SE"/>
        </w:rPr>
        <w:t xml:space="preserve">januari – </w:t>
      </w:r>
      <w:r w:rsidR="00A57170">
        <w:rPr>
          <w:rFonts w:ascii="Arial" w:hAnsi="Arial" w:cs="Arial"/>
          <w:i/>
          <w:noProof/>
          <w:sz w:val="22"/>
          <w:szCs w:val="22"/>
          <w:lang w:eastAsia="sv-SE"/>
        </w:rPr>
        <w:t xml:space="preserve">september </w:t>
      </w:r>
      <w:r w:rsidR="00326FCF" w:rsidRPr="00761EAF">
        <w:rPr>
          <w:rFonts w:ascii="Arial" w:hAnsi="Arial" w:cs="Arial"/>
          <w:i/>
          <w:noProof/>
          <w:sz w:val="22"/>
          <w:szCs w:val="22"/>
          <w:lang w:eastAsia="sv-SE"/>
        </w:rPr>
        <w:t>2015</w:t>
      </w:r>
    </w:p>
    <w:p w:rsidR="00AA184B" w:rsidRPr="00506B05" w:rsidRDefault="002808E7" w:rsidP="008146DB">
      <w:pPr>
        <w:spacing w:before="120"/>
        <w:jc w:val="both"/>
        <w:rPr>
          <w:rFonts w:ascii="Arial" w:hAnsi="Arial" w:cs="Arial"/>
          <w:sz w:val="22"/>
          <w:szCs w:val="22"/>
        </w:rPr>
      </w:pPr>
      <w:r>
        <w:rPr>
          <w:rFonts w:ascii="Arial" w:hAnsi="Arial" w:cs="Arial"/>
          <w:sz w:val="22"/>
          <w:szCs w:val="22"/>
        </w:rPr>
        <w:t>Koncernens r</w:t>
      </w:r>
      <w:r w:rsidR="00915BEC" w:rsidRPr="00915BEC">
        <w:rPr>
          <w:rFonts w:ascii="Arial" w:hAnsi="Arial" w:cs="Arial"/>
          <w:sz w:val="22"/>
          <w:szCs w:val="22"/>
        </w:rPr>
        <w:t xml:space="preserve">örelseresultat för </w:t>
      </w:r>
      <w:r w:rsidR="008E3E26">
        <w:rPr>
          <w:rFonts w:ascii="Arial" w:hAnsi="Arial" w:cs="Arial"/>
          <w:sz w:val="22"/>
          <w:szCs w:val="22"/>
        </w:rPr>
        <w:t xml:space="preserve">perioden januari – </w:t>
      </w:r>
      <w:r w:rsidR="00A57170">
        <w:rPr>
          <w:rFonts w:ascii="Arial" w:hAnsi="Arial" w:cs="Arial"/>
          <w:sz w:val="22"/>
          <w:szCs w:val="22"/>
        </w:rPr>
        <w:t xml:space="preserve">september </w:t>
      </w:r>
      <w:r w:rsidR="00326FCF">
        <w:rPr>
          <w:rFonts w:ascii="Arial" w:hAnsi="Arial" w:cs="Arial"/>
          <w:sz w:val="22"/>
          <w:szCs w:val="22"/>
        </w:rPr>
        <w:t>2015</w:t>
      </w:r>
      <w:r>
        <w:rPr>
          <w:rFonts w:ascii="Arial" w:hAnsi="Arial" w:cs="Arial"/>
          <w:sz w:val="22"/>
          <w:szCs w:val="22"/>
        </w:rPr>
        <w:t xml:space="preserve"> </w:t>
      </w:r>
      <w:r w:rsidR="00915BEC" w:rsidRPr="00915BEC">
        <w:rPr>
          <w:rFonts w:ascii="Arial" w:hAnsi="Arial" w:cs="Arial"/>
          <w:sz w:val="22"/>
          <w:szCs w:val="22"/>
        </w:rPr>
        <w:t xml:space="preserve">uppgick till </w:t>
      </w:r>
      <w:r w:rsidR="00A57170">
        <w:rPr>
          <w:rFonts w:ascii="Arial" w:hAnsi="Arial" w:cs="Arial"/>
          <w:sz w:val="22"/>
          <w:szCs w:val="22"/>
        </w:rPr>
        <w:t xml:space="preserve">70 </w:t>
      </w:r>
      <w:r w:rsidR="00915BEC" w:rsidRPr="00915BEC">
        <w:rPr>
          <w:rFonts w:ascii="Arial" w:hAnsi="Arial" w:cs="Arial"/>
          <w:sz w:val="22"/>
          <w:szCs w:val="22"/>
        </w:rPr>
        <w:t>MSEK (</w:t>
      </w:r>
      <w:r w:rsidR="00A57170">
        <w:rPr>
          <w:rFonts w:ascii="Arial" w:hAnsi="Arial" w:cs="Arial"/>
          <w:sz w:val="22"/>
          <w:szCs w:val="22"/>
        </w:rPr>
        <w:t>109</w:t>
      </w:r>
      <w:r w:rsidR="00915BEC" w:rsidRPr="00915BEC">
        <w:rPr>
          <w:rFonts w:ascii="Arial" w:hAnsi="Arial" w:cs="Arial"/>
          <w:sz w:val="22"/>
          <w:szCs w:val="22"/>
        </w:rPr>
        <w:t>)</w:t>
      </w:r>
      <w:r>
        <w:rPr>
          <w:rFonts w:ascii="Arial" w:hAnsi="Arial" w:cs="Arial"/>
          <w:sz w:val="22"/>
          <w:szCs w:val="22"/>
        </w:rPr>
        <w:t xml:space="preserve">, en minskning med </w:t>
      </w:r>
      <w:r w:rsidR="00A57170">
        <w:rPr>
          <w:rFonts w:ascii="Arial" w:hAnsi="Arial" w:cs="Arial"/>
          <w:sz w:val="22"/>
          <w:szCs w:val="22"/>
        </w:rPr>
        <w:t>36</w:t>
      </w:r>
      <w:r w:rsidR="00326FCF">
        <w:rPr>
          <w:rFonts w:ascii="Arial" w:hAnsi="Arial" w:cs="Arial"/>
          <w:sz w:val="22"/>
          <w:szCs w:val="22"/>
        </w:rPr>
        <w:t xml:space="preserve"> </w:t>
      </w:r>
      <w:r>
        <w:rPr>
          <w:rFonts w:ascii="Arial" w:hAnsi="Arial" w:cs="Arial"/>
          <w:sz w:val="22"/>
          <w:szCs w:val="22"/>
        </w:rPr>
        <w:t xml:space="preserve">procent jämfört med motsvarande </w:t>
      </w:r>
      <w:r w:rsidR="008E3E26">
        <w:rPr>
          <w:rFonts w:ascii="Arial" w:hAnsi="Arial" w:cs="Arial"/>
          <w:sz w:val="22"/>
          <w:szCs w:val="22"/>
        </w:rPr>
        <w:t xml:space="preserve">period </w:t>
      </w:r>
      <w:r>
        <w:rPr>
          <w:rFonts w:ascii="Arial" w:hAnsi="Arial" w:cs="Arial"/>
          <w:sz w:val="22"/>
          <w:szCs w:val="22"/>
        </w:rPr>
        <w:t>föregående år</w:t>
      </w:r>
      <w:r w:rsidR="00915BEC" w:rsidRPr="00915BEC">
        <w:rPr>
          <w:rFonts w:ascii="Arial" w:hAnsi="Arial" w:cs="Arial"/>
          <w:sz w:val="22"/>
          <w:szCs w:val="22"/>
        </w:rPr>
        <w:t xml:space="preserve">. </w:t>
      </w:r>
      <w:r>
        <w:rPr>
          <w:rFonts w:ascii="Arial" w:hAnsi="Arial" w:cs="Arial"/>
          <w:sz w:val="22"/>
          <w:szCs w:val="22"/>
        </w:rPr>
        <w:t xml:space="preserve">Rörelsemarginalen för </w:t>
      </w:r>
      <w:r w:rsidR="008E3E26">
        <w:rPr>
          <w:rFonts w:ascii="Arial" w:hAnsi="Arial" w:cs="Arial"/>
          <w:sz w:val="22"/>
          <w:szCs w:val="22"/>
        </w:rPr>
        <w:t xml:space="preserve">perioden </w:t>
      </w:r>
      <w:r>
        <w:rPr>
          <w:rFonts w:ascii="Arial" w:hAnsi="Arial" w:cs="Arial"/>
          <w:sz w:val="22"/>
          <w:szCs w:val="22"/>
        </w:rPr>
        <w:t>var</w:t>
      </w:r>
      <w:r w:rsidR="006B015B">
        <w:rPr>
          <w:rFonts w:ascii="Arial" w:hAnsi="Arial" w:cs="Arial"/>
          <w:sz w:val="22"/>
          <w:szCs w:val="22"/>
        </w:rPr>
        <w:t xml:space="preserve"> </w:t>
      </w:r>
      <w:r w:rsidR="00A57170">
        <w:rPr>
          <w:rFonts w:ascii="Arial" w:hAnsi="Arial" w:cs="Arial"/>
          <w:sz w:val="22"/>
          <w:szCs w:val="22"/>
        </w:rPr>
        <w:t>10</w:t>
      </w:r>
      <w:r w:rsidR="008E3E26">
        <w:rPr>
          <w:rFonts w:ascii="Arial" w:hAnsi="Arial" w:cs="Arial"/>
          <w:sz w:val="22"/>
          <w:szCs w:val="22"/>
        </w:rPr>
        <w:t xml:space="preserve"> </w:t>
      </w:r>
      <w:r>
        <w:rPr>
          <w:rFonts w:ascii="Arial" w:hAnsi="Arial" w:cs="Arial"/>
          <w:sz w:val="22"/>
          <w:szCs w:val="22"/>
        </w:rPr>
        <w:t>procent (</w:t>
      </w:r>
      <w:r w:rsidR="00A57170">
        <w:rPr>
          <w:rFonts w:ascii="Arial" w:hAnsi="Arial" w:cs="Arial"/>
          <w:sz w:val="22"/>
          <w:szCs w:val="22"/>
        </w:rPr>
        <w:t>14</w:t>
      </w:r>
      <w:r>
        <w:rPr>
          <w:rFonts w:ascii="Arial" w:hAnsi="Arial" w:cs="Arial"/>
          <w:sz w:val="22"/>
          <w:szCs w:val="22"/>
        </w:rPr>
        <w:t>).</w:t>
      </w:r>
      <w:r w:rsidR="00E95CF9" w:rsidRPr="00E95CF9">
        <w:rPr>
          <w:rFonts w:ascii="Arial" w:hAnsi="Arial" w:cs="Arial"/>
          <w:sz w:val="22"/>
          <w:szCs w:val="22"/>
        </w:rPr>
        <w:t xml:space="preserve"> </w:t>
      </w:r>
    </w:p>
    <w:p w:rsidR="00557107" w:rsidRPr="00761EAF" w:rsidRDefault="00557107" w:rsidP="008146DB">
      <w:pPr>
        <w:pStyle w:val="Heading2"/>
        <w:spacing w:before="360"/>
        <w:rPr>
          <w:rFonts w:ascii="Arial" w:hAnsi="Arial" w:cs="Arial"/>
          <w:b/>
        </w:rPr>
      </w:pPr>
      <w:r w:rsidRPr="00761EAF">
        <w:rPr>
          <w:rFonts w:ascii="Arial" w:hAnsi="Arial" w:cs="Arial"/>
          <w:b/>
        </w:rPr>
        <w:t>Periodens resultat</w:t>
      </w:r>
    </w:p>
    <w:p w:rsidR="00BC09E8" w:rsidRPr="00761EAF" w:rsidRDefault="00BC09E8" w:rsidP="00BC09E8">
      <w:pPr>
        <w:spacing w:before="240"/>
        <w:jc w:val="both"/>
        <w:rPr>
          <w:rFonts w:ascii="Arial" w:hAnsi="Arial" w:cs="Arial"/>
          <w:i/>
          <w:noProof/>
          <w:sz w:val="22"/>
          <w:szCs w:val="22"/>
          <w:lang w:eastAsia="sv-SE"/>
        </w:rPr>
      </w:pPr>
      <w:r w:rsidRPr="00761EAF">
        <w:rPr>
          <w:rFonts w:ascii="Arial" w:hAnsi="Arial" w:cs="Arial"/>
          <w:i/>
          <w:noProof/>
          <w:sz w:val="22"/>
          <w:szCs w:val="22"/>
          <w:lang w:eastAsia="sv-SE"/>
        </w:rPr>
        <w:t xml:space="preserve">Kvartalet </w:t>
      </w:r>
      <w:r w:rsidR="00C440E8">
        <w:rPr>
          <w:rFonts w:ascii="Arial" w:hAnsi="Arial" w:cs="Arial"/>
          <w:i/>
          <w:noProof/>
          <w:sz w:val="22"/>
          <w:szCs w:val="22"/>
          <w:lang w:eastAsia="sv-SE"/>
        </w:rPr>
        <w:t>juli</w:t>
      </w:r>
      <w:r w:rsidRPr="00761EAF">
        <w:rPr>
          <w:rFonts w:ascii="Arial" w:hAnsi="Arial" w:cs="Arial"/>
          <w:i/>
          <w:noProof/>
          <w:sz w:val="22"/>
          <w:szCs w:val="22"/>
          <w:lang w:eastAsia="sv-SE"/>
        </w:rPr>
        <w:t xml:space="preserve"> – </w:t>
      </w:r>
      <w:r w:rsidR="00C440E8">
        <w:rPr>
          <w:rFonts w:ascii="Arial" w:hAnsi="Arial" w:cs="Arial"/>
          <w:i/>
          <w:noProof/>
          <w:sz w:val="22"/>
          <w:szCs w:val="22"/>
          <w:lang w:eastAsia="sv-SE"/>
        </w:rPr>
        <w:t xml:space="preserve">september </w:t>
      </w:r>
      <w:r w:rsidRPr="00761EAF">
        <w:rPr>
          <w:rFonts w:ascii="Arial" w:hAnsi="Arial" w:cs="Arial"/>
          <w:i/>
          <w:noProof/>
          <w:sz w:val="22"/>
          <w:szCs w:val="22"/>
          <w:lang w:eastAsia="sv-SE"/>
        </w:rPr>
        <w:t>2015</w:t>
      </w:r>
    </w:p>
    <w:p w:rsidR="00BC09E8" w:rsidRPr="00F74784" w:rsidRDefault="00BC09E8" w:rsidP="00BC09E8">
      <w:pPr>
        <w:spacing w:before="120"/>
        <w:jc w:val="both"/>
        <w:rPr>
          <w:rFonts w:ascii="Arial" w:hAnsi="Arial" w:cs="Arial"/>
          <w:sz w:val="22"/>
          <w:szCs w:val="22"/>
        </w:rPr>
      </w:pPr>
      <w:r>
        <w:rPr>
          <w:rFonts w:ascii="Arial" w:hAnsi="Arial" w:cs="Arial"/>
          <w:sz w:val="22"/>
          <w:szCs w:val="22"/>
        </w:rPr>
        <w:t>Koncernens f</w:t>
      </w:r>
      <w:r w:rsidRPr="00F74784">
        <w:rPr>
          <w:rFonts w:ascii="Arial" w:hAnsi="Arial" w:cs="Arial"/>
          <w:sz w:val="22"/>
          <w:szCs w:val="22"/>
        </w:rPr>
        <w:t>inansiella poster</w:t>
      </w:r>
      <w:r w:rsidR="00776666">
        <w:rPr>
          <w:rFonts w:ascii="Arial" w:hAnsi="Arial" w:cs="Arial"/>
          <w:sz w:val="22"/>
          <w:szCs w:val="22"/>
        </w:rPr>
        <w:t>, inklusive resultatandel i intresseföretag,</w:t>
      </w:r>
      <w:r w:rsidRPr="00F74784">
        <w:rPr>
          <w:rFonts w:ascii="Arial" w:hAnsi="Arial" w:cs="Arial"/>
          <w:sz w:val="22"/>
          <w:szCs w:val="22"/>
        </w:rPr>
        <w:t xml:space="preserve"> </w:t>
      </w:r>
      <w:r>
        <w:rPr>
          <w:rFonts w:ascii="Arial" w:hAnsi="Arial" w:cs="Arial"/>
          <w:sz w:val="22"/>
          <w:szCs w:val="22"/>
        </w:rPr>
        <w:t xml:space="preserve">för </w:t>
      </w:r>
      <w:r w:rsidR="00C440E8">
        <w:rPr>
          <w:rFonts w:ascii="Arial" w:hAnsi="Arial" w:cs="Arial"/>
          <w:sz w:val="22"/>
          <w:szCs w:val="22"/>
        </w:rPr>
        <w:t xml:space="preserve">tredje </w:t>
      </w:r>
      <w:r>
        <w:rPr>
          <w:rFonts w:ascii="Arial" w:hAnsi="Arial" w:cs="Arial"/>
          <w:sz w:val="22"/>
          <w:szCs w:val="22"/>
        </w:rPr>
        <w:t xml:space="preserve">kvartalet 2015 uppgick till -1 </w:t>
      </w:r>
      <w:r w:rsidRPr="00F74784">
        <w:rPr>
          <w:rFonts w:ascii="Arial" w:hAnsi="Arial" w:cs="Arial"/>
          <w:sz w:val="22"/>
          <w:szCs w:val="22"/>
        </w:rPr>
        <w:t>MSEK (</w:t>
      </w:r>
      <w:r w:rsidR="00776666">
        <w:rPr>
          <w:rFonts w:ascii="Arial" w:hAnsi="Arial" w:cs="Arial"/>
          <w:sz w:val="22"/>
          <w:szCs w:val="22"/>
        </w:rPr>
        <w:t>0</w:t>
      </w:r>
      <w:r w:rsidRPr="00F74784">
        <w:rPr>
          <w:rFonts w:ascii="Arial" w:hAnsi="Arial" w:cs="Arial"/>
          <w:sz w:val="22"/>
          <w:szCs w:val="22"/>
        </w:rPr>
        <w:t>), och</w:t>
      </w:r>
      <w:r w:rsidR="0088569C">
        <w:rPr>
          <w:rFonts w:ascii="Arial" w:hAnsi="Arial" w:cs="Arial"/>
          <w:sz w:val="22"/>
          <w:szCs w:val="22"/>
        </w:rPr>
        <w:t xml:space="preserve"> </w:t>
      </w:r>
      <w:r w:rsidRPr="00F74784">
        <w:rPr>
          <w:rFonts w:ascii="Arial" w:hAnsi="Arial" w:cs="Arial"/>
          <w:sz w:val="22"/>
          <w:szCs w:val="22"/>
        </w:rPr>
        <w:t>inkomstskatt</w:t>
      </w:r>
      <w:r w:rsidR="0088569C">
        <w:rPr>
          <w:rFonts w:ascii="Arial" w:hAnsi="Arial" w:cs="Arial"/>
          <w:sz w:val="22"/>
          <w:szCs w:val="22"/>
        </w:rPr>
        <w:t xml:space="preserve">en för kvartalet var </w:t>
      </w:r>
      <w:r>
        <w:rPr>
          <w:rFonts w:ascii="Arial" w:hAnsi="Arial" w:cs="Arial"/>
          <w:sz w:val="22"/>
          <w:szCs w:val="22"/>
        </w:rPr>
        <w:t>-</w:t>
      </w:r>
      <w:r w:rsidR="00C440E8">
        <w:rPr>
          <w:rFonts w:ascii="Arial" w:hAnsi="Arial" w:cs="Arial"/>
          <w:sz w:val="22"/>
          <w:szCs w:val="22"/>
        </w:rPr>
        <w:t>6</w:t>
      </w:r>
      <w:r>
        <w:rPr>
          <w:rFonts w:ascii="Arial" w:hAnsi="Arial" w:cs="Arial"/>
          <w:sz w:val="22"/>
          <w:szCs w:val="22"/>
        </w:rPr>
        <w:t xml:space="preserve"> </w:t>
      </w:r>
      <w:r w:rsidRPr="00F74784">
        <w:rPr>
          <w:rFonts w:ascii="Arial" w:hAnsi="Arial" w:cs="Arial"/>
          <w:sz w:val="22"/>
          <w:szCs w:val="22"/>
        </w:rPr>
        <w:t>MSEK</w:t>
      </w:r>
      <w:r>
        <w:rPr>
          <w:rFonts w:ascii="Arial" w:hAnsi="Arial" w:cs="Arial"/>
          <w:sz w:val="22"/>
          <w:szCs w:val="22"/>
        </w:rPr>
        <w:t xml:space="preserve"> </w:t>
      </w:r>
      <w:r w:rsidRPr="00F74784">
        <w:rPr>
          <w:rFonts w:ascii="Arial" w:hAnsi="Arial" w:cs="Arial"/>
          <w:sz w:val="22"/>
          <w:szCs w:val="22"/>
        </w:rPr>
        <w:t>(</w:t>
      </w:r>
      <w:r>
        <w:rPr>
          <w:rFonts w:ascii="Arial" w:hAnsi="Arial" w:cs="Arial"/>
          <w:sz w:val="22"/>
          <w:szCs w:val="22"/>
        </w:rPr>
        <w:t>-</w:t>
      </w:r>
      <w:r w:rsidR="00C440E8">
        <w:rPr>
          <w:rFonts w:ascii="Arial" w:hAnsi="Arial" w:cs="Arial"/>
          <w:sz w:val="22"/>
          <w:szCs w:val="22"/>
        </w:rPr>
        <w:t>11</w:t>
      </w:r>
      <w:r w:rsidRPr="00F74784">
        <w:rPr>
          <w:rFonts w:ascii="Arial" w:hAnsi="Arial" w:cs="Arial"/>
          <w:sz w:val="22"/>
          <w:szCs w:val="22"/>
        </w:rPr>
        <w:t>)</w:t>
      </w:r>
      <w:r w:rsidR="0088569C">
        <w:rPr>
          <w:rFonts w:ascii="Arial" w:hAnsi="Arial" w:cs="Arial"/>
          <w:sz w:val="22"/>
          <w:szCs w:val="22"/>
        </w:rPr>
        <w:t>.</w:t>
      </w:r>
      <w:r>
        <w:rPr>
          <w:rFonts w:ascii="Arial" w:hAnsi="Arial" w:cs="Arial"/>
          <w:sz w:val="22"/>
          <w:szCs w:val="22"/>
        </w:rPr>
        <w:t xml:space="preserve"> </w:t>
      </w:r>
    </w:p>
    <w:p w:rsidR="00BC09E8" w:rsidRDefault="00BC09E8" w:rsidP="00BC09E8">
      <w:pPr>
        <w:spacing w:before="120"/>
        <w:jc w:val="both"/>
        <w:rPr>
          <w:rFonts w:ascii="Arial" w:hAnsi="Arial" w:cs="Arial"/>
          <w:sz w:val="22"/>
          <w:szCs w:val="22"/>
        </w:rPr>
      </w:pPr>
      <w:r>
        <w:rPr>
          <w:rFonts w:ascii="Arial" w:hAnsi="Arial" w:cs="Arial"/>
          <w:sz w:val="22"/>
          <w:szCs w:val="22"/>
        </w:rPr>
        <w:t xml:space="preserve">Periodens </w:t>
      </w:r>
      <w:r w:rsidRPr="00F74784">
        <w:rPr>
          <w:rFonts w:ascii="Arial" w:hAnsi="Arial" w:cs="Arial"/>
          <w:sz w:val="22"/>
          <w:szCs w:val="22"/>
        </w:rPr>
        <w:t xml:space="preserve">resultat för </w:t>
      </w:r>
      <w:r>
        <w:rPr>
          <w:rFonts w:ascii="Arial" w:hAnsi="Arial" w:cs="Arial"/>
          <w:sz w:val="22"/>
          <w:szCs w:val="22"/>
        </w:rPr>
        <w:t xml:space="preserve">koncernen för </w:t>
      </w:r>
      <w:r w:rsidR="00C440E8">
        <w:rPr>
          <w:rFonts w:ascii="Arial" w:hAnsi="Arial" w:cs="Arial"/>
          <w:sz w:val="22"/>
          <w:szCs w:val="22"/>
        </w:rPr>
        <w:t xml:space="preserve">tredje </w:t>
      </w:r>
      <w:r w:rsidRPr="00F74784">
        <w:rPr>
          <w:rFonts w:ascii="Arial" w:hAnsi="Arial" w:cs="Arial"/>
          <w:sz w:val="22"/>
          <w:szCs w:val="22"/>
        </w:rPr>
        <w:t xml:space="preserve">kvartalet </w:t>
      </w:r>
      <w:r>
        <w:rPr>
          <w:rFonts w:ascii="Arial" w:hAnsi="Arial" w:cs="Arial"/>
          <w:sz w:val="22"/>
          <w:szCs w:val="22"/>
        </w:rPr>
        <w:t xml:space="preserve">2015 </w:t>
      </w:r>
      <w:r w:rsidRPr="00F74784">
        <w:rPr>
          <w:rFonts w:ascii="Arial" w:hAnsi="Arial" w:cs="Arial"/>
          <w:sz w:val="22"/>
          <w:szCs w:val="22"/>
        </w:rPr>
        <w:t>uppgick</w:t>
      </w:r>
      <w:r>
        <w:rPr>
          <w:rFonts w:ascii="Arial" w:hAnsi="Arial" w:cs="Arial"/>
          <w:sz w:val="22"/>
          <w:szCs w:val="22"/>
        </w:rPr>
        <w:t xml:space="preserve"> till</w:t>
      </w:r>
      <w:r w:rsidRPr="00F74784">
        <w:rPr>
          <w:rFonts w:ascii="Arial" w:hAnsi="Arial" w:cs="Arial"/>
          <w:sz w:val="22"/>
          <w:szCs w:val="22"/>
        </w:rPr>
        <w:t xml:space="preserve"> </w:t>
      </w:r>
      <w:r w:rsidR="00EA7461">
        <w:rPr>
          <w:rFonts w:ascii="Arial" w:hAnsi="Arial" w:cs="Arial"/>
          <w:sz w:val="22"/>
          <w:szCs w:val="22"/>
        </w:rPr>
        <w:t>21</w:t>
      </w:r>
      <w:r w:rsidR="00C440E8">
        <w:rPr>
          <w:rFonts w:ascii="Arial" w:hAnsi="Arial" w:cs="Arial"/>
          <w:sz w:val="22"/>
          <w:szCs w:val="22"/>
        </w:rPr>
        <w:t xml:space="preserve"> </w:t>
      </w:r>
      <w:r w:rsidRPr="00F74784">
        <w:rPr>
          <w:rFonts w:ascii="Arial" w:hAnsi="Arial" w:cs="Arial"/>
          <w:sz w:val="22"/>
          <w:szCs w:val="22"/>
        </w:rPr>
        <w:t>MSEK (</w:t>
      </w:r>
      <w:r w:rsidR="00C440E8">
        <w:rPr>
          <w:rFonts w:ascii="Arial" w:hAnsi="Arial" w:cs="Arial"/>
          <w:sz w:val="22"/>
          <w:szCs w:val="22"/>
        </w:rPr>
        <w:t>37</w:t>
      </w:r>
      <w:r>
        <w:rPr>
          <w:rFonts w:ascii="Arial" w:hAnsi="Arial" w:cs="Arial"/>
          <w:sz w:val="22"/>
          <w:szCs w:val="22"/>
        </w:rPr>
        <w:t>),</w:t>
      </w:r>
      <w:r w:rsidRPr="00F74784">
        <w:rPr>
          <w:rFonts w:ascii="Arial" w:hAnsi="Arial" w:cs="Arial"/>
          <w:sz w:val="22"/>
          <w:szCs w:val="22"/>
        </w:rPr>
        <w:t xml:space="preserve"> motsvara</w:t>
      </w:r>
      <w:r>
        <w:rPr>
          <w:rFonts w:ascii="Arial" w:hAnsi="Arial" w:cs="Arial"/>
          <w:sz w:val="22"/>
          <w:szCs w:val="22"/>
        </w:rPr>
        <w:t>nde</w:t>
      </w:r>
      <w:r w:rsidRPr="00F74784">
        <w:rPr>
          <w:rFonts w:ascii="Arial" w:hAnsi="Arial" w:cs="Arial"/>
          <w:sz w:val="22"/>
          <w:szCs w:val="22"/>
        </w:rPr>
        <w:t xml:space="preserve"> ett resultat per aktie om </w:t>
      </w:r>
      <w:r w:rsidR="00C440E8">
        <w:rPr>
          <w:rFonts w:ascii="Arial" w:hAnsi="Arial" w:cs="Arial"/>
          <w:sz w:val="22"/>
          <w:szCs w:val="22"/>
        </w:rPr>
        <w:t>0,11</w:t>
      </w:r>
      <w:r>
        <w:rPr>
          <w:rFonts w:ascii="Arial" w:hAnsi="Arial" w:cs="Arial"/>
          <w:sz w:val="22"/>
          <w:szCs w:val="22"/>
        </w:rPr>
        <w:t xml:space="preserve"> </w:t>
      </w:r>
      <w:r w:rsidRPr="00F74784">
        <w:rPr>
          <w:rFonts w:ascii="Arial" w:hAnsi="Arial" w:cs="Arial"/>
          <w:sz w:val="22"/>
          <w:szCs w:val="22"/>
        </w:rPr>
        <w:t>MSEK (</w:t>
      </w:r>
      <w:r w:rsidR="00C440E8">
        <w:rPr>
          <w:rFonts w:ascii="Arial" w:hAnsi="Arial" w:cs="Arial"/>
          <w:sz w:val="22"/>
          <w:szCs w:val="22"/>
        </w:rPr>
        <w:t>0,19</w:t>
      </w:r>
      <w:r w:rsidRPr="00F74784">
        <w:rPr>
          <w:rFonts w:ascii="Arial" w:hAnsi="Arial" w:cs="Arial"/>
          <w:sz w:val="22"/>
          <w:szCs w:val="22"/>
        </w:rPr>
        <w:t>).</w:t>
      </w:r>
      <w:r>
        <w:rPr>
          <w:rFonts w:ascii="Arial" w:hAnsi="Arial" w:cs="Arial"/>
          <w:sz w:val="22"/>
          <w:szCs w:val="22"/>
        </w:rPr>
        <w:t xml:space="preserve"> </w:t>
      </w:r>
    </w:p>
    <w:p w:rsidR="004E5543" w:rsidRPr="00761EAF" w:rsidRDefault="004E5543" w:rsidP="008146DB">
      <w:pPr>
        <w:spacing w:before="240"/>
        <w:jc w:val="both"/>
        <w:rPr>
          <w:rFonts w:ascii="Arial" w:hAnsi="Arial" w:cs="Arial"/>
          <w:i/>
          <w:noProof/>
          <w:sz w:val="22"/>
          <w:szCs w:val="22"/>
          <w:lang w:eastAsia="sv-SE"/>
        </w:rPr>
      </w:pPr>
      <w:r w:rsidRPr="00761EAF">
        <w:rPr>
          <w:rFonts w:ascii="Arial" w:hAnsi="Arial" w:cs="Arial"/>
          <w:i/>
          <w:noProof/>
          <w:sz w:val="22"/>
          <w:szCs w:val="22"/>
          <w:lang w:eastAsia="sv-SE"/>
        </w:rPr>
        <w:t xml:space="preserve">Perioden </w:t>
      </w:r>
      <w:r w:rsidR="005576DE" w:rsidRPr="00761EAF">
        <w:rPr>
          <w:rFonts w:ascii="Arial" w:hAnsi="Arial" w:cs="Arial"/>
          <w:i/>
          <w:noProof/>
          <w:sz w:val="22"/>
          <w:szCs w:val="22"/>
          <w:lang w:eastAsia="sv-SE"/>
        </w:rPr>
        <w:t xml:space="preserve">januari – </w:t>
      </w:r>
      <w:r w:rsidR="00C440E8">
        <w:rPr>
          <w:rFonts w:ascii="Arial" w:hAnsi="Arial" w:cs="Arial"/>
          <w:i/>
          <w:noProof/>
          <w:sz w:val="22"/>
          <w:szCs w:val="22"/>
          <w:lang w:eastAsia="sv-SE"/>
        </w:rPr>
        <w:t>september</w:t>
      </w:r>
      <w:r w:rsidR="008E3E26" w:rsidRPr="00761EAF">
        <w:rPr>
          <w:rFonts w:ascii="Arial" w:hAnsi="Arial" w:cs="Arial"/>
          <w:i/>
          <w:noProof/>
          <w:sz w:val="22"/>
          <w:szCs w:val="22"/>
          <w:lang w:eastAsia="sv-SE"/>
        </w:rPr>
        <w:t xml:space="preserve"> </w:t>
      </w:r>
      <w:r w:rsidR="005576DE" w:rsidRPr="00761EAF">
        <w:rPr>
          <w:rFonts w:ascii="Arial" w:hAnsi="Arial" w:cs="Arial"/>
          <w:i/>
          <w:noProof/>
          <w:sz w:val="22"/>
          <w:szCs w:val="22"/>
          <w:lang w:eastAsia="sv-SE"/>
        </w:rPr>
        <w:t>2015</w:t>
      </w:r>
    </w:p>
    <w:p w:rsidR="004E5543" w:rsidRPr="00F74784" w:rsidRDefault="004E5543" w:rsidP="008146DB">
      <w:pPr>
        <w:spacing w:before="120"/>
        <w:jc w:val="both"/>
        <w:rPr>
          <w:rFonts w:ascii="Arial" w:hAnsi="Arial" w:cs="Arial"/>
          <w:sz w:val="22"/>
          <w:szCs w:val="22"/>
        </w:rPr>
      </w:pPr>
      <w:r>
        <w:rPr>
          <w:rFonts w:ascii="Arial" w:hAnsi="Arial" w:cs="Arial"/>
          <w:sz w:val="22"/>
          <w:szCs w:val="22"/>
        </w:rPr>
        <w:t>Koncernens f</w:t>
      </w:r>
      <w:r w:rsidRPr="00F74784">
        <w:rPr>
          <w:rFonts w:ascii="Arial" w:hAnsi="Arial" w:cs="Arial"/>
          <w:sz w:val="22"/>
          <w:szCs w:val="22"/>
        </w:rPr>
        <w:t>inansiella poster</w:t>
      </w:r>
      <w:r w:rsidR="00776666">
        <w:rPr>
          <w:rFonts w:ascii="Arial" w:hAnsi="Arial" w:cs="Arial"/>
          <w:sz w:val="22"/>
          <w:szCs w:val="22"/>
        </w:rPr>
        <w:t>, inklusive resultatandel i intresseföretag,</w:t>
      </w:r>
      <w:r w:rsidRPr="00F74784">
        <w:rPr>
          <w:rFonts w:ascii="Arial" w:hAnsi="Arial" w:cs="Arial"/>
          <w:sz w:val="22"/>
          <w:szCs w:val="22"/>
        </w:rPr>
        <w:t xml:space="preserve"> </w:t>
      </w:r>
      <w:r>
        <w:rPr>
          <w:rFonts w:ascii="Arial" w:hAnsi="Arial" w:cs="Arial"/>
          <w:sz w:val="22"/>
          <w:szCs w:val="22"/>
        </w:rPr>
        <w:t xml:space="preserve">för </w:t>
      </w:r>
      <w:r w:rsidR="008E3E26">
        <w:rPr>
          <w:rFonts w:ascii="Arial" w:hAnsi="Arial" w:cs="Arial"/>
          <w:sz w:val="22"/>
          <w:szCs w:val="22"/>
        </w:rPr>
        <w:t xml:space="preserve">perioden januari </w:t>
      </w:r>
      <w:r w:rsidR="0008175E">
        <w:rPr>
          <w:rFonts w:ascii="Arial" w:hAnsi="Arial" w:cs="Arial"/>
          <w:sz w:val="22"/>
          <w:szCs w:val="22"/>
        </w:rPr>
        <w:t>–</w:t>
      </w:r>
      <w:r w:rsidR="008E3E26">
        <w:rPr>
          <w:rFonts w:ascii="Arial" w:hAnsi="Arial" w:cs="Arial"/>
          <w:sz w:val="22"/>
          <w:szCs w:val="22"/>
        </w:rPr>
        <w:t xml:space="preserve"> </w:t>
      </w:r>
      <w:r w:rsidR="00C440E8">
        <w:rPr>
          <w:rFonts w:ascii="Arial" w:hAnsi="Arial" w:cs="Arial"/>
          <w:sz w:val="22"/>
          <w:szCs w:val="22"/>
        </w:rPr>
        <w:t>september</w:t>
      </w:r>
      <w:r w:rsidR="0008175E">
        <w:rPr>
          <w:rFonts w:ascii="Arial" w:hAnsi="Arial" w:cs="Arial"/>
          <w:sz w:val="22"/>
          <w:szCs w:val="22"/>
        </w:rPr>
        <w:t xml:space="preserve"> </w:t>
      </w:r>
      <w:r w:rsidR="005576DE">
        <w:rPr>
          <w:rFonts w:ascii="Arial" w:hAnsi="Arial" w:cs="Arial"/>
          <w:sz w:val="22"/>
          <w:szCs w:val="22"/>
        </w:rPr>
        <w:t xml:space="preserve">2015 </w:t>
      </w:r>
      <w:r w:rsidR="00720258">
        <w:rPr>
          <w:rFonts w:ascii="Arial" w:hAnsi="Arial" w:cs="Arial"/>
          <w:sz w:val="22"/>
          <w:szCs w:val="22"/>
        </w:rPr>
        <w:t xml:space="preserve">uppgick till </w:t>
      </w:r>
      <w:r w:rsidR="00776666">
        <w:rPr>
          <w:rFonts w:ascii="Arial" w:hAnsi="Arial" w:cs="Arial"/>
          <w:sz w:val="22"/>
          <w:szCs w:val="22"/>
        </w:rPr>
        <w:t>-1</w:t>
      </w:r>
      <w:r w:rsidR="005576DE">
        <w:rPr>
          <w:rFonts w:ascii="Arial" w:hAnsi="Arial" w:cs="Arial"/>
          <w:sz w:val="22"/>
          <w:szCs w:val="22"/>
        </w:rPr>
        <w:t xml:space="preserve"> </w:t>
      </w:r>
      <w:r w:rsidRPr="00F74784">
        <w:rPr>
          <w:rFonts w:ascii="Arial" w:hAnsi="Arial" w:cs="Arial"/>
          <w:sz w:val="22"/>
          <w:szCs w:val="22"/>
        </w:rPr>
        <w:t>MSEK (</w:t>
      </w:r>
      <w:r w:rsidR="00EA7461">
        <w:rPr>
          <w:rFonts w:ascii="Arial" w:hAnsi="Arial" w:cs="Arial"/>
          <w:sz w:val="22"/>
          <w:szCs w:val="22"/>
        </w:rPr>
        <w:t>-1</w:t>
      </w:r>
      <w:r w:rsidRPr="00F74784">
        <w:rPr>
          <w:rFonts w:ascii="Arial" w:hAnsi="Arial" w:cs="Arial"/>
          <w:sz w:val="22"/>
          <w:szCs w:val="22"/>
        </w:rPr>
        <w:t>),</w:t>
      </w:r>
      <w:r w:rsidR="0088569C">
        <w:rPr>
          <w:rFonts w:ascii="Arial" w:hAnsi="Arial" w:cs="Arial"/>
          <w:sz w:val="22"/>
          <w:szCs w:val="22"/>
        </w:rPr>
        <w:t xml:space="preserve"> och in</w:t>
      </w:r>
      <w:r w:rsidRPr="00F74784">
        <w:rPr>
          <w:rFonts w:ascii="Arial" w:hAnsi="Arial" w:cs="Arial"/>
          <w:sz w:val="22"/>
          <w:szCs w:val="22"/>
        </w:rPr>
        <w:t>komstskatt</w:t>
      </w:r>
      <w:r w:rsidR="0088569C">
        <w:rPr>
          <w:rFonts w:ascii="Arial" w:hAnsi="Arial" w:cs="Arial"/>
          <w:sz w:val="22"/>
          <w:szCs w:val="22"/>
        </w:rPr>
        <w:t>en</w:t>
      </w:r>
      <w:r w:rsidRPr="00F74784">
        <w:rPr>
          <w:rFonts w:ascii="Arial" w:hAnsi="Arial" w:cs="Arial"/>
          <w:sz w:val="22"/>
          <w:szCs w:val="22"/>
        </w:rPr>
        <w:t xml:space="preserve"> för </w:t>
      </w:r>
      <w:r w:rsidR="0008175E">
        <w:rPr>
          <w:rFonts w:ascii="Arial" w:hAnsi="Arial" w:cs="Arial"/>
          <w:sz w:val="22"/>
          <w:szCs w:val="22"/>
        </w:rPr>
        <w:t xml:space="preserve">perioden </w:t>
      </w:r>
      <w:r w:rsidR="00CB3F10">
        <w:rPr>
          <w:rFonts w:ascii="Arial" w:hAnsi="Arial" w:cs="Arial"/>
          <w:sz w:val="22"/>
          <w:szCs w:val="22"/>
        </w:rPr>
        <w:t xml:space="preserve">var </w:t>
      </w:r>
      <w:r w:rsidR="005576DE">
        <w:rPr>
          <w:rFonts w:ascii="Arial" w:hAnsi="Arial" w:cs="Arial"/>
          <w:sz w:val="22"/>
          <w:szCs w:val="22"/>
        </w:rPr>
        <w:t>-</w:t>
      </w:r>
      <w:r w:rsidR="00C440E8">
        <w:rPr>
          <w:rFonts w:ascii="Arial" w:hAnsi="Arial" w:cs="Arial"/>
          <w:sz w:val="22"/>
          <w:szCs w:val="22"/>
        </w:rPr>
        <w:t>14</w:t>
      </w:r>
      <w:r w:rsidR="00C77E05">
        <w:rPr>
          <w:rFonts w:ascii="Arial" w:hAnsi="Arial" w:cs="Arial"/>
          <w:sz w:val="22"/>
          <w:szCs w:val="22"/>
        </w:rPr>
        <w:t xml:space="preserve"> </w:t>
      </w:r>
      <w:r w:rsidRPr="00F74784">
        <w:rPr>
          <w:rFonts w:ascii="Arial" w:hAnsi="Arial" w:cs="Arial"/>
          <w:sz w:val="22"/>
          <w:szCs w:val="22"/>
        </w:rPr>
        <w:t>MSEK</w:t>
      </w:r>
      <w:r w:rsidR="00C268F6">
        <w:rPr>
          <w:rFonts w:ascii="Arial" w:hAnsi="Arial" w:cs="Arial"/>
          <w:sz w:val="22"/>
          <w:szCs w:val="22"/>
        </w:rPr>
        <w:t xml:space="preserve"> </w:t>
      </w:r>
      <w:r w:rsidRPr="00F74784">
        <w:rPr>
          <w:rFonts w:ascii="Arial" w:hAnsi="Arial" w:cs="Arial"/>
          <w:sz w:val="22"/>
          <w:szCs w:val="22"/>
        </w:rPr>
        <w:t>(</w:t>
      </w:r>
      <w:r w:rsidR="005576DE">
        <w:rPr>
          <w:rFonts w:ascii="Arial" w:hAnsi="Arial" w:cs="Arial"/>
          <w:sz w:val="22"/>
          <w:szCs w:val="22"/>
        </w:rPr>
        <w:t>-</w:t>
      </w:r>
      <w:r w:rsidR="00C440E8">
        <w:rPr>
          <w:rFonts w:ascii="Arial" w:hAnsi="Arial" w:cs="Arial"/>
          <w:sz w:val="22"/>
          <w:szCs w:val="22"/>
        </w:rPr>
        <w:t>25</w:t>
      </w:r>
      <w:r w:rsidRPr="00F74784">
        <w:rPr>
          <w:rFonts w:ascii="Arial" w:hAnsi="Arial" w:cs="Arial"/>
          <w:sz w:val="22"/>
          <w:szCs w:val="22"/>
        </w:rPr>
        <w:t>).</w:t>
      </w:r>
      <w:r w:rsidR="008C7056">
        <w:rPr>
          <w:rFonts w:ascii="Arial" w:hAnsi="Arial" w:cs="Arial"/>
          <w:sz w:val="22"/>
          <w:szCs w:val="22"/>
        </w:rPr>
        <w:t xml:space="preserve"> </w:t>
      </w:r>
    </w:p>
    <w:p w:rsidR="00F71D2C" w:rsidRDefault="001E6E92" w:rsidP="008146DB">
      <w:pPr>
        <w:spacing w:before="120"/>
        <w:jc w:val="both"/>
        <w:rPr>
          <w:rFonts w:ascii="Arial" w:hAnsi="Arial" w:cs="Arial"/>
          <w:sz w:val="22"/>
          <w:szCs w:val="22"/>
        </w:rPr>
      </w:pPr>
      <w:r>
        <w:rPr>
          <w:rFonts w:ascii="Arial" w:hAnsi="Arial" w:cs="Arial"/>
          <w:sz w:val="22"/>
          <w:szCs w:val="22"/>
        </w:rPr>
        <w:t xml:space="preserve">Periodens </w:t>
      </w:r>
      <w:r w:rsidR="004E5543" w:rsidRPr="00F74784">
        <w:rPr>
          <w:rFonts w:ascii="Arial" w:hAnsi="Arial" w:cs="Arial"/>
          <w:sz w:val="22"/>
          <w:szCs w:val="22"/>
        </w:rPr>
        <w:t xml:space="preserve">resultat för </w:t>
      </w:r>
      <w:r w:rsidR="000E3A4A">
        <w:rPr>
          <w:rFonts w:ascii="Arial" w:hAnsi="Arial" w:cs="Arial"/>
          <w:sz w:val="22"/>
          <w:szCs w:val="22"/>
        </w:rPr>
        <w:t xml:space="preserve">koncernen för </w:t>
      </w:r>
      <w:r w:rsidR="0008175E">
        <w:rPr>
          <w:rFonts w:ascii="Arial" w:hAnsi="Arial" w:cs="Arial"/>
          <w:sz w:val="22"/>
          <w:szCs w:val="22"/>
        </w:rPr>
        <w:t xml:space="preserve">perioden januari – </w:t>
      </w:r>
      <w:r w:rsidR="00C440E8">
        <w:rPr>
          <w:rFonts w:ascii="Arial" w:hAnsi="Arial" w:cs="Arial"/>
          <w:sz w:val="22"/>
          <w:szCs w:val="22"/>
        </w:rPr>
        <w:t>september</w:t>
      </w:r>
      <w:r w:rsidR="0008175E">
        <w:rPr>
          <w:rFonts w:ascii="Arial" w:hAnsi="Arial" w:cs="Arial"/>
          <w:sz w:val="22"/>
          <w:szCs w:val="22"/>
        </w:rPr>
        <w:t xml:space="preserve"> 2015 </w:t>
      </w:r>
      <w:r w:rsidR="004E5543" w:rsidRPr="00F74784">
        <w:rPr>
          <w:rFonts w:ascii="Arial" w:hAnsi="Arial" w:cs="Arial"/>
          <w:sz w:val="22"/>
          <w:szCs w:val="22"/>
        </w:rPr>
        <w:t>uppgick</w:t>
      </w:r>
      <w:r w:rsidR="004E5543">
        <w:rPr>
          <w:rFonts w:ascii="Arial" w:hAnsi="Arial" w:cs="Arial"/>
          <w:sz w:val="22"/>
          <w:szCs w:val="22"/>
        </w:rPr>
        <w:t xml:space="preserve"> till</w:t>
      </w:r>
      <w:r w:rsidR="004E5543" w:rsidRPr="00F74784">
        <w:rPr>
          <w:rFonts w:ascii="Arial" w:hAnsi="Arial" w:cs="Arial"/>
          <w:sz w:val="22"/>
          <w:szCs w:val="22"/>
        </w:rPr>
        <w:t xml:space="preserve"> </w:t>
      </w:r>
      <w:r w:rsidR="00C440E8">
        <w:rPr>
          <w:rFonts w:ascii="Arial" w:hAnsi="Arial" w:cs="Arial"/>
          <w:sz w:val="22"/>
          <w:szCs w:val="22"/>
        </w:rPr>
        <w:t>55</w:t>
      </w:r>
      <w:r w:rsidR="0008175E">
        <w:rPr>
          <w:rFonts w:ascii="Arial" w:hAnsi="Arial" w:cs="Arial"/>
          <w:sz w:val="22"/>
          <w:szCs w:val="22"/>
        </w:rPr>
        <w:t xml:space="preserve"> </w:t>
      </w:r>
      <w:r w:rsidR="004E5543" w:rsidRPr="00F74784">
        <w:rPr>
          <w:rFonts w:ascii="Arial" w:hAnsi="Arial" w:cs="Arial"/>
          <w:sz w:val="22"/>
          <w:szCs w:val="22"/>
        </w:rPr>
        <w:t>MSEK (</w:t>
      </w:r>
      <w:r w:rsidR="00C440E8">
        <w:rPr>
          <w:rFonts w:ascii="Arial" w:hAnsi="Arial" w:cs="Arial"/>
          <w:sz w:val="22"/>
          <w:szCs w:val="22"/>
        </w:rPr>
        <w:t>83</w:t>
      </w:r>
      <w:r w:rsidR="005240C2">
        <w:rPr>
          <w:rFonts w:ascii="Arial" w:hAnsi="Arial" w:cs="Arial"/>
          <w:sz w:val="22"/>
          <w:szCs w:val="22"/>
        </w:rPr>
        <w:t>)</w:t>
      </w:r>
      <w:r w:rsidR="00D613A9">
        <w:rPr>
          <w:rFonts w:ascii="Arial" w:hAnsi="Arial" w:cs="Arial"/>
          <w:sz w:val="22"/>
          <w:szCs w:val="22"/>
        </w:rPr>
        <w:t>,</w:t>
      </w:r>
      <w:r w:rsidR="004E5543" w:rsidRPr="00F74784">
        <w:rPr>
          <w:rFonts w:ascii="Arial" w:hAnsi="Arial" w:cs="Arial"/>
          <w:sz w:val="22"/>
          <w:szCs w:val="22"/>
        </w:rPr>
        <w:t xml:space="preserve"> motsvara</w:t>
      </w:r>
      <w:r w:rsidR="003668D0">
        <w:rPr>
          <w:rFonts w:ascii="Arial" w:hAnsi="Arial" w:cs="Arial"/>
          <w:sz w:val="22"/>
          <w:szCs w:val="22"/>
        </w:rPr>
        <w:t>nde</w:t>
      </w:r>
      <w:r w:rsidR="004E5543" w:rsidRPr="00F74784">
        <w:rPr>
          <w:rFonts w:ascii="Arial" w:hAnsi="Arial" w:cs="Arial"/>
          <w:sz w:val="22"/>
          <w:szCs w:val="22"/>
        </w:rPr>
        <w:t xml:space="preserve"> ett resultat per aktie om </w:t>
      </w:r>
      <w:r w:rsidR="00C440E8">
        <w:rPr>
          <w:rFonts w:ascii="Arial" w:hAnsi="Arial" w:cs="Arial"/>
          <w:sz w:val="22"/>
          <w:szCs w:val="22"/>
        </w:rPr>
        <w:t>0,28</w:t>
      </w:r>
      <w:r w:rsidR="0008175E">
        <w:rPr>
          <w:rFonts w:ascii="Arial" w:hAnsi="Arial" w:cs="Arial"/>
          <w:sz w:val="22"/>
          <w:szCs w:val="22"/>
        </w:rPr>
        <w:t xml:space="preserve"> </w:t>
      </w:r>
      <w:r w:rsidR="004E5543" w:rsidRPr="00F74784">
        <w:rPr>
          <w:rFonts w:ascii="Arial" w:hAnsi="Arial" w:cs="Arial"/>
          <w:sz w:val="22"/>
          <w:szCs w:val="22"/>
        </w:rPr>
        <w:t>MSEK (</w:t>
      </w:r>
      <w:r w:rsidR="0008175E">
        <w:rPr>
          <w:rFonts w:ascii="Arial" w:hAnsi="Arial" w:cs="Arial"/>
          <w:sz w:val="22"/>
          <w:szCs w:val="22"/>
        </w:rPr>
        <w:t>0,</w:t>
      </w:r>
      <w:r w:rsidR="00C440E8">
        <w:rPr>
          <w:rFonts w:ascii="Arial" w:hAnsi="Arial" w:cs="Arial"/>
          <w:sz w:val="22"/>
          <w:szCs w:val="22"/>
        </w:rPr>
        <w:t>42</w:t>
      </w:r>
      <w:r w:rsidR="004E5543" w:rsidRPr="00F74784">
        <w:rPr>
          <w:rFonts w:ascii="Arial" w:hAnsi="Arial" w:cs="Arial"/>
          <w:sz w:val="22"/>
          <w:szCs w:val="22"/>
        </w:rPr>
        <w:t>).</w:t>
      </w:r>
      <w:r w:rsidR="00F71D2C">
        <w:rPr>
          <w:rFonts w:ascii="Arial" w:hAnsi="Arial" w:cs="Arial"/>
          <w:sz w:val="22"/>
          <w:szCs w:val="22"/>
        </w:rPr>
        <w:t xml:space="preserve"> </w:t>
      </w:r>
    </w:p>
    <w:p w:rsidR="0076195A" w:rsidRPr="00761EAF" w:rsidRDefault="0076195A" w:rsidP="008146DB">
      <w:pPr>
        <w:pStyle w:val="Heading2"/>
        <w:spacing w:before="360"/>
        <w:rPr>
          <w:rFonts w:ascii="Arial" w:hAnsi="Arial" w:cs="Arial"/>
          <w:b/>
        </w:rPr>
      </w:pPr>
      <w:r w:rsidRPr="00761EAF">
        <w:rPr>
          <w:rFonts w:ascii="Arial" w:hAnsi="Arial" w:cs="Arial"/>
          <w:b/>
        </w:rPr>
        <w:t>Kassaflöde och investeringar</w:t>
      </w:r>
    </w:p>
    <w:p w:rsidR="0076195A" w:rsidRPr="00F74784" w:rsidRDefault="0076195A" w:rsidP="008146DB">
      <w:pPr>
        <w:spacing w:before="120"/>
        <w:jc w:val="both"/>
        <w:rPr>
          <w:rFonts w:ascii="Arial" w:hAnsi="Arial" w:cs="Arial"/>
          <w:sz w:val="22"/>
          <w:szCs w:val="22"/>
        </w:rPr>
      </w:pPr>
      <w:r w:rsidRPr="00F74784">
        <w:rPr>
          <w:rFonts w:ascii="Arial" w:hAnsi="Arial" w:cs="Arial"/>
          <w:sz w:val="22"/>
          <w:szCs w:val="22"/>
        </w:rPr>
        <w:t xml:space="preserve">Koncernens kassaflöde från den löpande verksamheten för </w:t>
      </w:r>
      <w:r w:rsidR="001C28CC">
        <w:rPr>
          <w:rFonts w:ascii="Arial" w:hAnsi="Arial" w:cs="Arial"/>
          <w:sz w:val="22"/>
          <w:szCs w:val="22"/>
        </w:rPr>
        <w:t xml:space="preserve">perioden januari – </w:t>
      </w:r>
      <w:r w:rsidR="00A07EAB">
        <w:rPr>
          <w:rFonts w:ascii="Arial" w:hAnsi="Arial" w:cs="Arial"/>
          <w:sz w:val="22"/>
          <w:szCs w:val="22"/>
        </w:rPr>
        <w:t>september</w:t>
      </w:r>
      <w:r w:rsidR="0008175E">
        <w:rPr>
          <w:rFonts w:ascii="Arial" w:hAnsi="Arial" w:cs="Arial"/>
          <w:sz w:val="22"/>
          <w:szCs w:val="22"/>
        </w:rPr>
        <w:t xml:space="preserve"> </w:t>
      </w:r>
      <w:r w:rsidR="000E3A4A">
        <w:rPr>
          <w:rFonts w:ascii="Arial" w:hAnsi="Arial" w:cs="Arial"/>
          <w:sz w:val="22"/>
          <w:szCs w:val="22"/>
        </w:rPr>
        <w:t xml:space="preserve">2015 </w:t>
      </w:r>
      <w:r w:rsidRPr="00F74784">
        <w:rPr>
          <w:rFonts w:ascii="Arial" w:hAnsi="Arial" w:cs="Arial"/>
          <w:sz w:val="22"/>
          <w:szCs w:val="22"/>
        </w:rPr>
        <w:t xml:space="preserve">uppgick till </w:t>
      </w:r>
      <w:r w:rsidR="007F4955">
        <w:rPr>
          <w:rFonts w:ascii="Arial" w:hAnsi="Arial" w:cs="Arial"/>
          <w:sz w:val="22"/>
          <w:szCs w:val="22"/>
        </w:rPr>
        <w:t>44</w:t>
      </w:r>
      <w:r w:rsidR="000E3A4A">
        <w:rPr>
          <w:rFonts w:ascii="Arial" w:hAnsi="Arial" w:cs="Arial"/>
          <w:sz w:val="22"/>
          <w:szCs w:val="22"/>
        </w:rPr>
        <w:t xml:space="preserve"> </w:t>
      </w:r>
      <w:r w:rsidRPr="00F74784">
        <w:rPr>
          <w:rFonts w:ascii="Arial" w:hAnsi="Arial" w:cs="Arial"/>
          <w:sz w:val="22"/>
          <w:szCs w:val="22"/>
        </w:rPr>
        <w:t>MSEK (</w:t>
      </w:r>
      <w:r w:rsidR="00EA7461">
        <w:rPr>
          <w:rFonts w:ascii="Arial" w:hAnsi="Arial" w:cs="Arial"/>
          <w:sz w:val="22"/>
          <w:szCs w:val="22"/>
        </w:rPr>
        <w:t>92</w:t>
      </w:r>
      <w:r w:rsidRPr="00F74784">
        <w:rPr>
          <w:rFonts w:ascii="Arial" w:hAnsi="Arial" w:cs="Arial"/>
          <w:sz w:val="22"/>
          <w:szCs w:val="22"/>
        </w:rPr>
        <w:t xml:space="preserve">). </w:t>
      </w:r>
    </w:p>
    <w:p w:rsidR="00DC5929" w:rsidRPr="00F74784" w:rsidRDefault="005A37F8" w:rsidP="00DC5929">
      <w:pPr>
        <w:spacing w:before="120"/>
        <w:jc w:val="both"/>
        <w:rPr>
          <w:rFonts w:ascii="Arial" w:hAnsi="Arial" w:cs="Arial"/>
          <w:sz w:val="22"/>
          <w:szCs w:val="22"/>
        </w:rPr>
      </w:pPr>
      <w:r>
        <w:rPr>
          <w:rFonts w:ascii="Arial" w:hAnsi="Arial" w:cs="Arial"/>
          <w:sz w:val="22"/>
          <w:szCs w:val="22"/>
        </w:rPr>
        <w:t xml:space="preserve">Koncernens </w:t>
      </w:r>
      <w:r w:rsidRPr="00F74784">
        <w:rPr>
          <w:rFonts w:ascii="Arial" w:hAnsi="Arial" w:cs="Arial"/>
          <w:sz w:val="22"/>
          <w:szCs w:val="22"/>
        </w:rPr>
        <w:t xml:space="preserve">kassaflöde </w:t>
      </w:r>
      <w:r>
        <w:rPr>
          <w:rFonts w:ascii="Arial" w:hAnsi="Arial" w:cs="Arial"/>
          <w:sz w:val="22"/>
          <w:szCs w:val="22"/>
        </w:rPr>
        <w:t xml:space="preserve">från </w:t>
      </w:r>
      <w:r w:rsidRPr="00F74784">
        <w:rPr>
          <w:rFonts w:ascii="Arial" w:hAnsi="Arial" w:cs="Arial"/>
          <w:sz w:val="22"/>
          <w:szCs w:val="22"/>
        </w:rPr>
        <w:t xml:space="preserve">investeringsverksamheten för </w:t>
      </w:r>
      <w:r>
        <w:rPr>
          <w:rFonts w:ascii="Arial" w:hAnsi="Arial" w:cs="Arial"/>
          <w:sz w:val="22"/>
          <w:szCs w:val="22"/>
        </w:rPr>
        <w:t xml:space="preserve">perioden januari – </w:t>
      </w:r>
      <w:r w:rsidR="007F4955">
        <w:rPr>
          <w:rFonts w:ascii="Arial" w:hAnsi="Arial" w:cs="Arial"/>
          <w:sz w:val="22"/>
          <w:szCs w:val="22"/>
        </w:rPr>
        <w:t>september</w:t>
      </w:r>
      <w:r w:rsidR="007F2969">
        <w:rPr>
          <w:rFonts w:ascii="Arial" w:hAnsi="Arial" w:cs="Arial"/>
          <w:sz w:val="22"/>
          <w:szCs w:val="22"/>
        </w:rPr>
        <w:t xml:space="preserve"> </w:t>
      </w:r>
      <w:r w:rsidR="000E3A4A">
        <w:rPr>
          <w:rFonts w:ascii="Arial" w:hAnsi="Arial" w:cs="Arial"/>
          <w:sz w:val="22"/>
          <w:szCs w:val="22"/>
        </w:rPr>
        <w:t>2015</w:t>
      </w:r>
      <w:r>
        <w:rPr>
          <w:rFonts w:ascii="Arial" w:hAnsi="Arial" w:cs="Arial"/>
          <w:sz w:val="22"/>
          <w:szCs w:val="22"/>
        </w:rPr>
        <w:t xml:space="preserve"> </w:t>
      </w:r>
      <w:r w:rsidR="003A2F39">
        <w:rPr>
          <w:rFonts w:ascii="Arial" w:hAnsi="Arial" w:cs="Arial"/>
          <w:sz w:val="22"/>
          <w:szCs w:val="22"/>
        </w:rPr>
        <w:t>uppgick till</w:t>
      </w:r>
      <w:r w:rsidRPr="00F74784">
        <w:rPr>
          <w:rFonts w:ascii="Arial" w:hAnsi="Arial" w:cs="Arial"/>
          <w:sz w:val="22"/>
          <w:szCs w:val="22"/>
        </w:rPr>
        <w:t xml:space="preserve"> </w:t>
      </w:r>
      <w:r w:rsidR="000E3A4A">
        <w:rPr>
          <w:rFonts w:ascii="Arial" w:hAnsi="Arial" w:cs="Arial"/>
          <w:sz w:val="22"/>
          <w:szCs w:val="22"/>
        </w:rPr>
        <w:t>-</w:t>
      </w:r>
      <w:r w:rsidR="007F4955">
        <w:rPr>
          <w:rFonts w:ascii="Arial" w:hAnsi="Arial" w:cs="Arial"/>
          <w:sz w:val="22"/>
          <w:szCs w:val="22"/>
        </w:rPr>
        <w:t>7</w:t>
      </w:r>
      <w:r w:rsidR="000E3A4A">
        <w:rPr>
          <w:rFonts w:ascii="Arial" w:hAnsi="Arial" w:cs="Arial"/>
          <w:sz w:val="22"/>
          <w:szCs w:val="22"/>
        </w:rPr>
        <w:t xml:space="preserve"> </w:t>
      </w:r>
      <w:r w:rsidRPr="00F74784">
        <w:rPr>
          <w:rFonts w:ascii="Arial" w:hAnsi="Arial" w:cs="Arial"/>
          <w:sz w:val="22"/>
          <w:szCs w:val="22"/>
        </w:rPr>
        <w:t>MSEK (-</w:t>
      </w:r>
      <w:r w:rsidR="007F4955">
        <w:rPr>
          <w:rFonts w:ascii="Arial" w:hAnsi="Arial" w:cs="Arial"/>
          <w:sz w:val="22"/>
          <w:szCs w:val="22"/>
        </w:rPr>
        <w:t>33</w:t>
      </w:r>
      <w:r w:rsidRPr="00F74784">
        <w:rPr>
          <w:rFonts w:ascii="Arial" w:hAnsi="Arial" w:cs="Arial"/>
          <w:sz w:val="22"/>
          <w:szCs w:val="22"/>
        </w:rPr>
        <w:t>)</w:t>
      </w:r>
      <w:r w:rsidR="00034071">
        <w:rPr>
          <w:rFonts w:ascii="Arial" w:hAnsi="Arial" w:cs="Arial"/>
          <w:sz w:val="22"/>
          <w:szCs w:val="22"/>
        </w:rPr>
        <w:t>.</w:t>
      </w:r>
      <w:r>
        <w:rPr>
          <w:rFonts w:ascii="Arial" w:hAnsi="Arial" w:cs="Arial"/>
          <w:sz w:val="22"/>
          <w:szCs w:val="22"/>
        </w:rPr>
        <w:t xml:space="preserve"> </w:t>
      </w:r>
    </w:p>
    <w:p w:rsidR="0076195A" w:rsidRPr="00F74784" w:rsidRDefault="007F2969" w:rsidP="008146DB">
      <w:pPr>
        <w:spacing w:before="120"/>
        <w:jc w:val="both"/>
        <w:rPr>
          <w:rFonts w:ascii="Arial" w:hAnsi="Arial" w:cs="Arial"/>
          <w:sz w:val="22"/>
          <w:szCs w:val="22"/>
        </w:rPr>
      </w:pPr>
      <w:r>
        <w:rPr>
          <w:rFonts w:ascii="Arial" w:hAnsi="Arial" w:cs="Arial"/>
          <w:sz w:val="22"/>
          <w:szCs w:val="22"/>
        </w:rPr>
        <w:lastRenderedPageBreak/>
        <w:t xml:space="preserve">Koncernens </w:t>
      </w:r>
      <w:r w:rsidRPr="00F74784">
        <w:rPr>
          <w:rFonts w:ascii="Arial" w:hAnsi="Arial" w:cs="Arial"/>
          <w:sz w:val="22"/>
          <w:szCs w:val="22"/>
        </w:rPr>
        <w:t xml:space="preserve">kassaflöde </w:t>
      </w:r>
      <w:r>
        <w:rPr>
          <w:rFonts w:ascii="Arial" w:hAnsi="Arial" w:cs="Arial"/>
          <w:sz w:val="22"/>
          <w:szCs w:val="22"/>
        </w:rPr>
        <w:t xml:space="preserve">från finansieringsverksamheten </w:t>
      </w:r>
      <w:r w:rsidRPr="00F74784">
        <w:rPr>
          <w:rFonts w:ascii="Arial" w:hAnsi="Arial" w:cs="Arial"/>
          <w:sz w:val="22"/>
          <w:szCs w:val="22"/>
        </w:rPr>
        <w:t xml:space="preserve">för </w:t>
      </w:r>
      <w:r>
        <w:rPr>
          <w:rFonts w:ascii="Arial" w:hAnsi="Arial" w:cs="Arial"/>
          <w:sz w:val="22"/>
          <w:szCs w:val="22"/>
        </w:rPr>
        <w:t xml:space="preserve">perioden januari – </w:t>
      </w:r>
      <w:r w:rsidR="007F4955">
        <w:rPr>
          <w:rFonts w:ascii="Arial" w:hAnsi="Arial" w:cs="Arial"/>
          <w:sz w:val="22"/>
          <w:szCs w:val="22"/>
        </w:rPr>
        <w:t>september</w:t>
      </w:r>
      <w:r>
        <w:rPr>
          <w:rFonts w:ascii="Arial" w:hAnsi="Arial" w:cs="Arial"/>
          <w:sz w:val="22"/>
          <w:szCs w:val="22"/>
        </w:rPr>
        <w:t xml:space="preserve"> 2015 uppgick till</w:t>
      </w:r>
      <w:r w:rsidRPr="00F74784">
        <w:rPr>
          <w:rFonts w:ascii="Arial" w:hAnsi="Arial" w:cs="Arial"/>
          <w:sz w:val="22"/>
          <w:szCs w:val="22"/>
        </w:rPr>
        <w:t xml:space="preserve"> </w:t>
      </w:r>
      <w:r>
        <w:rPr>
          <w:rFonts w:ascii="Arial" w:hAnsi="Arial" w:cs="Arial"/>
          <w:sz w:val="22"/>
          <w:szCs w:val="22"/>
        </w:rPr>
        <w:t xml:space="preserve">-35 </w:t>
      </w:r>
      <w:r w:rsidRPr="00F74784">
        <w:rPr>
          <w:rFonts w:ascii="Arial" w:hAnsi="Arial" w:cs="Arial"/>
          <w:sz w:val="22"/>
          <w:szCs w:val="22"/>
        </w:rPr>
        <w:t>MSEK (-</w:t>
      </w:r>
      <w:r>
        <w:rPr>
          <w:rFonts w:ascii="Arial" w:hAnsi="Arial" w:cs="Arial"/>
          <w:sz w:val="22"/>
          <w:szCs w:val="22"/>
        </w:rPr>
        <w:t>55</w:t>
      </w:r>
      <w:r w:rsidRPr="00F74784">
        <w:rPr>
          <w:rFonts w:ascii="Arial" w:hAnsi="Arial" w:cs="Arial"/>
          <w:sz w:val="22"/>
          <w:szCs w:val="22"/>
        </w:rPr>
        <w:t>)</w:t>
      </w:r>
      <w:r>
        <w:rPr>
          <w:rFonts w:ascii="Arial" w:hAnsi="Arial" w:cs="Arial"/>
          <w:sz w:val="22"/>
          <w:szCs w:val="22"/>
        </w:rPr>
        <w:t>, vilket utgörs av utbetald utdelning till ägaren.</w:t>
      </w:r>
    </w:p>
    <w:p w:rsidR="0076195A" w:rsidRPr="00F74784" w:rsidRDefault="0076195A" w:rsidP="008146DB">
      <w:pPr>
        <w:spacing w:before="120"/>
        <w:jc w:val="both"/>
        <w:rPr>
          <w:rFonts w:ascii="Arial" w:eastAsia="Times New Roman" w:hAnsi="Arial" w:cs="Arial"/>
          <w:i/>
          <w:sz w:val="22"/>
          <w:szCs w:val="22"/>
        </w:rPr>
      </w:pPr>
      <w:r w:rsidRPr="00F74784">
        <w:rPr>
          <w:rFonts w:ascii="Arial" w:hAnsi="Arial" w:cs="Arial"/>
          <w:sz w:val="22"/>
          <w:szCs w:val="22"/>
        </w:rPr>
        <w:t xml:space="preserve">Koncernens kassaflöde för </w:t>
      </w:r>
      <w:r w:rsidR="00EC4C65">
        <w:rPr>
          <w:rFonts w:ascii="Arial" w:hAnsi="Arial" w:cs="Arial"/>
          <w:sz w:val="22"/>
          <w:szCs w:val="22"/>
        </w:rPr>
        <w:t xml:space="preserve">perioden januari – </w:t>
      </w:r>
      <w:r w:rsidR="007F4955">
        <w:rPr>
          <w:rFonts w:ascii="Arial" w:hAnsi="Arial" w:cs="Arial"/>
          <w:sz w:val="22"/>
          <w:szCs w:val="22"/>
        </w:rPr>
        <w:t>september</w:t>
      </w:r>
      <w:r w:rsidR="007F2969">
        <w:rPr>
          <w:rFonts w:ascii="Arial" w:hAnsi="Arial" w:cs="Arial"/>
          <w:sz w:val="22"/>
          <w:szCs w:val="22"/>
        </w:rPr>
        <w:t xml:space="preserve"> </w:t>
      </w:r>
      <w:r w:rsidR="000E3A4A">
        <w:rPr>
          <w:rFonts w:ascii="Arial" w:hAnsi="Arial" w:cs="Arial"/>
          <w:sz w:val="22"/>
          <w:szCs w:val="22"/>
        </w:rPr>
        <w:t xml:space="preserve">2015 </w:t>
      </w:r>
      <w:r w:rsidRPr="00F74784">
        <w:rPr>
          <w:rFonts w:ascii="Arial" w:hAnsi="Arial" w:cs="Arial"/>
          <w:sz w:val="22"/>
          <w:szCs w:val="22"/>
        </w:rPr>
        <w:t xml:space="preserve">uppgick till </w:t>
      </w:r>
      <w:r w:rsidR="007F4955">
        <w:rPr>
          <w:rFonts w:ascii="Arial" w:hAnsi="Arial" w:cs="Arial"/>
          <w:sz w:val="22"/>
          <w:szCs w:val="22"/>
        </w:rPr>
        <w:t>2</w:t>
      </w:r>
      <w:r w:rsidR="000E3A4A">
        <w:rPr>
          <w:rFonts w:ascii="Arial" w:hAnsi="Arial" w:cs="Arial"/>
          <w:sz w:val="22"/>
          <w:szCs w:val="22"/>
        </w:rPr>
        <w:t xml:space="preserve"> </w:t>
      </w:r>
      <w:r w:rsidRPr="00F74784">
        <w:rPr>
          <w:rFonts w:ascii="Arial" w:hAnsi="Arial" w:cs="Arial"/>
          <w:sz w:val="22"/>
          <w:szCs w:val="22"/>
        </w:rPr>
        <w:t>MSEK (</w:t>
      </w:r>
      <w:r w:rsidR="007F4955">
        <w:rPr>
          <w:rFonts w:ascii="Arial" w:hAnsi="Arial" w:cs="Arial"/>
          <w:sz w:val="22"/>
          <w:szCs w:val="22"/>
        </w:rPr>
        <w:t>4</w:t>
      </w:r>
      <w:r w:rsidRPr="00F74784">
        <w:rPr>
          <w:rFonts w:ascii="Arial" w:hAnsi="Arial" w:cs="Arial"/>
          <w:sz w:val="22"/>
          <w:szCs w:val="22"/>
        </w:rPr>
        <w:t xml:space="preserve">). </w:t>
      </w:r>
    </w:p>
    <w:p w:rsidR="0076195A" w:rsidRPr="00761EAF" w:rsidRDefault="0076195A" w:rsidP="008146DB">
      <w:pPr>
        <w:pStyle w:val="Heading2"/>
        <w:spacing w:before="360"/>
        <w:rPr>
          <w:rFonts w:ascii="Arial" w:hAnsi="Arial" w:cs="Arial"/>
          <w:b/>
        </w:rPr>
      </w:pPr>
      <w:r w:rsidRPr="00761EAF">
        <w:rPr>
          <w:rFonts w:ascii="Arial" w:hAnsi="Arial" w:cs="Arial"/>
          <w:b/>
        </w:rPr>
        <w:t>Finansiell ställning</w:t>
      </w:r>
    </w:p>
    <w:p w:rsidR="0076195A" w:rsidRPr="00F74784" w:rsidRDefault="0076195A" w:rsidP="008146DB">
      <w:pPr>
        <w:spacing w:before="120"/>
        <w:jc w:val="both"/>
        <w:rPr>
          <w:rFonts w:ascii="Arial" w:hAnsi="Arial" w:cs="Arial"/>
          <w:sz w:val="22"/>
          <w:szCs w:val="22"/>
        </w:rPr>
      </w:pPr>
      <w:r w:rsidRPr="00F74784">
        <w:rPr>
          <w:rFonts w:ascii="Arial" w:hAnsi="Arial" w:cs="Arial"/>
          <w:sz w:val="22"/>
          <w:szCs w:val="22"/>
        </w:rPr>
        <w:t xml:space="preserve">Likvida medel uppgick per </w:t>
      </w:r>
      <w:r w:rsidR="004D508D">
        <w:rPr>
          <w:rFonts w:ascii="Arial" w:hAnsi="Arial" w:cs="Arial"/>
          <w:sz w:val="22"/>
          <w:szCs w:val="22"/>
        </w:rPr>
        <w:t xml:space="preserve">30 </w:t>
      </w:r>
      <w:r w:rsidR="007F4955">
        <w:rPr>
          <w:rFonts w:ascii="Arial" w:hAnsi="Arial" w:cs="Arial"/>
          <w:sz w:val="22"/>
          <w:szCs w:val="22"/>
        </w:rPr>
        <w:t xml:space="preserve">september </w:t>
      </w:r>
      <w:r w:rsidR="00567425">
        <w:rPr>
          <w:rFonts w:ascii="Arial" w:hAnsi="Arial" w:cs="Arial"/>
          <w:sz w:val="22"/>
          <w:szCs w:val="22"/>
        </w:rPr>
        <w:t xml:space="preserve">2015 </w:t>
      </w:r>
      <w:r w:rsidRPr="00F74784">
        <w:rPr>
          <w:rFonts w:ascii="Arial" w:hAnsi="Arial" w:cs="Arial"/>
          <w:sz w:val="22"/>
          <w:szCs w:val="22"/>
        </w:rPr>
        <w:t xml:space="preserve">till </w:t>
      </w:r>
      <w:r w:rsidR="007F4955">
        <w:rPr>
          <w:rFonts w:ascii="Arial" w:hAnsi="Arial" w:cs="Arial"/>
          <w:sz w:val="22"/>
          <w:szCs w:val="22"/>
        </w:rPr>
        <w:t xml:space="preserve">221 </w:t>
      </w:r>
      <w:r w:rsidRPr="00F74784">
        <w:rPr>
          <w:rFonts w:ascii="Arial" w:hAnsi="Arial" w:cs="Arial"/>
          <w:sz w:val="22"/>
          <w:szCs w:val="22"/>
        </w:rPr>
        <w:t>MSEK (</w:t>
      </w:r>
      <w:r w:rsidR="003860DF">
        <w:rPr>
          <w:rFonts w:ascii="Arial" w:hAnsi="Arial" w:cs="Arial"/>
          <w:sz w:val="22"/>
          <w:szCs w:val="22"/>
        </w:rPr>
        <w:t>2014</w:t>
      </w:r>
      <w:r w:rsidR="00CC1942">
        <w:rPr>
          <w:rFonts w:ascii="Arial" w:hAnsi="Arial" w:cs="Arial"/>
          <w:sz w:val="22"/>
          <w:szCs w:val="22"/>
        </w:rPr>
        <w:t xml:space="preserve">-12-31: </w:t>
      </w:r>
      <w:r w:rsidR="00567425">
        <w:rPr>
          <w:rFonts w:ascii="Arial" w:hAnsi="Arial" w:cs="Arial"/>
          <w:sz w:val="22"/>
          <w:szCs w:val="22"/>
        </w:rPr>
        <w:t>217</w:t>
      </w:r>
      <w:r w:rsidRPr="00F74784">
        <w:rPr>
          <w:rFonts w:ascii="Arial" w:hAnsi="Arial" w:cs="Arial"/>
          <w:sz w:val="22"/>
          <w:szCs w:val="22"/>
        </w:rPr>
        <w:t xml:space="preserve">) i Koncernen. </w:t>
      </w:r>
    </w:p>
    <w:p w:rsidR="0076195A" w:rsidRPr="00F74784" w:rsidRDefault="0076195A" w:rsidP="008146DB">
      <w:pPr>
        <w:spacing w:before="120"/>
        <w:jc w:val="both"/>
        <w:rPr>
          <w:rFonts w:ascii="Arial" w:hAnsi="Arial" w:cs="Arial"/>
          <w:sz w:val="22"/>
          <w:szCs w:val="22"/>
        </w:rPr>
      </w:pPr>
      <w:r w:rsidRPr="00F74784">
        <w:rPr>
          <w:rFonts w:ascii="Arial" w:hAnsi="Arial" w:cs="Arial"/>
          <w:sz w:val="22"/>
          <w:szCs w:val="22"/>
        </w:rPr>
        <w:t xml:space="preserve">Soliditeten i Koncernen uppgick </w:t>
      </w:r>
      <w:r w:rsidR="00391769">
        <w:rPr>
          <w:rFonts w:ascii="Arial" w:hAnsi="Arial" w:cs="Arial"/>
          <w:sz w:val="22"/>
          <w:szCs w:val="22"/>
        </w:rPr>
        <w:t xml:space="preserve">per </w:t>
      </w:r>
      <w:r w:rsidR="003860DF">
        <w:rPr>
          <w:rFonts w:ascii="Arial" w:hAnsi="Arial" w:cs="Arial"/>
          <w:sz w:val="22"/>
          <w:szCs w:val="22"/>
        </w:rPr>
        <w:t xml:space="preserve">30 </w:t>
      </w:r>
      <w:r w:rsidR="007F4955">
        <w:rPr>
          <w:rFonts w:ascii="Arial" w:hAnsi="Arial" w:cs="Arial"/>
          <w:sz w:val="22"/>
          <w:szCs w:val="22"/>
        </w:rPr>
        <w:t>september</w:t>
      </w:r>
      <w:r w:rsidR="003860DF">
        <w:rPr>
          <w:rFonts w:ascii="Arial" w:hAnsi="Arial" w:cs="Arial"/>
          <w:sz w:val="22"/>
          <w:szCs w:val="22"/>
        </w:rPr>
        <w:t xml:space="preserve"> </w:t>
      </w:r>
      <w:r w:rsidR="00567425">
        <w:rPr>
          <w:rFonts w:ascii="Arial" w:hAnsi="Arial" w:cs="Arial"/>
          <w:sz w:val="22"/>
          <w:szCs w:val="22"/>
        </w:rPr>
        <w:t xml:space="preserve">2015 </w:t>
      </w:r>
      <w:r w:rsidRPr="00F74784">
        <w:rPr>
          <w:rFonts w:ascii="Arial" w:hAnsi="Arial" w:cs="Arial"/>
          <w:sz w:val="22"/>
          <w:szCs w:val="22"/>
        </w:rPr>
        <w:t xml:space="preserve">till </w:t>
      </w:r>
      <w:r w:rsidR="003860DF">
        <w:rPr>
          <w:rFonts w:ascii="Arial" w:hAnsi="Arial" w:cs="Arial"/>
          <w:sz w:val="22"/>
          <w:szCs w:val="22"/>
        </w:rPr>
        <w:t>8</w:t>
      </w:r>
      <w:r w:rsidR="007F4955">
        <w:rPr>
          <w:rFonts w:ascii="Arial" w:hAnsi="Arial" w:cs="Arial"/>
          <w:sz w:val="22"/>
          <w:szCs w:val="22"/>
        </w:rPr>
        <w:t>2</w:t>
      </w:r>
      <w:r w:rsidR="003860DF">
        <w:rPr>
          <w:rFonts w:ascii="Arial" w:hAnsi="Arial" w:cs="Arial"/>
          <w:sz w:val="22"/>
          <w:szCs w:val="22"/>
        </w:rPr>
        <w:t xml:space="preserve"> </w:t>
      </w:r>
      <w:r w:rsidRPr="00F74784">
        <w:rPr>
          <w:rFonts w:ascii="Arial" w:hAnsi="Arial" w:cs="Arial"/>
          <w:sz w:val="22"/>
          <w:szCs w:val="22"/>
        </w:rPr>
        <w:t>procent (</w:t>
      </w:r>
      <w:r w:rsidR="00CC1942">
        <w:rPr>
          <w:rFonts w:ascii="Arial" w:hAnsi="Arial" w:cs="Arial"/>
          <w:sz w:val="22"/>
          <w:szCs w:val="22"/>
        </w:rPr>
        <w:t>2014-12-</w:t>
      </w:r>
      <w:r w:rsidR="00036EE7">
        <w:rPr>
          <w:rFonts w:ascii="Arial" w:hAnsi="Arial" w:cs="Arial"/>
          <w:sz w:val="22"/>
          <w:szCs w:val="22"/>
        </w:rPr>
        <w:t>3</w:t>
      </w:r>
      <w:r w:rsidR="00CC1942">
        <w:rPr>
          <w:rFonts w:ascii="Arial" w:hAnsi="Arial" w:cs="Arial"/>
          <w:sz w:val="22"/>
          <w:szCs w:val="22"/>
        </w:rPr>
        <w:t xml:space="preserve">1: </w:t>
      </w:r>
      <w:r w:rsidR="00567425">
        <w:rPr>
          <w:rFonts w:ascii="Arial" w:hAnsi="Arial" w:cs="Arial"/>
          <w:sz w:val="22"/>
          <w:szCs w:val="22"/>
        </w:rPr>
        <w:t>79</w:t>
      </w:r>
      <w:r w:rsidRPr="00F74784">
        <w:rPr>
          <w:rFonts w:ascii="Arial" w:hAnsi="Arial" w:cs="Arial"/>
          <w:sz w:val="22"/>
          <w:szCs w:val="22"/>
        </w:rPr>
        <w:t>).</w:t>
      </w:r>
    </w:p>
    <w:p w:rsidR="0076195A" w:rsidRPr="00761EAF" w:rsidRDefault="0076195A" w:rsidP="008146DB">
      <w:pPr>
        <w:pStyle w:val="Heading2"/>
        <w:spacing w:before="360"/>
        <w:rPr>
          <w:rFonts w:ascii="Arial" w:hAnsi="Arial" w:cs="Arial"/>
          <w:b/>
        </w:rPr>
      </w:pPr>
      <w:r w:rsidRPr="00761EAF">
        <w:rPr>
          <w:rFonts w:ascii="Arial" w:hAnsi="Arial" w:cs="Arial"/>
          <w:b/>
        </w:rPr>
        <w:t>Personal</w:t>
      </w:r>
    </w:p>
    <w:p w:rsidR="00802096" w:rsidRDefault="0076195A" w:rsidP="00761EAF">
      <w:pPr>
        <w:spacing w:before="120"/>
        <w:jc w:val="both"/>
        <w:rPr>
          <w:rFonts w:ascii="Arial" w:hAnsi="Arial" w:cs="Arial"/>
          <w:b/>
          <w:sz w:val="28"/>
          <w:szCs w:val="28"/>
        </w:rPr>
      </w:pPr>
      <w:r w:rsidRPr="00F74784">
        <w:rPr>
          <w:rFonts w:ascii="Arial" w:hAnsi="Arial" w:cs="Arial"/>
          <w:sz w:val="22"/>
          <w:szCs w:val="22"/>
        </w:rPr>
        <w:t xml:space="preserve">Medelantalet anställda i Koncernen under </w:t>
      </w:r>
      <w:r w:rsidR="00CA4543">
        <w:rPr>
          <w:rFonts w:ascii="Arial" w:hAnsi="Arial" w:cs="Arial"/>
          <w:sz w:val="22"/>
          <w:szCs w:val="22"/>
        </w:rPr>
        <w:t xml:space="preserve">perioden januari – </w:t>
      </w:r>
      <w:r w:rsidR="007F4955">
        <w:rPr>
          <w:rFonts w:ascii="Arial" w:hAnsi="Arial" w:cs="Arial"/>
          <w:sz w:val="22"/>
          <w:szCs w:val="22"/>
        </w:rPr>
        <w:t>september</w:t>
      </w:r>
      <w:r w:rsidR="003860DF">
        <w:rPr>
          <w:rFonts w:ascii="Arial" w:hAnsi="Arial" w:cs="Arial"/>
          <w:sz w:val="22"/>
          <w:szCs w:val="22"/>
        </w:rPr>
        <w:t xml:space="preserve"> </w:t>
      </w:r>
      <w:r w:rsidR="00567425">
        <w:rPr>
          <w:rFonts w:ascii="Arial" w:hAnsi="Arial" w:cs="Arial"/>
          <w:sz w:val="22"/>
          <w:szCs w:val="22"/>
        </w:rPr>
        <w:t xml:space="preserve">2015 </w:t>
      </w:r>
      <w:r w:rsidRPr="00F74784">
        <w:rPr>
          <w:rFonts w:ascii="Arial" w:hAnsi="Arial" w:cs="Arial"/>
          <w:sz w:val="22"/>
          <w:szCs w:val="22"/>
        </w:rPr>
        <w:t xml:space="preserve">uppgick till </w:t>
      </w:r>
      <w:r w:rsidR="007F4955">
        <w:rPr>
          <w:rFonts w:ascii="Arial" w:hAnsi="Arial" w:cs="Arial"/>
          <w:sz w:val="22"/>
          <w:szCs w:val="22"/>
        </w:rPr>
        <w:t>317</w:t>
      </w:r>
      <w:r w:rsidR="00567425">
        <w:rPr>
          <w:rFonts w:ascii="Arial" w:hAnsi="Arial" w:cs="Arial"/>
          <w:sz w:val="22"/>
          <w:szCs w:val="22"/>
        </w:rPr>
        <w:t xml:space="preserve"> </w:t>
      </w:r>
      <w:r w:rsidRPr="00F74784">
        <w:rPr>
          <w:rFonts w:ascii="Arial" w:hAnsi="Arial" w:cs="Arial"/>
          <w:sz w:val="22"/>
          <w:szCs w:val="22"/>
        </w:rPr>
        <w:t>(</w:t>
      </w:r>
      <w:r w:rsidR="007F4955">
        <w:rPr>
          <w:rFonts w:ascii="Arial" w:hAnsi="Arial" w:cs="Arial"/>
          <w:sz w:val="22"/>
          <w:szCs w:val="22"/>
        </w:rPr>
        <w:t>354</w:t>
      </w:r>
      <w:r w:rsidRPr="00F74784">
        <w:rPr>
          <w:rFonts w:ascii="Arial" w:hAnsi="Arial" w:cs="Arial"/>
          <w:sz w:val="22"/>
          <w:szCs w:val="22"/>
        </w:rPr>
        <w:t>).</w:t>
      </w:r>
      <w:r w:rsidR="007F4955">
        <w:rPr>
          <w:rFonts w:ascii="Arial" w:hAnsi="Arial" w:cs="Arial"/>
          <w:sz w:val="22"/>
          <w:szCs w:val="22"/>
        </w:rPr>
        <w:t xml:space="preserve"> </w:t>
      </w:r>
      <w:r w:rsidR="00382496">
        <w:rPr>
          <w:rFonts w:ascii="Arial" w:hAnsi="Arial" w:cs="Arial"/>
          <w:sz w:val="22"/>
          <w:szCs w:val="22"/>
        </w:rPr>
        <w:t>Antalet anställda p</w:t>
      </w:r>
      <w:r w:rsidR="007F4955">
        <w:rPr>
          <w:rFonts w:ascii="Arial" w:hAnsi="Arial" w:cs="Arial"/>
          <w:sz w:val="22"/>
          <w:szCs w:val="22"/>
        </w:rPr>
        <w:t xml:space="preserve">er den 30 september 2015 </w:t>
      </w:r>
      <w:r w:rsidR="00382496">
        <w:rPr>
          <w:rFonts w:ascii="Arial" w:hAnsi="Arial" w:cs="Arial"/>
          <w:sz w:val="22"/>
          <w:szCs w:val="22"/>
        </w:rPr>
        <w:t>var 295 (2014-12-31: 327)</w:t>
      </w:r>
      <w:r w:rsidR="00CB3F10">
        <w:rPr>
          <w:rFonts w:ascii="Arial" w:hAnsi="Arial" w:cs="Arial"/>
          <w:b/>
          <w:sz w:val="28"/>
          <w:szCs w:val="28"/>
        </w:rPr>
        <w:tab/>
      </w:r>
    </w:p>
    <w:p w:rsidR="0076195A" w:rsidRDefault="0076195A">
      <w:pPr>
        <w:pStyle w:val="Heading2"/>
        <w:spacing w:before="360"/>
        <w:jc w:val="both"/>
        <w:rPr>
          <w:rFonts w:ascii="Arial" w:hAnsi="Arial" w:cs="Arial"/>
          <w:b/>
          <w:sz w:val="28"/>
          <w:szCs w:val="28"/>
        </w:rPr>
      </w:pPr>
      <w:r w:rsidRPr="00117778">
        <w:rPr>
          <w:rFonts w:ascii="Arial" w:hAnsi="Arial" w:cs="Arial"/>
          <w:b/>
          <w:sz w:val="28"/>
          <w:szCs w:val="28"/>
        </w:rPr>
        <w:t>Segmentsinformation</w:t>
      </w:r>
      <w:r>
        <w:rPr>
          <w:rFonts w:ascii="Arial" w:hAnsi="Arial" w:cs="Arial"/>
          <w:b/>
          <w:sz w:val="28"/>
          <w:szCs w:val="28"/>
        </w:rPr>
        <w:t xml:space="preserve"> </w:t>
      </w:r>
    </w:p>
    <w:p w:rsidR="0076195A" w:rsidRPr="00F74784" w:rsidRDefault="0076195A" w:rsidP="008146DB">
      <w:pPr>
        <w:pStyle w:val="Heading4"/>
        <w:spacing w:before="240"/>
        <w:rPr>
          <w:rFonts w:ascii="Arial" w:hAnsi="Arial" w:cs="Arial"/>
          <w:sz w:val="22"/>
          <w:szCs w:val="22"/>
        </w:rPr>
      </w:pPr>
      <w:r w:rsidRPr="00F74784">
        <w:rPr>
          <w:rFonts w:ascii="Arial" w:hAnsi="Arial" w:cs="Arial"/>
          <w:sz w:val="22"/>
          <w:szCs w:val="22"/>
        </w:rPr>
        <w:t>Norden</w:t>
      </w:r>
    </w:p>
    <w:p w:rsidR="0076195A" w:rsidRDefault="005D0CD7" w:rsidP="0076195A">
      <w:pPr>
        <w:jc w:val="both"/>
        <w:rPr>
          <w:rFonts w:ascii="Arial" w:hAnsi="Arial" w:cs="Arial"/>
          <w:noProof/>
          <w:lang w:eastAsia="sv-SE"/>
        </w:rPr>
      </w:pPr>
      <w:r w:rsidRPr="005D0CD7">
        <w:rPr>
          <w:rFonts w:ascii="Arial" w:hAnsi="Arial" w:cs="Arial"/>
          <w:noProof/>
          <w:lang w:eastAsia="sv-SE"/>
        </w:rPr>
        <w:t xml:space="preserve"> </w:t>
      </w:r>
      <w:r w:rsidR="00050F49" w:rsidRPr="00050F49">
        <w:rPr>
          <w:rFonts w:ascii="Arial" w:hAnsi="Arial" w:cs="Arial"/>
          <w:noProof/>
          <w:lang w:eastAsia="sv-SE"/>
        </w:rPr>
        <w:t xml:space="preserve"> </w:t>
      </w:r>
    </w:p>
    <w:p w:rsidR="00B2145D" w:rsidRDefault="00382496" w:rsidP="0076195A">
      <w:pPr>
        <w:jc w:val="both"/>
        <w:rPr>
          <w:rFonts w:ascii="Arial" w:hAnsi="Arial" w:cs="Arial"/>
        </w:rPr>
      </w:pPr>
      <w:r>
        <w:rPr>
          <w:rFonts w:ascii="Arial" w:hAnsi="Arial" w:cs="Arial"/>
          <w:noProof/>
          <w:lang w:eastAsia="sv-SE"/>
        </w:rPr>
        <w:drawing>
          <wp:inline distT="0" distB="0" distL="0" distR="0" wp14:anchorId="5E253FFC" wp14:editId="5614925E">
            <wp:extent cx="4770120" cy="859936"/>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70120" cy="859936"/>
                    </a:xfrm>
                    <a:prstGeom prst="rect">
                      <a:avLst/>
                    </a:prstGeom>
                    <a:noFill/>
                    <a:ln>
                      <a:noFill/>
                    </a:ln>
                  </pic:spPr>
                </pic:pic>
              </a:graphicData>
            </a:graphic>
          </wp:inline>
        </w:drawing>
      </w:r>
    </w:p>
    <w:p w:rsidR="0076195A" w:rsidRPr="00F74784" w:rsidRDefault="0076195A" w:rsidP="008146DB">
      <w:pPr>
        <w:spacing w:before="240"/>
        <w:jc w:val="both"/>
        <w:rPr>
          <w:rFonts w:ascii="Arial" w:hAnsi="Arial" w:cs="Arial"/>
          <w:sz w:val="22"/>
          <w:szCs w:val="22"/>
        </w:rPr>
      </w:pPr>
      <w:r w:rsidRPr="00F74784">
        <w:rPr>
          <w:rFonts w:ascii="Arial" w:hAnsi="Arial" w:cs="Arial"/>
          <w:sz w:val="22"/>
          <w:szCs w:val="22"/>
        </w:rPr>
        <w:t xml:space="preserve">Nettoomsättningen </w:t>
      </w:r>
      <w:r w:rsidR="009C1125">
        <w:rPr>
          <w:rFonts w:ascii="Arial" w:hAnsi="Arial" w:cs="Arial"/>
          <w:sz w:val="22"/>
          <w:szCs w:val="22"/>
        </w:rPr>
        <w:t>för</w:t>
      </w:r>
      <w:r w:rsidR="009C1125" w:rsidRPr="00F74784">
        <w:rPr>
          <w:rFonts w:ascii="Arial" w:hAnsi="Arial" w:cs="Arial"/>
          <w:sz w:val="22"/>
          <w:szCs w:val="22"/>
        </w:rPr>
        <w:t xml:space="preserve"> </w:t>
      </w:r>
      <w:r w:rsidRPr="00F74784">
        <w:rPr>
          <w:rFonts w:ascii="Arial" w:hAnsi="Arial" w:cs="Arial"/>
          <w:sz w:val="22"/>
          <w:szCs w:val="22"/>
        </w:rPr>
        <w:t xml:space="preserve">marknadssegmentet Norden </w:t>
      </w:r>
      <w:r w:rsidR="00601614">
        <w:rPr>
          <w:rFonts w:ascii="Arial" w:hAnsi="Arial" w:cs="Arial"/>
          <w:sz w:val="22"/>
          <w:szCs w:val="22"/>
        </w:rPr>
        <w:t>för</w:t>
      </w:r>
      <w:r w:rsidRPr="00F74784">
        <w:rPr>
          <w:rFonts w:ascii="Arial" w:hAnsi="Arial" w:cs="Arial"/>
          <w:sz w:val="22"/>
          <w:szCs w:val="22"/>
        </w:rPr>
        <w:t xml:space="preserve"> </w:t>
      </w:r>
      <w:r w:rsidR="00382496">
        <w:rPr>
          <w:rFonts w:ascii="Arial" w:hAnsi="Arial" w:cs="Arial"/>
          <w:sz w:val="22"/>
          <w:szCs w:val="22"/>
        </w:rPr>
        <w:t xml:space="preserve">tredje </w:t>
      </w:r>
      <w:r w:rsidRPr="00F74784">
        <w:rPr>
          <w:rFonts w:ascii="Arial" w:hAnsi="Arial" w:cs="Arial"/>
          <w:sz w:val="22"/>
          <w:szCs w:val="22"/>
        </w:rPr>
        <w:t xml:space="preserve">kvartalet </w:t>
      </w:r>
      <w:r w:rsidR="000274D1">
        <w:rPr>
          <w:rFonts w:ascii="Arial" w:hAnsi="Arial" w:cs="Arial"/>
          <w:sz w:val="22"/>
          <w:szCs w:val="22"/>
        </w:rPr>
        <w:t xml:space="preserve">2015 </w:t>
      </w:r>
      <w:r w:rsidR="00050F49">
        <w:rPr>
          <w:rFonts w:ascii="Arial" w:hAnsi="Arial" w:cs="Arial"/>
          <w:sz w:val="22"/>
          <w:szCs w:val="22"/>
        </w:rPr>
        <w:t xml:space="preserve">minskade </w:t>
      </w:r>
      <w:r w:rsidRPr="00F74784">
        <w:rPr>
          <w:rFonts w:ascii="Arial" w:hAnsi="Arial" w:cs="Arial"/>
          <w:sz w:val="22"/>
          <w:szCs w:val="22"/>
        </w:rPr>
        <w:t xml:space="preserve">med </w:t>
      </w:r>
      <w:r w:rsidR="00382496">
        <w:rPr>
          <w:rFonts w:ascii="Arial" w:hAnsi="Arial" w:cs="Arial"/>
          <w:sz w:val="22"/>
          <w:szCs w:val="22"/>
        </w:rPr>
        <w:t>11</w:t>
      </w:r>
      <w:r w:rsidR="005062E4">
        <w:rPr>
          <w:rFonts w:ascii="Arial" w:hAnsi="Arial" w:cs="Arial"/>
          <w:sz w:val="22"/>
          <w:szCs w:val="22"/>
        </w:rPr>
        <w:t xml:space="preserve"> </w:t>
      </w:r>
      <w:r w:rsidRPr="00F74784">
        <w:rPr>
          <w:rFonts w:ascii="Arial" w:hAnsi="Arial" w:cs="Arial"/>
          <w:sz w:val="22"/>
          <w:szCs w:val="22"/>
        </w:rPr>
        <w:t xml:space="preserve">procent jämfört med motsvarande kvartal föregående år och uppgick till </w:t>
      </w:r>
      <w:r w:rsidR="00382496">
        <w:rPr>
          <w:rFonts w:ascii="Arial" w:hAnsi="Arial" w:cs="Arial"/>
          <w:sz w:val="22"/>
          <w:szCs w:val="22"/>
        </w:rPr>
        <w:t>67</w:t>
      </w:r>
      <w:r w:rsidR="005062E4">
        <w:rPr>
          <w:rFonts w:ascii="Arial" w:hAnsi="Arial" w:cs="Arial"/>
          <w:sz w:val="22"/>
          <w:szCs w:val="22"/>
        </w:rPr>
        <w:t xml:space="preserve"> </w:t>
      </w:r>
      <w:r w:rsidRPr="00F74784">
        <w:rPr>
          <w:rFonts w:ascii="Arial" w:hAnsi="Arial" w:cs="Arial"/>
          <w:sz w:val="22"/>
          <w:szCs w:val="22"/>
        </w:rPr>
        <w:t>MSEK (</w:t>
      </w:r>
      <w:r w:rsidR="00382496">
        <w:rPr>
          <w:rFonts w:ascii="Arial" w:hAnsi="Arial" w:cs="Arial"/>
          <w:sz w:val="22"/>
          <w:szCs w:val="22"/>
        </w:rPr>
        <w:t>75</w:t>
      </w:r>
      <w:r w:rsidRPr="00F74784">
        <w:rPr>
          <w:rFonts w:ascii="Arial" w:hAnsi="Arial" w:cs="Arial"/>
          <w:sz w:val="22"/>
          <w:szCs w:val="22"/>
        </w:rPr>
        <w:t>).</w:t>
      </w:r>
      <w:r w:rsidR="00050F49">
        <w:rPr>
          <w:rFonts w:ascii="Arial" w:hAnsi="Arial" w:cs="Arial"/>
          <w:sz w:val="22"/>
          <w:szCs w:val="22"/>
        </w:rPr>
        <w:t xml:space="preserve"> </w:t>
      </w:r>
    </w:p>
    <w:p w:rsidR="0076195A" w:rsidRPr="0076295A" w:rsidRDefault="0076195A" w:rsidP="008146DB">
      <w:pPr>
        <w:spacing w:before="120"/>
        <w:jc w:val="both"/>
        <w:rPr>
          <w:rFonts w:ascii="Arial" w:hAnsi="Arial" w:cs="Arial"/>
          <w:sz w:val="22"/>
          <w:szCs w:val="22"/>
        </w:rPr>
      </w:pPr>
      <w:r w:rsidRPr="0076295A">
        <w:rPr>
          <w:rFonts w:ascii="Arial" w:hAnsi="Arial" w:cs="Arial"/>
          <w:sz w:val="22"/>
          <w:szCs w:val="22"/>
        </w:rPr>
        <w:t xml:space="preserve">Bruttoresultatet för </w:t>
      </w:r>
      <w:r w:rsidR="00382496">
        <w:rPr>
          <w:rFonts w:ascii="Arial" w:hAnsi="Arial" w:cs="Arial"/>
          <w:sz w:val="22"/>
          <w:szCs w:val="22"/>
        </w:rPr>
        <w:t xml:space="preserve">tredje </w:t>
      </w:r>
      <w:r w:rsidRPr="0076295A">
        <w:rPr>
          <w:rFonts w:ascii="Arial" w:hAnsi="Arial" w:cs="Arial"/>
          <w:sz w:val="22"/>
          <w:szCs w:val="22"/>
        </w:rPr>
        <w:t xml:space="preserve">kvartalet </w:t>
      </w:r>
      <w:r w:rsidR="00DB57E1">
        <w:rPr>
          <w:rFonts w:ascii="Arial" w:hAnsi="Arial" w:cs="Arial"/>
          <w:sz w:val="22"/>
          <w:szCs w:val="22"/>
        </w:rPr>
        <w:t>2015</w:t>
      </w:r>
      <w:r w:rsidR="00BC6A21">
        <w:rPr>
          <w:rFonts w:ascii="Arial" w:hAnsi="Arial" w:cs="Arial"/>
          <w:sz w:val="22"/>
          <w:szCs w:val="22"/>
        </w:rPr>
        <w:t xml:space="preserve"> </w:t>
      </w:r>
      <w:r w:rsidRPr="0076295A">
        <w:rPr>
          <w:rFonts w:ascii="Arial" w:hAnsi="Arial" w:cs="Arial"/>
          <w:sz w:val="22"/>
          <w:szCs w:val="22"/>
        </w:rPr>
        <w:t xml:space="preserve">minskade med </w:t>
      </w:r>
      <w:r w:rsidR="00382496">
        <w:rPr>
          <w:rFonts w:ascii="Arial" w:hAnsi="Arial" w:cs="Arial"/>
          <w:sz w:val="22"/>
          <w:szCs w:val="22"/>
        </w:rPr>
        <w:t xml:space="preserve">18 </w:t>
      </w:r>
      <w:r w:rsidR="009F3C08">
        <w:rPr>
          <w:rFonts w:ascii="Arial" w:hAnsi="Arial" w:cs="Arial"/>
          <w:sz w:val="22"/>
          <w:szCs w:val="22"/>
        </w:rPr>
        <w:t xml:space="preserve">procent </w:t>
      </w:r>
      <w:r w:rsidRPr="0076295A">
        <w:rPr>
          <w:rFonts w:ascii="Arial" w:hAnsi="Arial" w:cs="Arial"/>
          <w:sz w:val="22"/>
          <w:szCs w:val="22"/>
        </w:rPr>
        <w:t>jämfört med motsvarande kvartal</w:t>
      </w:r>
      <w:r w:rsidR="00BC6A21">
        <w:rPr>
          <w:rFonts w:ascii="Arial" w:hAnsi="Arial" w:cs="Arial"/>
          <w:sz w:val="22"/>
          <w:szCs w:val="22"/>
        </w:rPr>
        <w:t xml:space="preserve"> föregående år</w:t>
      </w:r>
      <w:r w:rsidRPr="0076295A">
        <w:rPr>
          <w:rFonts w:ascii="Arial" w:hAnsi="Arial" w:cs="Arial"/>
          <w:sz w:val="22"/>
          <w:szCs w:val="22"/>
        </w:rPr>
        <w:t xml:space="preserve"> och uppgick till </w:t>
      </w:r>
      <w:r w:rsidR="00382496">
        <w:rPr>
          <w:rFonts w:ascii="Arial" w:hAnsi="Arial" w:cs="Arial"/>
          <w:sz w:val="22"/>
          <w:szCs w:val="22"/>
        </w:rPr>
        <w:t>36</w:t>
      </w:r>
      <w:r w:rsidR="00DB57E1">
        <w:rPr>
          <w:rFonts w:ascii="Arial" w:hAnsi="Arial" w:cs="Arial"/>
          <w:sz w:val="22"/>
          <w:szCs w:val="22"/>
        </w:rPr>
        <w:t xml:space="preserve"> </w:t>
      </w:r>
      <w:r w:rsidRPr="0076295A">
        <w:rPr>
          <w:rFonts w:ascii="Arial" w:hAnsi="Arial" w:cs="Arial"/>
          <w:sz w:val="22"/>
          <w:szCs w:val="22"/>
        </w:rPr>
        <w:t>MSEK (</w:t>
      </w:r>
      <w:r w:rsidR="00382496">
        <w:rPr>
          <w:rFonts w:ascii="Arial" w:hAnsi="Arial" w:cs="Arial"/>
          <w:sz w:val="22"/>
          <w:szCs w:val="22"/>
        </w:rPr>
        <w:t>44</w:t>
      </w:r>
      <w:r w:rsidRPr="0076295A">
        <w:rPr>
          <w:rFonts w:ascii="Arial" w:hAnsi="Arial" w:cs="Arial"/>
          <w:sz w:val="22"/>
          <w:szCs w:val="22"/>
        </w:rPr>
        <w:t xml:space="preserve">). Bruttomarginalen uppgick till </w:t>
      </w:r>
      <w:r w:rsidR="00382496">
        <w:rPr>
          <w:rFonts w:ascii="Arial" w:hAnsi="Arial" w:cs="Arial"/>
          <w:sz w:val="22"/>
          <w:szCs w:val="22"/>
        </w:rPr>
        <w:t>54</w:t>
      </w:r>
      <w:r w:rsidR="005062E4">
        <w:rPr>
          <w:rFonts w:ascii="Arial" w:hAnsi="Arial" w:cs="Arial"/>
          <w:sz w:val="22"/>
          <w:szCs w:val="22"/>
        </w:rPr>
        <w:t xml:space="preserve"> </w:t>
      </w:r>
      <w:r w:rsidRPr="0076295A">
        <w:rPr>
          <w:rFonts w:ascii="Arial" w:hAnsi="Arial" w:cs="Arial"/>
          <w:sz w:val="22"/>
          <w:szCs w:val="22"/>
        </w:rPr>
        <w:t>procent (</w:t>
      </w:r>
      <w:r w:rsidR="00382496">
        <w:rPr>
          <w:rFonts w:ascii="Arial" w:hAnsi="Arial" w:cs="Arial"/>
          <w:sz w:val="22"/>
          <w:szCs w:val="22"/>
        </w:rPr>
        <w:t>59</w:t>
      </w:r>
      <w:r w:rsidRPr="0076295A">
        <w:rPr>
          <w:rFonts w:ascii="Arial" w:hAnsi="Arial" w:cs="Arial"/>
          <w:sz w:val="22"/>
          <w:szCs w:val="22"/>
        </w:rPr>
        <w:t>).</w:t>
      </w:r>
      <w:r w:rsidR="00D92B5A">
        <w:rPr>
          <w:rFonts w:ascii="Arial" w:hAnsi="Arial" w:cs="Arial"/>
          <w:sz w:val="22"/>
          <w:szCs w:val="22"/>
        </w:rPr>
        <w:t xml:space="preserve"> </w:t>
      </w:r>
    </w:p>
    <w:p w:rsidR="00B92DF7" w:rsidRDefault="005062E4">
      <w:pPr>
        <w:rPr>
          <w:rFonts w:ascii="Arial" w:eastAsiaTheme="majorEastAsia" w:hAnsi="Arial" w:cs="Arial"/>
          <w:bCs/>
          <w:caps/>
          <w:sz w:val="13"/>
        </w:rPr>
      </w:pPr>
      <w:r>
        <w:rPr>
          <w:rFonts w:ascii="Arial" w:eastAsiaTheme="majorEastAsia" w:hAnsi="Arial" w:cs="Arial"/>
          <w:bCs/>
          <w:caps/>
          <w:sz w:val="13"/>
        </w:rPr>
        <w:tab/>
      </w:r>
    </w:p>
    <w:p w:rsidR="0076195A" w:rsidRPr="00F74784" w:rsidRDefault="0076195A" w:rsidP="008146DB">
      <w:pPr>
        <w:pStyle w:val="Heading4"/>
        <w:spacing w:before="240"/>
        <w:rPr>
          <w:rFonts w:ascii="Arial" w:hAnsi="Arial" w:cs="Arial"/>
          <w:sz w:val="22"/>
          <w:szCs w:val="22"/>
        </w:rPr>
      </w:pPr>
      <w:r w:rsidRPr="00F74784">
        <w:rPr>
          <w:rFonts w:ascii="Arial" w:hAnsi="Arial" w:cs="Arial"/>
          <w:sz w:val="22"/>
          <w:szCs w:val="22"/>
        </w:rPr>
        <w:t>AMERIKA</w:t>
      </w:r>
    </w:p>
    <w:p w:rsidR="0076195A" w:rsidRDefault="00382496" w:rsidP="0076195A">
      <w:pPr>
        <w:rPr>
          <w:rFonts w:ascii="Arial" w:eastAsiaTheme="majorEastAsia" w:hAnsi="Arial" w:cs="Arial"/>
          <w:bCs/>
        </w:rPr>
      </w:pPr>
      <w:r>
        <w:rPr>
          <w:rFonts w:ascii="Arial" w:eastAsiaTheme="majorEastAsia" w:hAnsi="Arial" w:cs="Arial"/>
          <w:bCs/>
          <w:noProof/>
          <w:lang w:eastAsia="sv-SE"/>
        </w:rPr>
        <w:drawing>
          <wp:inline distT="0" distB="0" distL="0" distR="0" wp14:anchorId="6E400899" wp14:editId="2996B75D">
            <wp:extent cx="4770120" cy="85993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70120" cy="859936"/>
                    </a:xfrm>
                    <a:prstGeom prst="rect">
                      <a:avLst/>
                    </a:prstGeom>
                    <a:noFill/>
                    <a:ln>
                      <a:noFill/>
                    </a:ln>
                  </pic:spPr>
                </pic:pic>
              </a:graphicData>
            </a:graphic>
          </wp:inline>
        </w:drawing>
      </w:r>
    </w:p>
    <w:p w:rsidR="0076195A" w:rsidRPr="00F74784" w:rsidRDefault="0076195A" w:rsidP="008146DB">
      <w:pPr>
        <w:spacing w:before="240"/>
        <w:jc w:val="both"/>
        <w:rPr>
          <w:rFonts w:ascii="Arial" w:hAnsi="Arial" w:cs="Arial"/>
          <w:sz w:val="22"/>
          <w:szCs w:val="22"/>
        </w:rPr>
      </w:pPr>
      <w:r w:rsidRPr="0076295A">
        <w:rPr>
          <w:rFonts w:ascii="Arial" w:hAnsi="Arial" w:cs="Arial"/>
          <w:sz w:val="22"/>
          <w:szCs w:val="22"/>
        </w:rPr>
        <w:t xml:space="preserve">Nettoomsättningen för marknadssegmentet Amerika </w:t>
      </w:r>
      <w:r w:rsidR="007E4855">
        <w:rPr>
          <w:rFonts w:ascii="Arial" w:hAnsi="Arial" w:cs="Arial"/>
          <w:sz w:val="22"/>
          <w:szCs w:val="22"/>
        </w:rPr>
        <w:t xml:space="preserve">för </w:t>
      </w:r>
      <w:r w:rsidR="00382496">
        <w:rPr>
          <w:rFonts w:ascii="Arial" w:hAnsi="Arial" w:cs="Arial"/>
          <w:sz w:val="22"/>
          <w:szCs w:val="22"/>
        </w:rPr>
        <w:t xml:space="preserve">tredje </w:t>
      </w:r>
      <w:r w:rsidR="00D92B5A">
        <w:rPr>
          <w:rFonts w:ascii="Arial" w:hAnsi="Arial" w:cs="Arial"/>
          <w:sz w:val="22"/>
          <w:szCs w:val="22"/>
        </w:rPr>
        <w:t xml:space="preserve">kvartalet </w:t>
      </w:r>
      <w:r w:rsidR="00DB57E1">
        <w:rPr>
          <w:rFonts w:ascii="Arial" w:hAnsi="Arial" w:cs="Arial"/>
          <w:sz w:val="22"/>
          <w:szCs w:val="22"/>
        </w:rPr>
        <w:t xml:space="preserve">2015 </w:t>
      </w:r>
      <w:r w:rsidR="005062E4">
        <w:rPr>
          <w:rFonts w:ascii="Arial" w:hAnsi="Arial" w:cs="Arial"/>
          <w:sz w:val="22"/>
          <w:szCs w:val="22"/>
        </w:rPr>
        <w:t xml:space="preserve">minskade </w:t>
      </w:r>
      <w:r w:rsidR="00DB57E1">
        <w:rPr>
          <w:rFonts w:ascii="Arial" w:hAnsi="Arial" w:cs="Arial"/>
          <w:sz w:val="22"/>
          <w:szCs w:val="22"/>
        </w:rPr>
        <w:t xml:space="preserve">med </w:t>
      </w:r>
      <w:r w:rsidR="00382496">
        <w:rPr>
          <w:rFonts w:ascii="Arial" w:hAnsi="Arial" w:cs="Arial"/>
          <w:sz w:val="22"/>
          <w:szCs w:val="22"/>
        </w:rPr>
        <w:t>9</w:t>
      </w:r>
      <w:r w:rsidR="005062E4">
        <w:rPr>
          <w:rFonts w:ascii="Arial" w:hAnsi="Arial" w:cs="Arial"/>
          <w:sz w:val="22"/>
          <w:szCs w:val="22"/>
        </w:rPr>
        <w:t xml:space="preserve"> </w:t>
      </w:r>
      <w:r w:rsidR="00DB57E1">
        <w:rPr>
          <w:rFonts w:ascii="Arial" w:hAnsi="Arial" w:cs="Arial"/>
          <w:sz w:val="22"/>
          <w:szCs w:val="22"/>
        </w:rPr>
        <w:t xml:space="preserve">procent </w:t>
      </w:r>
      <w:r w:rsidRPr="00F74784">
        <w:rPr>
          <w:rFonts w:ascii="Arial" w:hAnsi="Arial" w:cs="Arial"/>
          <w:sz w:val="22"/>
          <w:szCs w:val="22"/>
        </w:rPr>
        <w:t xml:space="preserve">jämfört med motsvarande kvartal föregående år och uppgick till </w:t>
      </w:r>
      <w:r w:rsidR="00382496">
        <w:rPr>
          <w:rFonts w:ascii="Arial" w:hAnsi="Arial" w:cs="Arial"/>
          <w:sz w:val="22"/>
          <w:szCs w:val="22"/>
        </w:rPr>
        <w:t>60</w:t>
      </w:r>
      <w:r w:rsidR="009B0788">
        <w:rPr>
          <w:rFonts w:ascii="Arial" w:hAnsi="Arial" w:cs="Arial"/>
          <w:sz w:val="22"/>
          <w:szCs w:val="22"/>
        </w:rPr>
        <w:t xml:space="preserve"> </w:t>
      </w:r>
      <w:r w:rsidRPr="00F74784">
        <w:rPr>
          <w:rFonts w:ascii="Arial" w:hAnsi="Arial" w:cs="Arial"/>
          <w:sz w:val="22"/>
          <w:szCs w:val="22"/>
        </w:rPr>
        <w:t>MSEK (</w:t>
      </w:r>
      <w:r w:rsidR="00382496">
        <w:rPr>
          <w:rFonts w:ascii="Arial" w:hAnsi="Arial" w:cs="Arial"/>
          <w:sz w:val="22"/>
          <w:szCs w:val="22"/>
        </w:rPr>
        <w:t>66</w:t>
      </w:r>
      <w:r w:rsidRPr="00F74784">
        <w:rPr>
          <w:rFonts w:ascii="Arial" w:hAnsi="Arial" w:cs="Arial"/>
          <w:sz w:val="22"/>
          <w:szCs w:val="22"/>
        </w:rPr>
        <w:t>).</w:t>
      </w:r>
      <w:r w:rsidR="004E0447">
        <w:rPr>
          <w:rFonts w:ascii="Arial" w:hAnsi="Arial" w:cs="Arial"/>
          <w:sz w:val="22"/>
          <w:szCs w:val="22"/>
        </w:rPr>
        <w:t xml:space="preserve"> </w:t>
      </w:r>
      <w:r w:rsidRPr="00F74784">
        <w:rPr>
          <w:rFonts w:ascii="Arial" w:hAnsi="Arial" w:cs="Arial"/>
          <w:sz w:val="22"/>
          <w:szCs w:val="22"/>
        </w:rPr>
        <w:t xml:space="preserve">Justerat för valutakurseffekter </w:t>
      </w:r>
      <w:r w:rsidR="009B0788">
        <w:rPr>
          <w:rFonts w:ascii="Arial" w:hAnsi="Arial" w:cs="Arial"/>
          <w:sz w:val="22"/>
          <w:szCs w:val="22"/>
        </w:rPr>
        <w:t xml:space="preserve">minskade </w:t>
      </w:r>
      <w:r w:rsidRPr="00F74784">
        <w:rPr>
          <w:rFonts w:ascii="Arial" w:hAnsi="Arial" w:cs="Arial"/>
          <w:sz w:val="22"/>
          <w:szCs w:val="22"/>
        </w:rPr>
        <w:t xml:space="preserve">nettoomsättningen med </w:t>
      </w:r>
      <w:r w:rsidR="009247A2">
        <w:rPr>
          <w:rFonts w:ascii="Arial" w:hAnsi="Arial" w:cs="Arial"/>
          <w:sz w:val="22"/>
          <w:szCs w:val="22"/>
        </w:rPr>
        <w:t xml:space="preserve">24 </w:t>
      </w:r>
      <w:r w:rsidRPr="00F74784">
        <w:rPr>
          <w:rFonts w:ascii="Arial" w:hAnsi="Arial" w:cs="Arial"/>
          <w:sz w:val="22"/>
          <w:szCs w:val="22"/>
        </w:rPr>
        <w:t>procent.</w:t>
      </w:r>
      <w:r w:rsidR="009C0EDA">
        <w:rPr>
          <w:rFonts w:ascii="Arial" w:hAnsi="Arial" w:cs="Arial"/>
          <w:sz w:val="22"/>
          <w:szCs w:val="22"/>
        </w:rPr>
        <w:t xml:space="preserve"> </w:t>
      </w:r>
    </w:p>
    <w:p w:rsidR="00BC6A21" w:rsidRDefault="0076195A" w:rsidP="008146DB">
      <w:pPr>
        <w:spacing w:before="120"/>
        <w:jc w:val="both"/>
        <w:rPr>
          <w:rFonts w:ascii="Arial" w:hAnsi="Arial" w:cs="Arial"/>
          <w:sz w:val="22"/>
          <w:szCs w:val="22"/>
        </w:rPr>
      </w:pPr>
      <w:r w:rsidRPr="0076295A">
        <w:rPr>
          <w:rFonts w:ascii="Arial" w:hAnsi="Arial" w:cs="Arial"/>
          <w:sz w:val="22"/>
          <w:szCs w:val="22"/>
        </w:rPr>
        <w:lastRenderedPageBreak/>
        <w:t xml:space="preserve">Bruttoresultatet för </w:t>
      </w:r>
      <w:r w:rsidR="00382496">
        <w:rPr>
          <w:rFonts w:ascii="Arial" w:hAnsi="Arial" w:cs="Arial"/>
          <w:sz w:val="22"/>
          <w:szCs w:val="22"/>
        </w:rPr>
        <w:t xml:space="preserve">tredje </w:t>
      </w:r>
      <w:r w:rsidRPr="0076295A">
        <w:rPr>
          <w:rFonts w:ascii="Arial" w:hAnsi="Arial" w:cs="Arial"/>
          <w:sz w:val="22"/>
          <w:szCs w:val="22"/>
        </w:rPr>
        <w:t xml:space="preserve">kvartalet </w:t>
      </w:r>
      <w:r w:rsidR="00DB57E1">
        <w:rPr>
          <w:rFonts w:ascii="Arial" w:hAnsi="Arial" w:cs="Arial"/>
          <w:sz w:val="22"/>
          <w:szCs w:val="22"/>
        </w:rPr>
        <w:t xml:space="preserve">2015 minskade </w:t>
      </w:r>
      <w:r w:rsidR="008B2616">
        <w:rPr>
          <w:rFonts w:ascii="Arial" w:hAnsi="Arial" w:cs="Arial"/>
          <w:sz w:val="22"/>
          <w:szCs w:val="22"/>
        </w:rPr>
        <w:t xml:space="preserve">med </w:t>
      </w:r>
      <w:r w:rsidR="00382496">
        <w:rPr>
          <w:rFonts w:ascii="Arial" w:hAnsi="Arial" w:cs="Arial"/>
          <w:sz w:val="22"/>
          <w:szCs w:val="22"/>
        </w:rPr>
        <w:t xml:space="preserve">57 </w:t>
      </w:r>
      <w:r w:rsidR="008B2616">
        <w:rPr>
          <w:rFonts w:ascii="Arial" w:hAnsi="Arial" w:cs="Arial"/>
          <w:sz w:val="22"/>
          <w:szCs w:val="22"/>
        </w:rPr>
        <w:t>procent jämfört med</w:t>
      </w:r>
      <w:r w:rsidR="007E4925">
        <w:rPr>
          <w:rFonts w:ascii="Arial" w:hAnsi="Arial" w:cs="Arial"/>
          <w:sz w:val="22"/>
          <w:szCs w:val="22"/>
        </w:rPr>
        <w:t xml:space="preserve"> </w:t>
      </w:r>
      <w:r w:rsidR="008B2616">
        <w:rPr>
          <w:rFonts w:ascii="Arial" w:hAnsi="Arial" w:cs="Arial"/>
          <w:sz w:val="22"/>
          <w:szCs w:val="22"/>
        </w:rPr>
        <w:t xml:space="preserve">motsvarande kvartal föregående år och </w:t>
      </w:r>
      <w:r w:rsidRPr="0076295A">
        <w:rPr>
          <w:rFonts w:ascii="Arial" w:hAnsi="Arial" w:cs="Arial"/>
          <w:sz w:val="22"/>
          <w:szCs w:val="22"/>
        </w:rPr>
        <w:t xml:space="preserve">uppgick </w:t>
      </w:r>
      <w:r w:rsidR="00382496">
        <w:rPr>
          <w:rFonts w:ascii="Arial" w:hAnsi="Arial" w:cs="Arial"/>
          <w:sz w:val="22"/>
          <w:szCs w:val="22"/>
        </w:rPr>
        <w:t>13</w:t>
      </w:r>
      <w:r w:rsidR="005062E4">
        <w:rPr>
          <w:rFonts w:ascii="Arial" w:hAnsi="Arial" w:cs="Arial"/>
          <w:sz w:val="22"/>
          <w:szCs w:val="22"/>
        </w:rPr>
        <w:t xml:space="preserve"> </w:t>
      </w:r>
      <w:r w:rsidRPr="0076295A">
        <w:rPr>
          <w:rFonts w:ascii="Arial" w:hAnsi="Arial" w:cs="Arial"/>
          <w:sz w:val="22"/>
          <w:szCs w:val="22"/>
        </w:rPr>
        <w:t>MSEK (</w:t>
      </w:r>
      <w:r w:rsidR="00382496">
        <w:rPr>
          <w:rFonts w:ascii="Arial" w:hAnsi="Arial" w:cs="Arial"/>
          <w:sz w:val="22"/>
          <w:szCs w:val="22"/>
        </w:rPr>
        <w:t>30</w:t>
      </w:r>
      <w:r w:rsidRPr="0076295A">
        <w:rPr>
          <w:rFonts w:ascii="Arial" w:hAnsi="Arial" w:cs="Arial"/>
          <w:sz w:val="22"/>
          <w:szCs w:val="22"/>
        </w:rPr>
        <w:t>).</w:t>
      </w:r>
      <w:r w:rsidR="00B92DF7">
        <w:rPr>
          <w:rFonts w:ascii="Arial" w:hAnsi="Arial" w:cs="Arial"/>
          <w:sz w:val="22"/>
          <w:szCs w:val="22"/>
        </w:rPr>
        <w:t xml:space="preserve"> </w:t>
      </w:r>
      <w:r w:rsidR="00BC6A21">
        <w:rPr>
          <w:rFonts w:ascii="Arial" w:hAnsi="Arial" w:cs="Arial"/>
          <w:sz w:val="22"/>
          <w:szCs w:val="22"/>
        </w:rPr>
        <w:t xml:space="preserve">Bruttomarginalen uppgick till </w:t>
      </w:r>
      <w:r w:rsidR="00382496">
        <w:rPr>
          <w:rFonts w:ascii="Arial" w:hAnsi="Arial" w:cs="Arial"/>
          <w:sz w:val="22"/>
          <w:szCs w:val="22"/>
        </w:rPr>
        <w:t>22</w:t>
      </w:r>
      <w:r w:rsidR="005062E4">
        <w:rPr>
          <w:rFonts w:ascii="Arial" w:hAnsi="Arial" w:cs="Arial"/>
          <w:sz w:val="22"/>
          <w:szCs w:val="22"/>
        </w:rPr>
        <w:t xml:space="preserve"> </w:t>
      </w:r>
      <w:r w:rsidR="00BC6A21">
        <w:rPr>
          <w:rFonts w:ascii="Arial" w:hAnsi="Arial" w:cs="Arial"/>
          <w:sz w:val="22"/>
          <w:szCs w:val="22"/>
        </w:rPr>
        <w:t>procent (</w:t>
      </w:r>
      <w:r w:rsidR="00EA7461">
        <w:rPr>
          <w:rFonts w:ascii="Arial" w:hAnsi="Arial" w:cs="Arial"/>
          <w:sz w:val="22"/>
          <w:szCs w:val="22"/>
        </w:rPr>
        <w:t>45</w:t>
      </w:r>
      <w:r w:rsidR="00BC6A21">
        <w:rPr>
          <w:rFonts w:ascii="Arial" w:hAnsi="Arial" w:cs="Arial"/>
          <w:sz w:val="22"/>
          <w:szCs w:val="22"/>
        </w:rPr>
        <w:t>).</w:t>
      </w:r>
      <w:r w:rsidR="00DB57E1">
        <w:rPr>
          <w:rFonts w:ascii="Arial" w:hAnsi="Arial" w:cs="Arial"/>
          <w:sz w:val="22"/>
          <w:szCs w:val="22"/>
        </w:rPr>
        <w:t xml:space="preserve"> </w:t>
      </w:r>
      <w:r w:rsidR="00DB57E1" w:rsidRPr="009247A2">
        <w:rPr>
          <w:rFonts w:ascii="Arial" w:hAnsi="Arial" w:cs="Arial"/>
          <w:sz w:val="22"/>
          <w:szCs w:val="22"/>
        </w:rPr>
        <w:t xml:space="preserve">Försämringen i bruttomarginalen förklaras </w:t>
      </w:r>
      <w:r w:rsidR="009247A2" w:rsidRPr="009247A2">
        <w:rPr>
          <w:rFonts w:ascii="Arial" w:hAnsi="Arial" w:cs="Arial"/>
          <w:sz w:val="22"/>
          <w:szCs w:val="22"/>
        </w:rPr>
        <w:t xml:space="preserve">delvis </w:t>
      </w:r>
      <w:r w:rsidR="00DB57E1" w:rsidRPr="009247A2">
        <w:rPr>
          <w:rFonts w:ascii="Arial" w:hAnsi="Arial" w:cs="Arial"/>
          <w:sz w:val="22"/>
          <w:szCs w:val="22"/>
        </w:rPr>
        <w:t xml:space="preserve">av att </w:t>
      </w:r>
      <w:r w:rsidR="004C6E0D" w:rsidRPr="009247A2">
        <w:rPr>
          <w:rFonts w:ascii="Arial" w:hAnsi="Arial" w:cs="Arial"/>
          <w:sz w:val="22"/>
          <w:szCs w:val="22"/>
        </w:rPr>
        <w:t xml:space="preserve">kostnader hänförliga till den lokala logistik- och distributionsstrukturen, vilka tidigare redovisats som försäljningskostnader, </w:t>
      </w:r>
      <w:r w:rsidR="00F16F6E" w:rsidRPr="009247A2">
        <w:rPr>
          <w:rFonts w:ascii="Arial" w:hAnsi="Arial" w:cs="Arial"/>
          <w:sz w:val="22"/>
          <w:szCs w:val="22"/>
        </w:rPr>
        <w:t xml:space="preserve">från och med 2015 </w:t>
      </w:r>
      <w:r w:rsidR="004C6E0D" w:rsidRPr="009247A2">
        <w:rPr>
          <w:rFonts w:ascii="Arial" w:hAnsi="Arial" w:cs="Arial"/>
          <w:sz w:val="22"/>
          <w:szCs w:val="22"/>
        </w:rPr>
        <w:t>redovisas som kostnad för sålda varor.</w:t>
      </w:r>
    </w:p>
    <w:p w:rsidR="0076195A" w:rsidRPr="00F74784" w:rsidRDefault="0076195A" w:rsidP="008146DB">
      <w:pPr>
        <w:pStyle w:val="Heading4"/>
        <w:spacing w:before="240"/>
        <w:rPr>
          <w:rFonts w:ascii="Arial" w:hAnsi="Arial" w:cs="Arial"/>
          <w:sz w:val="22"/>
          <w:szCs w:val="22"/>
        </w:rPr>
      </w:pPr>
      <w:r w:rsidRPr="00F74784">
        <w:rPr>
          <w:rFonts w:ascii="Arial" w:hAnsi="Arial" w:cs="Arial"/>
          <w:sz w:val="22"/>
          <w:szCs w:val="22"/>
        </w:rPr>
        <w:t xml:space="preserve">STORBRITANNIEN </w:t>
      </w:r>
    </w:p>
    <w:p w:rsidR="0076195A" w:rsidRPr="00692F63" w:rsidRDefault="00382496" w:rsidP="0076195A">
      <w:pPr>
        <w:rPr>
          <w:rFonts w:ascii="Arial" w:eastAsiaTheme="majorEastAsia" w:hAnsi="Arial" w:cs="Arial"/>
          <w:bCs/>
        </w:rPr>
      </w:pPr>
      <w:r>
        <w:rPr>
          <w:rFonts w:ascii="Arial" w:eastAsiaTheme="majorEastAsia" w:hAnsi="Arial" w:cs="Arial"/>
          <w:bCs/>
          <w:noProof/>
          <w:lang w:eastAsia="sv-SE"/>
        </w:rPr>
        <w:drawing>
          <wp:inline distT="0" distB="0" distL="0" distR="0" wp14:anchorId="16054647" wp14:editId="6365BCF3">
            <wp:extent cx="4770120" cy="867848"/>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0120" cy="867848"/>
                    </a:xfrm>
                    <a:prstGeom prst="rect">
                      <a:avLst/>
                    </a:prstGeom>
                    <a:noFill/>
                    <a:ln>
                      <a:noFill/>
                    </a:ln>
                  </pic:spPr>
                </pic:pic>
              </a:graphicData>
            </a:graphic>
          </wp:inline>
        </w:drawing>
      </w:r>
      <w:r w:rsidR="00A24038" w:rsidRPr="00A24038">
        <w:rPr>
          <w:rFonts w:ascii="Arial" w:eastAsiaTheme="majorEastAsia" w:hAnsi="Arial" w:cs="Arial"/>
          <w:bCs/>
          <w:noProof/>
          <w:lang w:eastAsia="sv-SE"/>
        </w:rPr>
        <w:t xml:space="preserve"> </w:t>
      </w:r>
    </w:p>
    <w:p w:rsidR="0076195A" w:rsidRPr="00F74784" w:rsidRDefault="0076195A" w:rsidP="008146DB">
      <w:pPr>
        <w:spacing w:before="240"/>
        <w:jc w:val="both"/>
        <w:rPr>
          <w:rFonts w:ascii="Arial" w:hAnsi="Arial" w:cs="Arial"/>
          <w:sz w:val="22"/>
          <w:szCs w:val="22"/>
        </w:rPr>
      </w:pPr>
      <w:r w:rsidRPr="0076295A">
        <w:rPr>
          <w:rFonts w:ascii="Arial" w:hAnsi="Arial" w:cs="Arial"/>
          <w:sz w:val="22"/>
          <w:szCs w:val="22"/>
        </w:rPr>
        <w:t xml:space="preserve">Nettoomsättningen för </w:t>
      </w:r>
      <w:r w:rsidR="007E4855">
        <w:rPr>
          <w:rFonts w:ascii="Arial" w:hAnsi="Arial" w:cs="Arial"/>
          <w:sz w:val="22"/>
          <w:szCs w:val="22"/>
        </w:rPr>
        <w:t xml:space="preserve">marknadssegmentet </w:t>
      </w:r>
      <w:r w:rsidRPr="0076295A">
        <w:rPr>
          <w:rFonts w:ascii="Arial" w:hAnsi="Arial" w:cs="Arial"/>
          <w:sz w:val="22"/>
          <w:szCs w:val="22"/>
        </w:rPr>
        <w:t xml:space="preserve">Storbritannien </w:t>
      </w:r>
      <w:r w:rsidR="007E4855">
        <w:rPr>
          <w:rFonts w:ascii="Arial" w:hAnsi="Arial" w:cs="Arial"/>
          <w:sz w:val="22"/>
          <w:szCs w:val="22"/>
        </w:rPr>
        <w:t xml:space="preserve">för </w:t>
      </w:r>
      <w:r w:rsidR="00382496">
        <w:rPr>
          <w:rFonts w:ascii="Arial" w:hAnsi="Arial" w:cs="Arial"/>
          <w:sz w:val="22"/>
          <w:szCs w:val="22"/>
        </w:rPr>
        <w:t xml:space="preserve">tredje </w:t>
      </w:r>
      <w:r w:rsidR="007E4855">
        <w:rPr>
          <w:rFonts w:ascii="Arial" w:hAnsi="Arial" w:cs="Arial"/>
          <w:sz w:val="22"/>
          <w:szCs w:val="22"/>
        </w:rPr>
        <w:t xml:space="preserve">kvartalet </w:t>
      </w:r>
      <w:r w:rsidR="004C6E0D">
        <w:rPr>
          <w:rFonts w:ascii="Arial" w:hAnsi="Arial" w:cs="Arial"/>
          <w:sz w:val="22"/>
          <w:szCs w:val="22"/>
        </w:rPr>
        <w:t xml:space="preserve">2015 </w:t>
      </w:r>
      <w:r w:rsidR="00F16F6E">
        <w:rPr>
          <w:rFonts w:ascii="Arial" w:hAnsi="Arial" w:cs="Arial"/>
          <w:sz w:val="22"/>
          <w:szCs w:val="22"/>
        </w:rPr>
        <w:t xml:space="preserve">minskade </w:t>
      </w:r>
      <w:r w:rsidRPr="0076295A">
        <w:rPr>
          <w:rFonts w:ascii="Arial" w:hAnsi="Arial" w:cs="Arial"/>
          <w:sz w:val="22"/>
          <w:szCs w:val="22"/>
        </w:rPr>
        <w:t xml:space="preserve">med </w:t>
      </w:r>
      <w:r w:rsidR="00382496">
        <w:rPr>
          <w:rFonts w:ascii="Arial" w:hAnsi="Arial" w:cs="Arial"/>
          <w:sz w:val="22"/>
          <w:szCs w:val="22"/>
        </w:rPr>
        <w:t>13</w:t>
      </w:r>
      <w:r w:rsidR="00F16F6E">
        <w:rPr>
          <w:rFonts w:ascii="Arial" w:hAnsi="Arial" w:cs="Arial"/>
          <w:sz w:val="22"/>
          <w:szCs w:val="22"/>
        </w:rPr>
        <w:t xml:space="preserve"> </w:t>
      </w:r>
      <w:r w:rsidRPr="0076295A">
        <w:rPr>
          <w:rFonts w:ascii="Arial" w:hAnsi="Arial" w:cs="Arial"/>
          <w:sz w:val="22"/>
          <w:szCs w:val="22"/>
        </w:rPr>
        <w:t>procent</w:t>
      </w:r>
      <w:r w:rsidR="003C2EDA">
        <w:rPr>
          <w:rFonts w:ascii="Arial" w:hAnsi="Arial" w:cs="Arial"/>
          <w:sz w:val="22"/>
          <w:szCs w:val="22"/>
        </w:rPr>
        <w:t>,</w:t>
      </w:r>
      <w:r w:rsidRPr="0076295A">
        <w:rPr>
          <w:rFonts w:ascii="Arial" w:hAnsi="Arial" w:cs="Arial"/>
          <w:sz w:val="22"/>
          <w:szCs w:val="22"/>
        </w:rPr>
        <w:t xml:space="preserve"> </w:t>
      </w:r>
      <w:r w:rsidRPr="00F74784">
        <w:rPr>
          <w:rFonts w:ascii="Arial" w:hAnsi="Arial" w:cs="Arial"/>
          <w:sz w:val="22"/>
          <w:szCs w:val="22"/>
        </w:rPr>
        <w:t xml:space="preserve">jämfört med motsvarande kvartal föregående år och uppgick till </w:t>
      </w:r>
      <w:r w:rsidR="00382496">
        <w:rPr>
          <w:rFonts w:ascii="Arial" w:hAnsi="Arial" w:cs="Arial"/>
          <w:sz w:val="22"/>
          <w:szCs w:val="22"/>
        </w:rPr>
        <w:t>26</w:t>
      </w:r>
      <w:r w:rsidR="00F16F6E">
        <w:rPr>
          <w:rFonts w:ascii="Arial" w:hAnsi="Arial" w:cs="Arial"/>
          <w:sz w:val="22"/>
          <w:szCs w:val="22"/>
        </w:rPr>
        <w:t xml:space="preserve"> </w:t>
      </w:r>
      <w:r w:rsidRPr="00F74784">
        <w:rPr>
          <w:rFonts w:ascii="Arial" w:hAnsi="Arial" w:cs="Arial"/>
          <w:sz w:val="22"/>
          <w:szCs w:val="22"/>
        </w:rPr>
        <w:t>MSEK (</w:t>
      </w:r>
      <w:r w:rsidR="00382496">
        <w:rPr>
          <w:rFonts w:ascii="Arial" w:hAnsi="Arial" w:cs="Arial"/>
          <w:sz w:val="22"/>
          <w:szCs w:val="22"/>
        </w:rPr>
        <w:t>30</w:t>
      </w:r>
      <w:r w:rsidRPr="00F74784">
        <w:rPr>
          <w:rFonts w:ascii="Arial" w:hAnsi="Arial" w:cs="Arial"/>
          <w:sz w:val="22"/>
          <w:szCs w:val="22"/>
        </w:rPr>
        <w:t xml:space="preserve">). Justerat för valutakurseffekter </w:t>
      </w:r>
      <w:r w:rsidR="00BC6A21">
        <w:rPr>
          <w:rFonts w:ascii="Arial" w:hAnsi="Arial" w:cs="Arial"/>
          <w:sz w:val="22"/>
          <w:szCs w:val="22"/>
        </w:rPr>
        <w:t>minskade</w:t>
      </w:r>
      <w:r w:rsidRPr="00F74784">
        <w:rPr>
          <w:rFonts w:ascii="Arial" w:hAnsi="Arial" w:cs="Arial"/>
          <w:sz w:val="22"/>
          <w:szCs w:val="22"/>
        </w:rPr>
        <w:t xml:space="preserve"> nettoomsättning</w:t>
      </w:r>
      <w:r w:rsidR="00BC6A21">
        <w:rPr>
          <w:rFonts w:ascii="Arial" w:hAnsi="Arial" w:cs="Arial"/>
          <w:sz w:val="22"/>
          <w:szCs w:val="22"/>
        </w:rPr>
        <w:t>en</w:t>
      </w:r>
      <w:r w:rsidRPr="00F74784">
        <w:rPr>
          <w:rFonts w:ascii="Arial" w:hAnsi="Arial" w:cs="Arial"/>
          <w:sz w:val="22"/>
          <w:szCs w:val="22"/>
        </w:rPr>
        <w:t xml:space="preserve"> </w:t>
      </w:r>
      <w:r w:rsidR="00BC6A21">
        <w:rPr>
          <w:rFonts w:ascii="Arial" w:hAnsi="Arial" w:cs="Arial"/>
          <w:sz w:val="22"/>
          <w:szCs w:val="22"/>
        </w:rPr>
        <w:t xml:space="preserve">med </w:t>
      </w:r>
      <w:r w:rsidR="009247A2">
        <w:rPr>
          <w:rFonts w:ascii="Arial" w:hAnsi="Arial" w:cs="Arial"/>
          <w:sz w:val="22"/>
          <w:szCs w:val="22"/>
        </w:rPr>
        <w:t xml:space="preserve">19 </w:t>
      </w:r>
      <w:r w:rsidRPr="00F74784">
        <w:rPr>
          <w:rFonts w:ascii="Arial" w:hAnsi="Arial" w:cs="Arial"/>
          <w:sz w:val="22"/>
          <w:szCs w:val="22"/>
        </w:rPr>
        <w:t>procent.</w:t>
      </w:r>
      <w:r w:rsidR="00C336E7">
        <w:rPr>
          <w:rFonts w:ascii="Arial" w:hAnsi="Arial" w:cs="Arial"/>
          <w:sz w:val="22"/>
          <w:szCs w:val="22"/>
        </w:rPr>
        <w:t xml:space="preserve"> </w:t>
      </w:r>
    </w:p>
    <w:p w:rsidR="00CD76B2" w:rsidRPr="0076295A" w:rsidRDefault="0076195A" w:rsidP="00CD76B2">
      <w:pPr>
        <w:spacing w:before="120"/>
        <w:jc w:val="both"/>
        <w:rPr>
          <w:rFonts w:ascii="Arial" w:hAnsi="Arial" w:cs="Arial"/>
          <w:sz w:val="22"/>
          <w:szCs w:val="22"/>
        </w:rPr>
      </w:pPr>
      <w:r w:rsidRPr="0076295A">
        <w:rPr>
          <w:rFonts w:ascii="Arial" w:hAnsi="Arial" w:cs="Arial"/>
          <w:sz w:val="22"/>
          <w:szCs w:val="22"/>
        </w:rPr>
        <w:t xml:space="preserve">Bruttoresultatet för </w:t>
      </w:r>
      <w:r w:rsidR="00382496">
        <w:rPr>
          <w:rFonts w:ascii="Arial" w:hAnsi="Arial" w:cs="Arial"/>
          <w:sz w:val="22"/>
          <w:szCs w:val="22"/>
        </w:rPr>
        <w:t xml:space="preserve">tredje </w:t>
      </w:r>
      <w:r w:rsidRPr="0076295A">
        <w:rPr>
          <w:rFonts w:ascii="Arial" w:hAnsi="Arial" w:cs="Arial"/>
          <w:sz w:val="22"/>
          <w:szCs w:val="22"/>
        </w:rPr>
        <w:t xml:space="preserve">kvartalet </w:t>
      </w:r>
      <w:r w:rsidR="004C6E0D">
        <w:rPr>
          <w:rFonts w:ascii="Arial" w:hAnsi="Arial" w:cs="Arial"/>
          <w:sz w:val="22"/>
          <w:szCs w:val="22"/>
        </w:rPr>
        <w:t xml:space="preserve">2015 </w:t>
      </w:r>
      <w:r w:rsidR="00F16F6E">
        <w:rPr>
          <w:rFonts w:ascii="Arial" w:hAnsi="Arial" w:cs="Arial"/>
          <w:sz w:val="22"/>
          <w:szCs w:val="22"/>
        </w:rPr>
        <w:t xml:space="preserve">minskade med </w:t>
      </w:r>
      <w:r w:rsidR="00382496">
        <w:rPr>
          <w:rFonts w:ascii="Arial" w:hAnsi="Arial" w:cs="Arial"/>
          <w:sz w:val="22"/>
          <w:szCs w:val="22"/>
        </w:rPr>
        <w:t>42</w:t>
      </w:r>
      <w:r w:rsidR="00F16F6E">
        <w:rPr>
          <w:rFonts w:ascii="Arial" w:hAnsi="Arial" w:cs="Arial"/>
          <w:sz w:val="22"/>
          <w:szCs w:val="22"/>
        </w:rPr>
        <w:t xml:space="preserve"> procent </w:t>
      </w:r>
      <w:r w:rsidRPr="0076295A">
        <w:rPr>
          <w:rFonts w:ascii="Arial" w:hAnsi="Arial" w:cs="Arial"/>
          <w:sz w:val="22"/>
          <w:szCs w:val="22"/>
        </w:rPr>
        <w:t xml:space="preserve">jämfört med motsvarande kvartal föregående år och uppgick till </w:t>
      </w:r>
      <w:r w:rsidR="00F16F6E">
        <w:rPr>
          <w:rFonts w:ascii="Arial" w:hAnsi="Arial" w:cs="Arial"/>
          <w:sz w:val="22"/>
          <w:szCs w:val="22"/>
        </w:rPr>
        <w:t xml:space="preserve">7 </w:t>
      </w:r>
      <w:r w:rsidRPr="0076295A">
        <w:rPr>
          <w:rFonts w:ascii="Arial" w:hAnsi="Arial" w:cs="Arial"/>
          <w:sz w:val="22"/>
          <w:szCs w:val="22"/>
        </w:rPr>
        <w:t>MSEK (</w:t>
      </w:r>
      <w:r w:rsidR="00382496">
        <w:rPr>
          <w:rFonts w:ascii="Arial" w:hAnsi="Arial" w:cs="Arial"/>
          <w:sz w:val="22"/>
          <w:szCs w:val="22"/>
        </w:rPr>
        <w:t>12</w:t>
      </w:r>
      <w:r w:rsidRPr="0076295A">
        <w:rPr>
          <w:rFonts w:ascii="Arial" w:hAnsi="Arial" w:cs="Arial"/>
          <w:sz w:val="22"/>
          <w:szCs w:val="22"/>
        </w:rPr>
        <w:t xml:space="preserve">). Bruttomarginalen uppgick till </w:t>
      </w:r>
      <w:r w:rsidR="00382496">
        <w:rPr>
          <w:rFonts w:ascii="Arial" w:hAnsi="Arial" w:cs="Arial"/>
          <w:sz w:val="22"/>
          <w:szCs w:val="22"/>
        </w:rPr>
        <w:t>27</w:t>
      </w:r>
      <w:r w:rsidR="00F16F6E">
        <w:rPr>
          <w:rFonts w:ascii="Arial" w:hAnsi="Arial" w:cs="Arial"/>
          <w:sz w:val="22"/>
          <w:szCs w:val="22"/>
        </w:rPr>
        <w:t xml:space="preserve"> </w:t>
      </w:r>
      <w:r w:rsidRPr="0076295A">
        <w:rPr>
          <w:rFonts w:ascii="Arial" w:hAnsi="Arial" w:cs="Arial"/>
          <w:sz w:val="22"/>
          <w:szCs w:val="22"/>
        </w:rPr>
        <w:t>procent (</w:t>
      </w:r>
      <w:r w:rsidR="00382496">
        <w:rPr>
          <w:rFonts w:ascii="Arial" w:hAnsi="Arial" w:cs="Arial"/>
          <w:sz w:val="22"/>
          <w:szCs w:val="22"/>
        </w:rPr>
        <w:t>40</w:t>
      </w:r>
      <w:r w:rsidRPr="0076295A">
        <w:rPr>
          <w:rFonts w:ascii="Arial" w:hAnsi="Arial" w:cs="Arial"/>
          <w:sz w:val="22"/>
          <w:szCs w:val="22"/>
        </w:rPr>
        <w:t>).</w:t>
      </w:r>
      <w:r w:rsidR="00CD76B2" w:rsidRPr="00CD76B2">
        <w:rPr>
          <w:rFonts w:ascii="Arial" w:hAnsi="Arial" w:cs="Arial"/>
          <w:sz w:val="22"/>
          <w:szCs w:val="22"/>
        </w:rPr>
        <w:t xml:space="preserve"> </w:t>
      </w:r>
    </w:p>
    <w:p w:rsidR="0076195A" w:rsidRPr="00F74784" w:rsidRDefault="0076195A" w:rsidP="008146DB">
      <w:pPr>
        <w:pStyle w:val="Heading4"/>
        <w:spacing w:before="240"/>
        <w:rPr>
          <w:rFonts w:ascii="Arial" w:hAnsi="Arial" w:cs="Arial"/>
          <w:sz w:val="22"/>
          <w:szCs w:val="22"/>
        </w:rPr>
      </w:pPr>
      <w:r w:rsidRPr="00F74784">
        <w:rPr>
          <w:rFonts w:ascii="Arial" w:hAnsi="Arial" w:cs="Arial"/>
          <w:sz w:val="22"/>
          <w:szCs w:val="22"/>
        </w:rPr>
        <w:t>ÖVRIGA MARKNADER</w:t>
      </w:r>
    </w:p>
    <w:p w:rsidR="0076195A" w:rsidRDefault="0076195A" w:rsidP="0076195A">
      <w:pPr>
        <w:rPr>
          <w:rFonts w:ascii="Arial" w:eastAsiaTheme="majorEastAsia" w:hAnsi="Arial" w:cs="Arial"/>
          <w:bCs/>
        </w:rPr>
      </w:pPr>
    </w:p>
    <w:p w:rsidR="007178E3" w:rsidRDefault="00382496" w:rsidP="0076195A">
      <w:pPr>
        <w:rPr>
          <w:rFonts w:ascii="Arial" w:eastAsiaTheme="majorEastAsia" w:hAnsi="Arial" w:cs="Arial"/>
          <w:bCs/>
        </w:rPr>
      </w:pPr>
      <w:r>
        <w:rPr>
          <w:rFonts w:ascii="Arial" w:eastAsiaTheme="majorEastAsia" w:hAnsi="Arial" w:cs="Arial"/>
          <w:bCs/>
          <w:noProof/>
          <w:lang w:eastAsia="sv-SE"/>
        </w:rPr>
        <w:drawing>
          <wp:inline distT="0" distB="0" distL="0" distR="0" wp14:anchorId="510EA818" wp14:editId="3A537730">
            <wp:extent cx="4770120" cy="843504"/>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70120" cy="843504"/>
                    </a:xfrm>
                    <a:prstGeom prst="rect">
                      <a:avLst/>
                    </a:prstGeom>
                    <a:noFill/>
                    <a:ln>
                      <a:noFill/>
                    </a:ln>
                  </pic:spPr>
                </pic:pic>
              </a:graphicData>
            </a:graphic>
          </wp:inline>
        </w:drawing>
      </w:r>
    </w:p>
    <w:p w:rsidR="0076195A" w:rsidRPr="00F74784" w:rsidRDefault="0076195A" w:rsidP="008146DB">
      <w:pPr>
        <w:spacing w:before="240"/>
        <w:jc w:val="both"/>
        <w:rPr>
          <w:rFonts w:ascii="Arial" w:hAnsi="Arial" w:cs="Arial"/>
          <w:sz w:val="22"/>
          <w:szCs w:val="22"/>
        </w:rPr>
      </w:pPr>
      <w:r w:rsidRPr="0076295A">
        <w:rPr>
          <w:rFonts w:ascii="Arial" w:hAnsi="Arial" w:cs="Arial"/>
          <w:sz w:val="22"/>
          <w:szCs w:val="22"/>
        </w:rPr>
        <w:t xml:space="preserve">Nettoomsättningen för </w:t>
      </w:r>
      <w:r w:rsidR="007E4855">
        <w:rPr>
          <w:rFonts w:ascii="Arial" w:hAnsi="Arial" w:cs="Arial"/>
          <w:sz w:val="22"/>
          <w:szCs w:val="22"/>
        </w:rPr>
        <w:t xml:space="preserve">marknadssegmentet </w:t>
      </w:r>
      <w:r w:rsidRPr="0076295A">
        <w:rPr>
          <w:rFonts w:ascii="Arial" w:hAnsi="Arial" w:cs="Arial"/>
          <w:sz w:val="22"/>
          <w:szCs w:val="22"/>
        </w:rPr>
        <w:t xml:space="preserve">Övriga marknader </w:t>
      </w:r>
      <w:r w:rsidR="007E4855">
        <w:rPr>
          <w:rFonts w:ascii="Arial" w:hAnsi="Arial" w:cs="Arial"/>
          <w:sz w:val="22"/>
          <w:szCs w:val="22"/>
        </w:rPr>
        <w:t xml:space="preserve">för </w:t>
      </w:r>
      <w:r w:rsidR="00382496">
        <w:rPr>
          <w:rFonts w:ascii="Arial" w:hAnsi="Arial" w:cs="Arial"/>
          <w:sz w:val="22"/>
          <w:szCs w:val="22"/>
        </w:rPr>
        <w:t xml:space="preserve">tredje </w:t>
      </w:r>
      <w:r w:rsidR="007E4855">
        <w:rPr>
          <w:rFonts w:ascii="Arial" w:hAnsi="Arial" w:cs="Arial"/>
          <w:sz w:val="22"/>
          <w:szCs w:val="22"/>
        </w:rPr>
        <w:t xml:space="preserve">kvartalet </w:t>
      </w:r>
      <w:r w:rsidR="004C6E0D">
        <w:rPr>
          <w:rFonts w:ascii="Arial" w:hAnsi="Arial" w:cs="Arial"/>
          <w:sz w:val="22"/>
          <w:szCs w:val="22"/>
        </w:rPr>
        <w:t xml:space="preserve">2015 </w:t>
      </w:r>
      <w:r w:rsidR="00F16F6E">
        <w:rPr>
          <w:rFonts w:ascii="Arial" w:hAnsi="Arial" w:cs="Arial"/>
          <w:sz w:val="22"/>
          <w:szCs w:val="22"/>
        </w:rPr>
        <w:t xml:space="preserve">minskade </w:t>
      </w:r>
      <w:r w:rsidR="004C6E0D">
        <w:rPr>
          <w:rFonts w:ascii="Arial" w:hAnsi="Arial" w:cs="Arial"/>
          <w:sz w:val="22"/>
          <w:szCs w:val="22"/>
        </w:rPr>
        <w:t xml:space="preserve">med </w:t>
      </w:r>
      <w:r w:rsidR="00382496">
        <w:rPr>
          <w:rFonts w:ascii="Arial" w:hAnsi="Arial" w:cs="Arial"/>
          <w:sz w:val="22"/>
          <w:szCs w:val="22"/>
        </w:rPr>
        <w:t>2</w:t>
      </w:r>
      <w:r w:rsidR="00F16F6E">
        <w:rPr>
          <w:rFonts w:ascii="Arial" w:hAnsi="Arial" w:cs="Arial"/>
          <w:sz w:val="22"/>
          <w:szCs w:val="22"/>
        </w:rPr>
        <w:t xml:space="preserve"> </w:t>
      </w:r>
      <w:r w:rsidR="004C6E0D">
        <w:rPr>
          <w:rFonts w:ascii="Arial" w:hAnsi="Arial" w:cs="Arial"/>
          <w:sz w:val="22"/>
          <w:szCs w:val="22"/>
        </w:rPr>
        <w:t xml:space="preserve">procent </w:t>
      </w:r>
      <w:r w:rsidRPr="00F74784">
        <w:rPr>
          <w:rFonts w:ascii="Arial" w:hAnsi="Arial" w:cs="Arial"/>
          <w:sz w:val="22"/>
          <w:szCs w:val="22"/>
        </w:rPr>
        <w:t xml:space="preserve">jämfört med motsvarande kvartal föregående år och uppgick till </w:t>
      </w:r>
      <w:r w:rsidR="00382496">
        <w:rPr>
          <w:rFonts w:ascii="Arial" w:hAnsi="Arial" w:cs="Arial"/>
          <w:sz w:val="22"/>
          <w:szCs w:val="22"/>
        </w:rPr>
        <w:t xml:space="preserve">79 </w:t>
      </w:r>
      <w:r w:rsidRPr="00F74784">
        <w:rPr>
          <w:rFonts w:ascii="Arial" w:hAnsi="Arial" w:cs="Arial"/>
          <w:sz w:val="22"/>
          <w:szCs w:val="22"/>
        </w:rPr>
        <w:t>MSEK (</w:t>
      </w:r>
      <w:r w:rsidR="00382496">
        <w:rPr>
          <w:rFonts w:ascii="Arial" w:hAnsi="Arial" w:cs="Arial"/>
          <w:sz w:val="22"/>
          <w:szCs w:val="22"/>
        </w:rPr>
        <w:t>81</w:t>
      </w:r>
      <w:r w:rsidR="00DA0C77">
        <w:rPr>
          <w:rFonts w:ascii="Arial" w:hAnsi="Arial" w:cs="Arial"/>
          <w:sz w:val="22"/>
          <w:szCs w:val="22"/>
        </w:rPr>
        <w:t>)</w:t>
      </w:r>
      <w:r w:rsidRPr="00BA32CE">
        <w:rPr>
          <w:rFonts w:ascii="Arial" w:hAnsi="Arial" w:cs="Arial"/>
          <w:sz w:val="22"/>
          <w:szCs w:val="22"/>
        </w:rPr>
        <w:t>.</w:t>
      </w:r>
      <w:r w:rsidR="00CB39BF">
        <w:rPr>
          <w:rFonts w:ascii="Arial" w:hAnsi="Arial" w:cs="Arial"/>
          <w:sz w:val="22"/>
          <w:szCs w:val="22"/>
        </w:rPr>
        <w:t xml:space="preserve"> </w:t>
      </w:r>
      <w:r w:rsidR="000E0E44" w:rsidRPr="000E0E44">
        <w:rPr>
          <w:rFonts w:ascii="Arial" w:hAnsi="Arial" w:cs="Arial"/>
          <w:sz w:val="22"/>
          <w:szCs w:val="22"/>
        </w:rPr>
        <w:t xml:space="preserve">På de enskilda marknaderna i segmentet ökade nettoomsättningen i främst </w:t>
      </w:r>
      <w:r w:rsidR="00F16F6E">
        <w:rPr>
          <w:rFonts w:ascii="Arial" w:hAnsi="Arial" w:cs="Arial"/>
          <w:sz w:val="22"/>
          <w:szCs w:val="22"/>
        </w:rPr>
        <w:t>Spanien och Italien</w:t>
      </w:r>
      <w:r w:rsidR="000E0E44" w:rsidRPr="000E0E44">
        <w:rPr>
          <w:rFonts w:ascii="Arial" w:hAnsi="Arial" w:cs="Arial"/>
          <w:sz w:val="22"/>
          <w:szCs w:val="22"/>
        </w:rPr>
        <w:t xml:space="preserve"> jämfört med motsvarande kvartal föregående år, medan nettoomsättningen i </w:t>
      </w:r>
      <w:r w:rsidR="00F16F6E">
        <w:rPr>
          <w:rFonts w:ascii="Arial" w:hAnsi="Arial" w:cs="Arial"/>
          <w:sz w:val="22"/>
          <w:szCs w:val="22"/>
        </w:rPr>
        <w:t xml:space="preserve">Tyskland </w:t>
      </w:r>
      <w:r w:rsidR="000E0E44" w:rsidRPr="000E0E44">
        <w:rPr>
          <w:rFonts w:ascii="Arial" w:hAnsi="Arial" w:cs="Arial"/>
          <w:sz w:val="22"/>
          <w:szCs w:val="22"/>
        </w:rPr>
        <w:t>minskade</w:t>
      </w:r>
      <w:r w:rsidR="00D46519">
        <w:rPr>
          <w:rFonts w:ascii="Arial" w:hAnsi="Arial" w:cs="Arial"/>
          <w:sz w:val="22"/>
          <w:szCs w:val="22"/>
        </w:rPr>
        <w:t>.</w:t>
      </w:r>
      <w:r w:rsidR="00CB39BF">
        <w:rPr>
          <w:rFonts w:ascii="Arial" w:hAnsi="Arial" w:cs="Arial"/>
          <w:sz w:val="22"/>
          <w:szCs w:val="22"/>
        </w:rPr>
        <w:t xml:space="preserve"> </w:t>
      </w:r>
    </w:p>
    <w:p w:rsidR="0076195A" w:rsidRDefault="00D06619" w:rsidP="008146DB">
      <w:pPr>
        <w:spacing w:before="120"/>
        <w:jc w:val="both"/>
        <w:rPr>
          <w:rFonts w:ascii="Arial" w:hAnsi="Arial" w:cs="Arial"/>
          <w:sz w:val="22"/>
          <w:szCs w:val="22"/>
        </w:rPr>
      </w:pPr>
      <w:r>
        <w:rPr>
          <w:rFonts w:ascii="Arial" w:hAnsi="Arial" w:cs="Arial"/>
          <w:sz w:val="22"/>
          <w:szCs w:val="22"/>
        </w:rPr>
        <w:t>B</w:t>
      </w:r>
      <w:r w:rsidR="0076195A" w:rsidRPr="0076295A">
        <w:rPr>
          <w:rFonts w:ascii="Arial" w:hAnsi="Arial" w:cs="Arial"/>
          <w:sz w:val="22"/>
          <w:szCs w:val="22"/>
        </w:rPr>
        <w:t xml:space="preserve">ruttoresultatet för </w:t>
      </w:r>
      <w:r w:rsidR="00385C3A">
        <w:rPr>
          <w:rFonts w:ascii="Arial" w:hAnsi="Arial" w:cs="Arial"/>
          <w:sz w:val="22"/>
          <w:szCs w:val="22"/>
        </w:rPr>
        <w:t>t</w:t>
      </w:r>
      <w:r w:rsidR="0077544C">
        <w:rPr>
          <w:rFonts w:ascii="Arial" w:hAnsi="Arial" w:cs="Arial"/>
          <w:sz w:val="22"/>
          <w:szCs w:val="22"/>
        </w:rPr>
        <w:t>r</w:t>
      </w:r>
      <w:r w:rsidR="00385C3A">
        <w:rPr>
          <w:rFonts w:ascii="Arial" w:hAnsi="Arial" w:cs="Arial"/>
          <w:sz w:val="22"/>
          <w:szCs w:val="22"/>
        </w:rPr>
        <w:t xml:space="preserve">edje </w:t>
      </w:r>
      <w:r w:rsidR="0076195A" w:rsidRPr="0076295A">
        <w:rPr>
          <w:rFonts w:ascii="Arial" w:hAnsi="Arial" w:cs="Arial"/>
          <w:sz w:val="22"/>
          <w:szCs w:val="22"/>
        </w:rPr>
        <w:t xml:space="preserve">kvartalet </w:t>
      </w:r>
      <w:r w:rsidR="00DA0C77">
        <w:rPr>
          <w:rFonts w:ascii="Arial" w:hAnsi="Arial" w:cs="Arial"/>
          <w:sz w:val="22"/>
          <w:szCs w:val="22"/>
        </w:rPr>
        <w:t xml:space="preserve">2015 </w:t>
      </w:r>
      <w:r w:rsidR="00F16F6E">
        <w:rPr>
          <w:rFonts w:ascii="Arial" w:hAnsi="Arial" w:cs="Arial"/>
          <w:sz w:val="22"/>
          <w:szCs w:val="22"/>
        </w:rPr>
        <w:t xml:space="preserve">minskade </w:t>
      </w:r>
      <w:r w:rsidR="00DA0C77">
        <w:rPr>
          <w:rFonts w:ascii="Arial" w:hAnsi="Arial" w:cs="Arial"/>
          <w:sz w:val="22"/>
          <w:szCs w:val="22"/>
        </w:rPr>
        <w:t>med</w:t>
      </w:r>
      <w:r w:rsidR="0076195A" w:rsidRPr="0076295A">
        <w:rPr>
          <w:rFonts w:ascii="Arial" w:hAnsi="Arial" w:cs="Arial"/>
          <w:sz w:val="22"/>
          <w:szCs w:val="22"/>
        </w:rPr>
        <w:t xml:space="preserve"> </w:t>
      </w:r>
      <w:r w:rsidR="00EA7461">
        <w:rPr>
          <w:rFonts w:ascii="Arial" w:hAnsi="Arial" w:cs="Arial"/>
          <w:sz w:val="22"/>
          <w:szCs w:val="22"/>
        </w:rPr>
        <w:t>21</w:t>
      </w:r>
      <w:r w:rsidR="00F16F6E">
        <w:rPr>
          <w:rFonts w:ascii="Arial" w:hAnsi="Arial" w:cs="Arial"/>
          <w:sz w:val="22"/>
          <w:szCs w:val="22"/>
        </w:rPr>
        <w:t xml:space="preserve"> </w:t>
      </w:r>
      <w:r w:rsidR="0076195A" w:rsidRPr="0076295A">
        <w:rPr>
          <w:rFonts w:ascii="Arial" w:hAnsi="Arial" w:cs="Arial"/>
          <w:sz w:val="22"/>
          <w:szCs w:val="22"/>
        </w:rPr>
        <w:t xml:space="preserve">procent jämfört med motsvarande kvartal föregående år och uppgick till </w:t>
      </w:r>
      <w:r w:rsidR="0077544C">
        <w:rPr>
          <w:rFonts w:ascii="Arial" w:hAnsi="Arial" w:cs="Arial"/>
          <w:sz w:val="22"/>
          <w:szCs w:val="22"/>
        </w:rPr>
        <w:t>2</w:t>
      </w:r>
      <w:r w:rsidR="00385C3A">
        <w:rPr>
          <w:rFonts w:ascii="Arial" w:hAnsi="Arial" w:cs="Arial"/>
          <w:sz w:val="22"/>
          <w:szCs w:val="22"/>
        </w:rPr>
        <w:t>6</w:t>
      </w:r>
      <w:r w:rsidR="00F16F6E">
        <w:rPr>
          <w:rFonts w:ascii="Arial" w:hAnsi="Arial" w:cs="Arial"/>
          <w:sz w:val="22"/>
          <w:szCs w:val="22"/>
        </w:rPr>
        <w:t xml:space="preserve"> </w:t>
      </w:r>
      <w:r w:rsidR="0076195A" w:rsidRPr="0076295A">
        <w:rPr>
          <w:rFonts w:ascii="Arial" w:hAnsi="Arial" w:cs="Arial"/>
          <w:sz w:val="22"/>
          <w:szCs w:val="22"/>
        </w:rPr>
        <w:t>MSEK (</w:t>
      </w:r>
      <w:r w:rsidR="00385C3A">
        <w:rPr>
          <w:rFonts w:ascii="Arial" w:hAnsi="Arial" w:cs="Arial"/>
          <w:sz w:val="22"/>
          <w:szCs w:val="22"/>
        </w:rPr>
        <w:t>33</w:t>
      </w:r>
      <w:r w:rsidR="0076195A" w:rsidRPr="0076295A">
        <w:rPr>
          <w:rFonts w:ascii="Arial" w:hAnsi="Arial" w:cs="Arial"/>
          <w:sz w:val="22"/>
          <w:szCs w:val="22"/>
        </w:rPr>
        <w:t xml:space="preserve">). Bruttomarginalen uppgick till </w:t>
      </w:r>
      <w:r w:rsidR="00385C3A">
        <w:rPr>
          <w:rFonts w:ascii="Arial" w:hAnsi="Arial" w:cs="Arial"/>
          <w:sz w:val="22"/>
          <w:szCs w:val="22"/>
        </w:rPr>
        <w:t>33</w:t>
      </w:r>
      <w:r w:rsidR="00F16F6E">
        <w:rPr>
          <w:rFonts w:ascii="Arial" w:hAnsi="Arial" w:cs="Arial"/>
          <w:sz w:val="22"/>
          <w:szCs w:val="22"/>
        </w:rPr>
        <w:t xml:space="preserve"> </w:t>
      </w:r>
      <w:r w:rsidR="0076195A" w:rsidRPr="0076295A">
        <w:rPr>
          <w:rFonts w:ascii="Arial" w:hAnsi="Arial" w:cs="Arial"/>
          <w:sz w:val="22"/>
          <w:szCs w:val="22"/>
        </w:rPr>
        <w:t>procent (</w:t>
      </w:r>
      <w:r w:rsidR="00385C3A">
        <w:rPr>
          <w:rFonts w:ascii="Arial" w:hAnsi="Arial" w:cs="Arial"/>
          <w:sz w:val="22"/>
          <w:szCs w:val="22"/>
        </w:rPr>
        <w:t>41</w:t>
      </w:r>
      <w:r w:rsidR="0076195A" w:rsidRPr="0076295A">
        <w:rPr>
          <w:rFonts w:ascii="Arial" w:hAnsi="Arial" w:cs="Arial"/>
          <w:sz w:val="22"/>
          <w:szCs w:val="22"/>
        </w:rPr>
        <w:t>).</w:t>
      </w:r>
      <w:r w:rsidR="00802326">
        <w:rPr>
          <w:rFonts w:ascii="Arial" w:hAnsi="Arial" w:cs="Arial"/>
          <w:sz w:val="22"/>
          <w:szCs w:val="22"/>
        </w:rPr>
        <w:t xml:space="preserve"> </w:t>
      </w:r>
    </w:p>
    <w:p w:rsidR="00635F1D" w:rsidRPr="00761EAF" w:rsidRDefault="00635F1D" w:rsidP="00761EAF">
      <w:pPr>
        <w:pStyle w:val="Heading2"/>
        <w:spacing w:before="360"/>
        <w:jc w:val="both"/>
        <w:rPr>
          <w:rFonts w:ascii="Arial" w:hAnsi="Arial" w:cs="Arial"/>
          <w:b/>
          <w:sz w:val="28"/>
          <w:szCs w:val="28"/>
        </w:rPr>
      </w:pPr>
      <w:r w:rsidRPr="00761EAF">
        <w:rPr>
          <w:rFonts w:ascii="Arial" w:hAnsi="Arial" w:cs="Arial"/>
          <w:b/>
          <w:sz w:val="28"/>
          <w:szCs w:val="28"/>
        </w:rPr>
        <w:t>Moderbolaget</w:t>
      </w:r>
    </w:p>
    <w:p w:rsidR="00635F1D" w:rsidRDefault="00635F1D" w:rsidP="00635F1D">
      <w:pPr>
        <w:spacing w:before="120"/>
        <w:jc w:val="both"/>
        <w:rPr>
          <w:rFonts w:ascii="Arial" w:hAnsi="Arial" w:cs="Arial"/>
          <w:sz w:val="22"/>
          <w:szCs w:val="22"/>
        </w:rPr>
      </w:pPr>
      <w:r w:rsidRPr="00F74784">
        <w:rPr>
          <w:rFonts w:ascii="Arial" w:hAnsi="Arial" w:cs="Arial"/>
          <w:sz w:val="22"/>
          <w:szCs w:val="22"/>
        </w:rPr>
        <w:t xml:space="preserve">Moderbolagets nettoomsättning </w:t>
      </w:r>
      <w:r>
        <w:rPr>
          <w:rFonts w:ascii="Arial" w:hAnsi="Arial" w:cs="Arial"/>
          <w:sz w:val="22"/>
          <w:szCs w:val="22"/>
        </w:rPr>
        <w:t xml:space="preserve">för perioden januari – </w:t>
      </w:r>
      <w:r w:rsidR="00385C3A">
        <w:rPr>
          <w:rFonts w:ascii="Arial" w:hAnsi="Arial" w:cs="Arial"/>
          <w:sz w:val="22"/>
          <w:szCs w:val="22"/>
        </w:rPr>
        <w:t xml:space="preserve">september </w:t>
      </w:r>
      <w:r>
        <w:rPr>
          <w:rFonts w:ascii="Arial" w:hAnsi="Arial" w:cs="Arial"/>
          <w:sz w:val="22"/>
          <w:szCs w:val="22"/>
        </w:rPr>
        <w:t>2015</w:t>
      </w:r>
      <w:r w:rsidRPr="00F74784">
        <w:rPr>
          <w:rFonts w:ascii="Arial" w:hAnsi="Arial" w:cs="Arial"/>
          <w:sz w:val="22"/>
          <w:szCs w:val="22"/>
        </w:rPr>
        <w:t xml:space="preserve"> uppgick till </w:t>
      </w:r>
      <w:r w:rsidR="00385C3A">
        <w:rPr>
          <w:rFonts w:ascii="Arial" w:hAnsi="Arial" w:cs="Arial"/>
          <w:sz w:val="22"/>
          <w:szCs w:val="22"/>
        </w:rPr>
        <w:t>597</w:t>
      </w:r>
      <w:r>
        <w:rPr>
          <w:rFonts w:ascii="Arial" w:hAnsi="Arial" w:cs="Arial"/>
          <w:sz w:val="22"/>
          <w:szCs w:val="22"/>
        </w:rPr>
        <w:t xml:space="preserve"> </w:t>
      </w:r>
      <w:r w:rsidRPr="00F74784">
        <w:rPr>
          <w:rFonts w:ascii="Arial" w:hAnsi="Arial" w:cs="Arial"/>
          <w:sz w:val="22"/>
          <w:szCs w:val="22"/>
        </w:rPr>
        <w:t>MSEK (</w:t>
      </w:r>
      <w:r w:rsidR="00385C3A">
        <w:rPr>
          <w:rFonts w:ascii="Arial" w:hAnsi="Arial" w:cs="Arial"/>
          <w:sz w:val="22"/>
          <w:szCs w:val="22"/>
        </w:rPr>
        <w:t>642</w:t>
      </w:r>
      <w:r w:rsidRPr="00F74784">
        <w:rPr>
          <w:rFonts w:ascii="Arial" w:hAnsi="Arial" w:cs="Arial"/>
          <w:sz w:val="22"/>
          <w:szCs w:val="22"/>
        </w:rPr>
        <w:t xml:space="preserve">). </w:t>
      </w:r>
      <w:r>
        <w:rPr>
          <w:rFonts w:ascii="Arial" w:hAnsi="Arial" w:cs="Arial"/>
          <w:sz w:val="22"/>
          <w:szCs w:val="22"/>
        </w:rPr>
        <w:t>B</w:t>
      </w:r>
      <w:r w:rsidRPr="00F74784">
        <w:rPr>
          <w:rFonts w:ascii="Arial" w:hAnsi="Arial" w:cs="Arial"/>
          <w:sz w:val="22"/>
          <w:szCs w:val="22"/>
        </w:rPr>
        <w:t>ruttoresultat</w:t>
      </w:r>
      <w:r w:rsidR="001C786A">
        <w:rPr>
          <w:rFonts w:ascii="Arial" w:hAnsi="Arial" w:cs="Arial"/>
          <w:sz w:val="22"/>
          <w:szCs w:val="22"/>
        </w:rPr>
        <w:t>et</w:t>
      </w:r>
      <w:r w:rsidRPr="00F74784">
        <w:rPr>
          <w:rFonts w:ascii="Arial" w:hAnsi="Arial" w:cs="Arial"/>
          <w:sz w:val="22"/>
          <w:szCs w:val="22"/>
        </w:rPr>
        <w:t xml:space="preserve"> för </w:t>
      </w:r>
      <w:r>
        <w:rPr>
          <w:rFonts w:ascii="Arial" w:hAnsi="Arial" w:cs="Arial"/>
          <w:sz w:val="22"/>
          <w:szCs w:val="22"/>
        </w:rPr>
        <w:t xml:space="preserve">perioden uppgick till </w:t>
      </w:r>
      <w:r w:rsidR="00385C3A">
        <w:rPr>
          <w:rFonts w:ascii="Arial" w:hAnsi="Arial" w:cs="Arial"/>
          <w:sz w:val="22"/>
          <w:szCs w:val="22"/>
        </w:rPr>
        <w:t>232</w:t>
      </w:r>
      <w:r>
        <w:rPr>
          <w:rFonts w:ascii="Arial" w:hAnsi="Arial" w:cs="Arial"/>
          <w:sz w:val="22"/>
          <w:szCs w:val="22"/>
        </w:rPr>
        <w:t xml:space="preserve"> </w:t>
      </w:r>
      <w:r w:rsidRPr="00F74784">
        <w:rPr>
          <w:rFonts w:ascii="Arial" w:hAnsi="Arial" w:cs="Arial"/>
          <w:sz w:val="22"/>
          <w:szCs w:val="22"/>
        </w:rPr>
        <w:t>MSEK (</w:t>
      </w:r>
      <w:r w:rsidR="00385C3A">
        <w:rPr>
          <w:rFonts w:ascii="Arial" w:hAnsi="Arial" w:cs="Arial"/>
          <w:sz w:val="22"/>
          <w:szCs w:val="22"/>
        </w:rPr>
        <w:t>254</w:t>
      </w:r>
      <w:r w:rsidRPr="00F74784">
        <w:rPr>
          <w:rFonts w:ascii="Arial" w:hAnsi="Arial" w:cs="Arial"/>
          <w:sz w:val="22"/>
          <w:szCs w:val="22"/>
        </w:rPr>
        <w:t xml:space="preserve">), och bruttomarginalen var </w:t>
      </w:r>
      <w:r w:rsidR="0073486A">
        <w:rPr>
          <w:rFonts w:ascii="Arial" w:hAnsi="Arial" w:cs="Arial"/>
          <w:sz w:val="22"/>
          <w:szCs w:val="22"/>
        </w:rPr>
        <w:t>39</w:t>
      </w:r>
      <w:r>
        <w:rPr>
          <w:rFonts w:ascii="Arial" w:hAnsi="Arial" w:cs="Arial"/>
          <w:sz w:val="22"/>
          <w:szCs w:val="22"/>
        </w:rPr>
        <w:t xml:space="preserve"> </w:t>
      </w:r>
      <w:r w:rsidRPr="00F74784">
        <w:rPr>
          <w:rFonts w:ascii="Arial" w:hAnsi="Arial" w:cs="Arial"/>
          <w:sz w:val="22"/>
          <w:szCs w:val="22"/>
        </w:rPr>
        <w:t>procent (</w:t>
      </w:r>
      <w:r>
        <w:rPr>
          <w:rFonts w:ascii="Arial" w:hAnsi="Arial" w:cs="Arial"/>
          <w:sz w:val="22"/>
          <w:szCs w:val="22"/>
        </w:rPr>
        <w:t>40</w:t>
      </w:r>
      <w:r w:rsidRPr="00F74784">
        <w:rPr>
          <w:rFonts w:ascii="Arial" w:hAnsi="Arial" w:cs="Arial"/>
          <w:sz w:val="22"/>
          <w:szCs w:val="22"/>
        </w:rPr>
        <w:t xml:space="preserve">). </w:t>
      </w:r>
    </w:p>
    <w:p w:rsidR="00635F1D" w:rsidRPr="00F74784" w:rsidRDefault="00635F1D" w:rsidP="00635F1D">
      <w:pPr>
        <w:spacing w:before="120"/>
        <w:jc w:val="both"/>
        <w:rPr>
          <w:rFonts w:ascii="Arial" w:hAnsi="Arial" w:cs="Arial"/>
          <w:sz w:val="22"/>
          <w:szCs w:val="22"/>
        </w:rPr>
      </w:pPr>
      <w:r w:rsidRPr="00915BEC">
        <w:rPr>
          <w:rFonts w:ascii="Arial" w:hAnsi="Arial" w:cs="Arial"/>
          <w:sz w:val="22"/>
          <w:szCs w:val="22"/>
        </w:rPr>
        <w:t>Moderbolagets</w:t>
      </w:r>
      <w:r w:rsidRPr="00296754">
        <w:rPr>
          <w:rFonts w:ascii="Arial" w:hAnsi="Arial" w:cs="Arial"/>
          <w:sz w:val="22"/>
          <w:szCs w:val="22"/>
        </w:rPr>
        <w:t xml:space="preserve"> rörelseresultat för </w:t>
      </w:r>
      <w:r>
        <w:rPr>
          <w:rFonts w:ascii="Arial" w:hAnsi="Arial" w:cs="Arial"/>
          <w:sz w:val="22"/>
          <w:szCs w:val="22"/>
        </w:rPr>
        <w:t xml:space="preserve">perioden januari – </w:t>
      </w:r>
      <w:r w:rsidR="0073486A">
        <w:rPr>
          <w:rFonts w:ascii="Arial" w:hAnsi="Arial" w:cs="Arial"/>
          <w:sz w:val="22"/>
          <w:szCs w:val="22"/>
        </w:rPr>
        <w:t xml:space="preserve">september </w:t>
      </w:r>
      <w:r>
        <w:rPr>
          <w:rFonts w:ascii="Arial" w:hAnsi="Arial" w:cs="Arial"/>
          <w:sz w:val="22"/>
          <w:szCs w:val="22"/>
        </w:rPr>
        <w:t xml:space="preserve">2015 </w:t>
      </w:r>
      <w:r w:rsidRPr="00296754">
        <w:rPr>
          <w:rFonts w:ascii="Arial" w:hAnsi="Arial" w:cs="Arial"/>
          <w:sz w:val="22"/>
          <w:szCs w:val="22"/>
        </w:rPr>
        <w:t xml:space="preserve">uppgick till </w:t>
      </w:r>
      <w:r w:rsidR="0073486A">
        <w:rPr>
          <w:rFonts w:ascii="Arial" w:hAnsi="Arial" w:cs="Arial"/>
          <w:sz w:val="22"/>
          <w:szCs w:val="22"/>
        </w:rPr>
        <w:t xml:space="preserve">68 </w:t>
      </w:r>
      <w:r w:rsidRPr="00296754">
        <w:rPr>
          <w:rFonts w:ascii="Arial" w:hAnsi="Arial" w:cs="Arial"/>
          <w:sz w:val="22"/>
          <w:szCs w:val="22"/>
        </w:rPr>
        <w:t>M</w:t>
      </w:r>
      <w:r w:rsidR="0073486A">
        <w:rPr>
          <w:rFonts w:ascii="Arial" w:hAnsi="Arial" w:cs="Arial"/>
          <w:sz w:val="22"/>
          <w:szCs w:val="22"/>
        </w:rPr>
        <w:t>S</w:t>
      </w:r>
      <w:r w:rsidRPr="00296754">
        <w:rPr>
          <w:rFonts w:ascii="Arial" w:hAnsi="Arial" w:cs="Arial"/>
          <w:sz w:val="22"/>
          <w:szCs w:val="22"/>
        </w:rPr>
        <w:t>EK (</w:t>
      </w:r>
      <w:r w:rsidR="0073486A">
        <w:rPr>
          <w:rFonts w:ascii="Arial" w:hAnsi="Arial" w:cs="Arial"/>
          <w:sz w:val="22"/>
          <w:szCs w:val="22"/>
        </w:rPr>
        <w:t>93</w:t>
      </w:r>
      <w:r w:rsidRPr="00296754">
        <w:rPr>
          <w:rFonts w:ascii="Arial" w:hAnsi="Arial" w:cs="Arial"/>
          <w:sz w:val="22"/>
          <w:szCs w:val="22"/>
        </w:rPr>
        <w:t>)</w:t>
      </w:r>
      <w:r>
        <w:rPr>
          <w:rFonts w:ascii="Arial" w:hAnsi="Arial" w:cs="Arial"/>
          <w:sz w:val="22"/>
          <w:szCs w:val="22"/>
        </w:rPr>
        <w:t xml:space="preserve">, och rörelsemarginalen var </w:t>
      </w:r>
      <w:r w:rsidR="0073486A">
        <w:rPr>
          <w:rFonts w:ascii="Arial" w:hAnsi="Arial" w:cs="Arial"/>
          <w:sz w:val="22"/>
          <w:szCs w:val="22"/>
        </w:rPr>
        <w:t>11</w:t>
      </w:r>
      <w:r>
        <w:rPr>
          <w:rFonts w:ascii="Arial" w:hAnsi="Arial" w:cs="Arial"/>
          <w:sz w:val="22"/>
          <w:szCs w:val="22"/>
        </w:rPr>
        <w:t xml:space="preserve"> procent (</w:t>
      </w:r>
      <w:r w:rsidR="0073486A">
        <w:rPr>
          <w:rFonts w:ascii="Arial" w:hAnsi="Arial" w:cs="Arial"/>
          <w:sz w:val="22"/>
          <w:szCs w:val="22"/>
        </w:rPr>
        <w:t>14</w:t>
      </w:r>
      <w:r>
        <w:rPr>
          <w:rFonts w:ascii="Arial" w:hAnsi="Arial" w:cs="Arial"/>
          <w:sz w:val="22"/>
          <w:szCs w:val="22"/>
        </w:rPr>
        <w:t>)</w:t>
      </w:r>
      <w:r w:rsidRPr="00296754">
        <w:rPr>
          <w:rFonts w:ascii="Arial" w:hAnsi="Arial" w:cs="Arial"/>
          <w:sz w:val="22"/>
          <w:szCs w:val="22"/>
        </w:rPr>
        <w:t>.</w:t>
      </w:r>
    </w:p>
    <w:p w:rsidR="00635F1D" w:rsidRDefault="00635F1D" w:rsidP="00635F1D">
      <w:pPr>
        <w:spacing w:before="120"/>
        <w:jc w:val="both"/>
        <w:rPr>
          <w:rFonts w:ascii="Arial" w:hAnsi="Arial" w:cs="Arial"/>
          <w:sz w:val="22"/>
          <w:szCs w:val="22"/>
        </w:rPr>
      </w:pPr>
      <w:r>
        <w:rPr>
          <w:rFonts w:ascii="Arial" w:hAnsi="Arial" w:cs="Arial"/>
          <w:sz w:val="22"/>
          <w:szCs w:val="22"/>
        </w:rPr>
        <w:t xml:space="preserve">Periodens resultat för </w:t>
      </w:r>
      <w:r w:rsidRPr="00F74784">
        <w:rPr>
          <w:rFonts w:ascii="Arial" w:hAnsi="Arial" w:cs="Arial"/>
          <w:sz w:val="22"/>
          <w:szCs w:val="22"/>
        </w:rPr>
        <w:t xml:space="preserve">Moderbolaget för </w:t>
      </w:r>
      <w:r w:rsidR="0073486A">
        <w:rPr>
          <w:rFonts w:ascii="Arial" w:hAnsi="Arial" w:cs="Arial"/>
          <w:sz w:val="22"/>
          <w:szCs w:val="22"/>
        </w:rPr>
        <w:t>perioden januari – september</w:t>
      </w:r>
      <w:r>
        <w:rPr>
          <w:rFonts w:ascii="Arial" w:hAnsi="Arial" w:cs="Arial"/>
          <w:sz w:val="22"/>
          <w:szCs w:val="22"/>
        </w:rPr>
        <w:t xml:space="preserve"> 2015 uppgick till</w:t>
      </w:r>
      <w:r w:rsidRPr="00F74784">
        <w:rPr>
          <w:rFonts w:ascii="Arial" w:hAnsi="Arial" w:cs="Arial"/>
          <w:sz w:val="22"/>
          <w:szCs w:val="22"/>
        </w:rPr>
        <w:t xml:space="preserve"> </w:t>
      </w:r>
      <w:r w:rsidR="0073486A">
        <w:rPr>
          <w:rFonts w:ascii="Arial" w:hAnsi="Arial" w:cs="Arial"/>
          <w:sz w:val="22"/>
          <w:szCs w:val="22"/>
        </w:rPr>
        <w:t>53</w:t>
      </w:r>
      <w:r>
        <w:rPr>
          <w:rFonts w:ascii="Arial" w:hAnsi="Arial" w:cs="Arial"/>
          <w:sz w:val="22"/>
          <w:szCs w:val="22"/>
        </w:rPr>
        <w:t xml:space="preserve"> </w:t>
      </w:r>
      <w:r w:rsidRPr="00F74784">
        <w:rPr>
          <w:rFonts w:ascii="Arial" w:hAnsi="Arial" w:cs="Arial"/>
          <w:sz w:val="22"/>
          <w:szCs w:val="22"/>
        </w:rPr>
        <w:t>MSEK (</w:t>
      </w:r>
      <w:r w:rsidR="0073486A">
        <w:rPr>
          <w:rFonts w:ascii="Arial" w:hAnsi="Arial" w:cs="Arial"/>
          <w:sz w:val="22"/>
          <w:szCs w:val="22"/>
        </w:rPr>
        <w:t>73</w:t>
      </w:r>
      <w:r w:rsidRPr="00F74784">
        <w:rPr>
          <w:rFonts w:ascii="Arial" w:hAnsi="Arial" w:cs="Arial"/>
          <w:sz w:val="22"/>
          <w:szCs w:val="22"/>
        </w:rPr>
        <w:t>)</w:t>
      </w:r>
      <w:r>
        <w:rPr>
          <w:rFonts w:ascii="Arial" w:hAnsi="Arial" w:cs="Arial"/>
          <w:sz w:val="22"/>
          <w:szCs w:val="22"/>
        </w:rPr>
        <w:t xml:space="preserve">, och kassaflödet för perioden var </w:t>
      </w:r>
      <w:r w:rsidR="0073486A">
        <w:rPr>
          <w:rFonts w:ascii="Arial" w:hAnsi="Arial" w:cs="Arial"/>
          <w:sz w:val="22"/>
          <w:szCs w:val="22"/>
        </w:rPr>
        <w:t>0</w:t>
      </w:r>
      <w:r>
        <w:rPr>
          <w:rFonts w:ascii="Arial" w:hAnsi="Arial" w:cs="Arial"/>
          <w:sz w:val="22"/>
          <w:szCs w:val="22"/>
        </w:rPr>
        <w:t xml:space="preserve"> </w:t>
      </w:r>
      <w:r w:rsidRPr="00F74784">
        <w:rPr>
          <w:rFonts w:ascii="Arial" w:hAnsi="Arial" w:cs="Arial"/>
          <w:sz w:val="22"/>
          <w:szCs w:val="22"/>
        </w:rPr>
        <w:t>MSEK (</w:t>
      </w:r>
      <w:r w:rsidR="0073486A">
        <w:rPr>
          <w:rFonts w:ascii="Arial" w:hAnsi="Arial" w:cs="Arial"/>
          <w:sz w:val="22"/>
          <w:szCs w:val="22"/>
        </w:rPr>
        <w:t>14</w:t>
      </w:r>
      <w:r w:rsidRPr="00F74784">
        <w:rPr>
          <w:rFonts w:ascii="Arial" w:hAnsi="Arial" w:cs="Arial"/>
          <w:sz w:val="22"/>
          <w:szCs w:val="22"/>
        </w:rPr>
        <w:t>).</w:t>
      </w:r>
    </w:p>
    <w:p w:rsidR="00007454" w:rsidRDefault="00635F1D" w:rsidP="00007454">
      <w:pPr>
        <w:spacing w:before="120"/>
        <w:jc w:val="both"/>
        <w:rPr>
          <w:rFonts w:ascii="Arial" w:hAnsi="Arial" w:cs="Arial"/>
          <w:sz w:val="22"/>
          <w:szCs w:val="22"/>
        </w:rPr>
      </w:pPr>
      <w:r>
        <w:rPr>
          <w:rFonts w:ascii="Arial" w:hAnsi="Arial" w:cs="Arial"/>
          <w:sz w:val="22"/>
          <w:szCs w:val="22"/>
        </w:rPr>
        <w:lastRenderedPageBreak/>
        <w:t xml:space="preserve">Per 30 </w:t>
      </w:r>
      <w:r w:rsidR="0073486A">
        <w:rPr>
          <w:rFonts w:ascii="Arial" w:hAnsi="Arial" w:cs="Arial"/>
          <w:sz w:val="22"/>
          <w:szCs w:val="22"/>
        </w:rPr>
        <w:t xml:space="preserve">september </w:t>
      </w:r>
      <w:r>
        <w:rPr>
          <w:rFonts w:ascii="Arial" w:hAnsi="Arial" w:cs="Arial"/>
          <w:sz w:val="22"/>
          <w:szCs w:val="22"/>
        </w:rPr>
        <w:t xml:space="preserve">2015 uppgick likvida medel i </w:t>
      </w:r>
      <w:r w:rsidR="00D4067D">
        <w:rPr>
          <w:rFonts w:ascii="Arial" w:hAnsi="Arial" w:cs="Arial"/>
          <w:sz w:val="22"/>
          <w:szCs w:val="22"/>
        </w:rPr>
        <w:t>M</w:t>
      </w:r>
      <w:r>
        <w:rPr>
          <w:rFonts w:ascii="Arial" w:hAnsi="Arial" w:cs="Arial"/>
          <w:sz w:val="22"/>
          <w:szCs w:val="22"/>
        </w:rPr>
        <w:t xml:space="preserve">oderbolaget till </w:t>
      </w:r>
      <w:r w:rsidR="0073486A">
        <w:rPr>
          <w:rFonts w:ascii="Arial" w:hAnsi="Arial" w:cs="Arial"/>
          <w:sz w:val="22"/>
          <w:szCs w:val="22"/>
        </w:rPr>
        <w:t xml:space="preserve">156 </w:t>
      </w:r>
      <w:r>
        <w:rPr>
          <w:rFonts w:ascii="Arial" w:hAnsi="Arial" w:cs="Arial"/>
          <w:sz w:val="22"/>
          <w:szCs w:val="22"/>
        </w:rPr>
        <w:t>MSEK (2014-12-31: 155) och soliditeten var</w:t>
      </w:r>
      <w:r w:rsidRPr="00F74784">
        <w:rPr>
          <w:rFonts w:ascii="Arial" w:hAnsi="Arial" w:cs="Arial"/>
          <w:sz w:val="22"/>
          <w:szCs w:val="22"/>
        </w:rPr>
        <w:t xml:space="preserve"> </w:t>
      </w:r>
      <w:r w:rsidR="0073486A">
        <w:rPr>
          <w:rFonts w:ascii="Arial" w:hAnsi="Arial" w:cs="Arial"/>
          <w:sz w:val="22"/>
          <w:szCs w:val="22"/>
        </w:rPr>
        <w:t>87</w:t>
      </w:r>
      <w:r>
        <w:rPr>
          <w:rFonts w:ascii="Arial" w:hAnsi="Arial" w:cs="Arial"/>
          <w:sz w:val="22"/>
          <w:szCs w:val="22"/>
        </w:rPr>
        <w:t xml:space="preserve"> </w:t>
      </w:r>
      <w:r w:rsidRPr="00F74784">
        <w:rPr>
          <w:rFonts w:ascii="Arial" w:hAnsi="Arial" w:cs="Arial"/>
          <w:sz w:val="22"/>
          <w:szCs w:val="22"/>
        </w:rPr>
        <w:t>procent (</w:t>
      </w:r>
      <w:r>
        <w:rPr>
          <w:rFonts w:ascii="Arial" w:hAnsi="Arial" w:cs="Arial"/>
          <w:sz w:val="22"/>
          <w:szCs w:val="22"/>
        </w:rPr>
        <w:t>2014-12-31: 83).</w:t>
      </w:r>
      <w:r w:rsidR="00007454">
        <w:rPr>
          <w:rFonts w:ascii="Arial" w:hAnsi="Arial" w:cs="Arial"/>
          <w:sz w:val="22"/>
          <w:szCs w:val="22"/>
        </w:rPr>
        <w:t xml:space="preserve"> Moderbolaget har en beviljad remburs- och garantikredit</w:t>
      </w:r>
      <w:r w:rsidR="00007454" w:rsidRPr="00F74784">
        <w:rPr>
          <w:rFonts w:ascii="Arial" w:hAnsi="Arial" w:cs="Arial"/>
          <w:sz w:val="22"/>
          <w:szCs w:val="22"/>
        </w:rPr>
        <w:t xml:space="preserve"> om 50 MSEK. </w:t>
      </w:r>
      <w:r w:rsidR="00007454">
        <w:rPr>
          <w:rFonts w:ascii="Arial" w:hAnsi="Arial" w:cs="Arial"/>
          <w:sz w:val="22"/>
          <w:szCs w:val="22"/>
        </w:rPr>
        <w:t xml:space="preserve">Krediten var outnyttjad </w:t>
      </w:r>
      <w:r w:rsidR="00007454" w:rsidRPr="00F74784">
        <w:rPr>
          <w:rFonts w:ascii="Arial" w:hAnsi="Arial" w:cs="Arial"/>
          <w:sz w:val="22"/>
          <w:szCs w:val="22"/>
        </w:rPr>
        <w:t xml:space="preserve">per </w:t>
      </w:r>
      <w:r w:rsidR="00007454">
        <w:rPr>
          <w:rFonts w:ascii="Arial" w:hAnsi="Arial" w:cs="Arial"/>
          <w:sz w:val="22"/>
          <w:szCs w:val="22"/>
        </w:rPr>
        <w:t xml:space="preserve">30 </w:t>
      </w:r>
      <w:r w:rsidR="0073486A">
        <w:rPr>
          <w:rFonts w:ascii="Arial" w:hAnsi="Arial" w:cs="Arial"/>
          <w:sz w:val="22"/>
          <w:szCs w:val="22"/>
        </w:rPr>
        <w:t>september</w:t>
      </w:r>
      <w:r w:rsidR="00007454">
        <w:rPr>
          <w:rFonts w:ascii="Arial" w:hAnsi="Arial" w:cs="Arial"/>
          <w:sz w:val="22"/>
          <w:szCs w:val="22"/>
        </w:rPr>
        <w:t xml:space="preserve"> 2015</w:t>
      </w:r>
      <w:r w:rsidR="00007454" w:rsidRPr="00F74784">
        <w:rPr>
          <w:rFonts w:ascii="Arial" w:hAnsi="Arial" w:cs="Arial"/>
          <w:sz w:val="22"/>
          <w:szCs w:val="22"/>
        </w:rPr>
        <w:t>.</w:t>
      </w:r>
    </w:p>
    <w:p w:rsidR="00635F1D" w:rsidRDefault="00635F1D" w:rsidP="00761EAF">
      <w:pPr>
        <w:spacing w:before="120"/>
        <w:jc w:val="both"/>
        <w:rPr>
          <w:rFonts w:ascii="Arial" w:hAnsi="Arial" w:cs="Arial"/>
          <w:sz w:val="22"/>
          <w:szCs w:val="22"/>
        </w:rPr>
      </w:pPr>
      <w:r>
        <w:rPr>
          <w:rFonts w:ascii="Arial" w:hAnsi="Arial" w:cs="Arial"/>
          <w:sz w:val="22"/>
          <w:szCs w:val="22"/>
        </w:rPr>
        <w:t xml:space="preserve">Medelantalet anställda i Moderbolaget under perioden januari – </w:t>
      </w:r>
      <w:r w:rsidR="0073486A">
        <w:rPr>
          <w:rFonts w:ascii="Arial" w:hAnsi="Arial" w:cs="Arial"/>
          <w:sz w:val="22"/>
          <w:szCs w:val="22"/>
        </w:rPr>
        <w:t xml:space="preserve">september </w:t>
      </w:r>
      <w:r>
        <w:rPr>
          <w:rFonts w:ascii="Arial" w:hAnsi="Arial" w:cs="Arial"/>
          <w:sz w:val="22"/>
          <w:szCs w:val="22"/>
        </w:rPr>
        <w:t xml:space="preserve">2015 uppgick till </w:t>
      </w:r>
      <w:r w:rsidR="0073486A">
        <w:rPr>
          <w:rFonts w:ascii="Arial" w:hAnsi="Arial" w:cs="Arial"/>
          <w:sz w:val="22"/>
          <w:szCs w:val="22"/>
        </w:rPr>
        <w:t xml:space="preserve">276 </w:t>
      </w:r>
      <w:r>
        <w:rPr>
          <w:rFonts w:ascii="Arial" w:hAnsi="Arial" w:cs="Arial"/>
          <w:sz w:val="22"/>
          <w:szCs w:val="22"/>
        </w:rPr>
        <w:t>(</w:t>
      </w:r>
      <w:r w:rsidR="0073486A">
        <w:rPr>
          <w:rFonts w:ascii="Arial" w:hAnsi="Arial" w:cs="Arial"/>
          <w:sz w:val="22"/>
          <w:szCs w:val="22"/>
        </w:rPr>
        <w:t>297</w:t>
      </w:r>
      <w:r>
        <w:rPr>
          <w:rFonts w:ascii="Arial" w:hAnsi="Arial" w:cs="Arial"/>
          <w:sz w:val="22"/>
          <w:szCs w:val="22"/>
        </w:rPr>
        <w:t>).</w:t>
      </w:r>
    </w:p>
    <w:p w:rsidR="0076195A" w:rsidRPr="00BF33A4" w:rsidRDefault="0076195A" w:rsidP="008146DB">
      <w:pPr>
        <w:pStyle w:val="Heading2"/>
        <w:spacing w:before="360"/>
        <w:jc w:val="both"/>
        <w:rPr>
          <w:rFonts w:ascii="Arial" w:hAnsi="Arial" w:cs="Arial"/>
          <w:b/>
          <w:sz w:val="28"/>
          <w:szCs w:val="28"/>
        </w:rPr>
      </w:pPr>
      <w:r w:rsidRPr="00BF33A4">
        <w:rPr>
          <w:rFonts w:ascii="Arial" w:hAnsi="Arial" w:cs="Arial"/>
          <w:b/>
          <w:sz w:val="28"/>
          <w:szCs w:val="28"/>
        </w:rPr>
        <w:t xml:space="preserve">Övrig väsentlig information </w:t>
      </w:r>
    </w:p>
    <w:p w:rsidR="0076195A" w:rsidRPr="00761EAF" w:rsidRDefault="0076195A" w:rsidP="008146DB">
      <w:pPr>
        <w:pStyle w:val="Heading2"/>
        <w:spacing w:before="360"/>
        <w:rPr>
          <w:rFonts w:ascii="Arial" w:hAnsi="Arial" w:cs="Arial"/>
          <w:i/>
        </w:rPr>
      </w:pPr>
      <w:r w:rsidRPr="00761EAF">
        <w:rPr>
          <w:rFonts w:ascii="Arial" w:hAnsi="Arial" w:cs="Arial"/>
          <w:i/>
        </w:rPr>
        <w:t>Händelser under kvartalet</w:t>
      </w:r>
    </w:p>
    <w:p w:rsidR="004035DE" w:rsidRPr="00DA0C77" w:rsidRDefault="004035DE" w:rsidP="004035DE">
      <w:pPr>
        <w:spacing w:before="120"/>
        <w:jc w:val="both"/>
        <w:rPr>
          <w:rFonts w:ascii="Arial" w:hAnsi="Arial" w:cs="Arial"/>
          <w:sz w:val="22"/>
          <w:szCs w:val="22"/>
        </w:rPr>
      </w:pPr>
      <w:r>
        <w:rPr>
          <w:rFonts w:ascii="Arial" w:hAnsi="Arial" w:cs="Arial"/>
          <w:sz w:val="22"/>
          <w:szCs w:val="22"/>
        </w:rPr>
        <w:t>Enligt beslut den 24 september 2015 meddel</w:t>
      </w:r>
      <w:r w:rsidR="0077544C">
        <w:rPr>
          <w:rFonts w:ascii="Arial" w:hAnsi="Arial" w:cs="Arial"/>
          <w:sz w:val="22"/>
          <w:szCs w:val="22"/>
        </w:rPr>
        <w:t>ade</w:t>
      </w:r>
      <w:r>
        <w:rPr>
          <w:rFonts w:ascii="Arial" w:hAnsi="Arial" w:cs="Arial"/>
          <w:sz w:val="22"/>
          <w:szCs w:val="22"/>
        </w:rPr>
        <w:t xml:space="preserve"> </w:t>
      </w:r>
      <w:r w:rsidRPr="004035DE">
        <w:rPr>
          <w:rFonts w:ascii="Arial" w:hAnsi="Arial" w:cs="Arial"/>
          <w:sz w:val="22"/>
          <w:szCs w:val="22"/>
        </w:rPr>
        <w:t>Högsta domstolen inte prövningstillstånd</w:t>
      </w:r>
      <w:r>
        <w:rPr>
          <w:rFonts w:ascii="Arial" w:hAnsi="Arial" w:cs="Arial"/>
          <w:sz w:val="22"/>
          <w:szCs w:val="22"/>
        </w:rPr>
        <w:t xml:space="preserve"> i ärendet</w:t>
      </w:r>
      <w:r w:rsidR="00C66AEF">
        <w:rPr>
          <w:rFonts w:ascii="Arial" w:hAnsi="Arial" w:cs="Arial"/>
          <w:sz w:val="22"/>
          <w:szCs w:val="22"/>
        </w:rPr>
        <w:t xml:space="preserve"> avseende Bolagets tvist med BMW</w:t>
      </w:r>
      <w:r w:rsidRPr="004035DE">
        <w:rPr>
          <w:rFonts w:ascii="Arial" w:hAnsi="Arial" w:cs="Arial"/>
          <w:sz w:val="22"/>
          <w:szCs w:val="22"/>
        </w:rPr>
        <w:t>. Hovrättens avgörande</w:t>
      </w:r>
      <w:r>
        <w:rPr>
          <w:rFonts w:ascii="Arial" w:hAnsi="Arial" w:cs="Arial"/>
          <w:sz w:val="22"/>
          <w:szCs w:val="22"/>
        </w:rPr>
        <w:t xml:space="preserve"> s</w:t>
      </w:r>
      <w:r w:rsidRPr="004035DE">
        <w:rPr>
          <w:rFonts w:ascii="Arial" w:hAnsi="Arial" w:cs="Arial"/>
          <w:sz w:val="22"/>
          <w:szCs w:val="22"/>
        </w:rPr>
        <w:t>tår därmed fast</w:t>
      </w:r>
      <w:r>
        <w:rPr>
          <w:rFonts w:ascii="Arial" w:hAnsi="Arial" w:cs="Arial"/>
          <w:sz w:val="22"/>
          <w:szCs w:val="22"/>
        </w:rPr>
        <w:t>, vilket innebär att det av Hov</w:t>
      </w:r>
      <w:r w:rsidR="00B166F5">
        <w:rPr>
          <w:rFonts w:ascii="Arial" w:hAnsi="Arial" w:cs="Arial"/>
          <w:sz w:val="22"/>
          <w:szCs w:val="22"/>
        </w:rPr>
        <w:t>rätten tillerkända ersättning</w:t>
      </w:r>
      <w:r>
        <w:rPr>
          <w:rFonts w:ascii="Arial" w:hAnsi="Arial" w:cs="Arial"/>
          <w:sz w:val="22"/>
          <w:szCs w:val="22"/>
        </w:rPr>
        <w:t xml:space="preserve">sbeloppet, jämte ränta, redovisats som fordran </w:t>
      </w:r>
      <w:r w:rsidR="0077544C">
        <w:rPr>
          <w:rFonts w:ascii="Arial" w:hAnsi="Arial" w:cs="Arial"/>
          <w:sz w:val="22"/>
          <w:szCs w:val="22"/>
        </w:rPr>
        <w:t xml:space="preserve">på BMW AG </w:t>
      </w:r>
      <w:r>
        <w:rPr>
          <w:rFonts w:ascii="Arial" w:hAnsi="Arial" w:cs="Arial"/>
          <w:sz w:val="22"/>
          <w:szCs w:val="22"/>
        </w:rPr>
        <w:t>i Moderbolagets och Koncernens balansräkning per 2015-09-30.</w:t>
      </w:r>
      <w:r w:rsidR="00C66AEF">
        <w:rPr>
          <w:rFonts w:ascii="Arial" w:hAnsi="Arial" w:cs="Arial"/>
          <w:sz w:val="22"/>
          <w:szCs w:val="22"/>
        </w:rPr>
        <w:t xml:space="preserve"> F</w:t>
      </w:r>
      <w:r w:rsidR="0067247C">
        <w:rPr>
          <w:rFonts w:ascii="Arial" w:hAnsi="Arial" w:cs="Arial"/>
          <w:sz w:val="22"/>
          <w:szCs w:val="22"/>
        </w:rPr>
        <w:t>ordran uppgår totalt till 3,5 Mkr.</w:t>
      </w:r>
    </w:p>
    <w:p w:rsidR="0076195A" w:rsidRPr="00761EAF" w:rsidRDefault="0076195A" w:rsidP="008146DB">
      <w:pPr>
        <w:pStyle w:val="Heading2"/>
        <w:spacing w:before="360"/>
        <w:rPr>
          <w:rFonts w:ascii="Arial" w:hAnsi="Arial" w:cs="Arial"/>
          <w:i/>
        </w:rPr>
      </w:pPr>
      <w:r w:rsidRPr="00761EAF">
        <w:rPr>
          <w:rFonts w:ascii="Arial" w:hAnsi="Arial" w:cs="Arial"/>
          <w:i/>
        </w:rPr>
        <w:t>Händelser efter kvartalet</w:t>
      </w:r>
    </w:p>
    <w:p w:rsidR="00DA0C77" w:rsidRPr="00DA0C77" w:rsidRDefault="00DD732A" w:rsidP="00DA0C77">
      <w:pPr>
        <w:spacing w:before="120"/>
        <w:jc w:val="both"/>
        <w:rPr>
          <w:rFonts w:ascii="Arial" w:hAnsi="Arial" w:cs="Arial"/>
          <w:sz w:val="22"/>
          <w:szCs w:val="22"/>
        </w:rPr>
      </w:pPr>
      <w:r>
        <w:rPr>
          <w:rFonts w:ascii="Arial" w:hAnsi="Arial" w:cs="Arial"/>
          <w:sz w:val="22"/>
          <w:szCs w:val="22"/>
        </w:rPr>
        <w:t>Inga väsentliga händelser har inträffat efter kvartalets utgång</w:t>
      </w:r>
      <w:r w:rsidR="0090413A">
        <w:rPr>
          <w:rFonts w:ascii="Arial" w:hAnsi="Arial" w:cs="Arial"/>
          <w:sz w:val="22"/>
          <w:szCs w:val="22"/>
        </w:rPr>
        <w:t>.</w:t>
      </w:r>
    </w:p>
    <w:p w:rsidR="0076195A" w:rsidRPr="00761EAF" w:rsidRDefault="007E4855" w:rsidP="00DA0C77">
      <w:pPr>
        <w:pStyle w:val="Heading2"/>
        <w:spacing w:before="360"/>
        <w:rPr>
          <w:rFonts w:ascii="Arial" w:hAnsi="Arial" w:cs="Arial"/>
          <w:i/>
        </w:rPr>
      </w:pPr>
      <w:r w:rsidRPr="00761EAF">
        <w:rPr>
          <w:rFonts w:ascii="Arial" w:hAnsi="Arial" w:cs="Arial"/>
          <w:i/>
        </w:rPr>
        <w:t>Väsentliga risker och osäkerhetsfaktorer</w:t>
      </w:r>
    </w:p>
    <w:p w:rsidR="0076195A" w:rsidRPr="00F74784" w:rsidRDefault="0076195A" w:rsidP="008146DB">
      <w:pPr>
        <w:spacing w:before="120"/>
        <w:jc w:val="both"/>
        <w:rPr>
          <w:rFonts w:ascii="Arial" w:hAnsi="Arial" w:cs="Arial"/>
          <w:sz w:val="22"/>
          <w:szCs w:val="22"/>
        </w:rPr>
      </w:pPr>
      <w:r w:rsidRPr="00F74784">
        <w:rPr>
          <w:rFonts w:ascii="Arial" w:hAnsi="Arial" w:cs="Arial"/>
          <w:sz w:val="22"/>
          <w:szCs w:val="22"/>
        </w:rPr>
        <w:t>Detaljerad information om Koncernens risker och osäkerhetsfaktorer finns att läsa i Orios årsredovisning</w:t>
      </w:r>
      <w:r w:rsidR="000631E9">
        <w:rPr>
          <w:rFonts w:ascii="Arial" w:hAnsi="Arial" w:cs="Arial"/>
          <w:sz w:val="22"/>
          <w:szCs w:val="22"/>
        </w:rPr>
        <w:t xml:space="preserve"> för</w:t>
      </w:r>
      <w:r w:rsidR="00DA0C77">
        <w:rPr>
          <w:rFonts w:ascii="Arial" w:hAnsi="Arial" w:cs="Arial"/>
          <w:sz w:val="22"/>
          <w:szCs w:val="22"/>
        </w:rPr>
        <w:t xml:space="preserve"> 2014</w:t>
      </w:r>
      <w:r w:rsidRPr="00F74784">
        <w:rPr>
          <w:rFonts w:ascii="Arial" w:hAnsi="Arial" w:cs="Arial"/>
          <w:sz w:val="22"/>
          <w:szCs w:val="22"/>
        </w:rPr>
        <w:t xml:space="preserve">. </w:t>
      </w:r>
    </w:p>
    <w:p w:rsidR="0076195A" w:rsidRPr="00F74784" w:rsidRDefault="0076195A" w:rsidP="0076195A">
      <w:pPr>
        <w:jc w:val="both"/>
        <w:rPr>
          <w:rFonts w:ascii="Arial" w:hAnsi="Arial" w:cs="Arial"/>
          <w:sz w:val="22"/>
          <w:szCs w:val="22"/>
        </w:rPr>
      </w:pPr>
    </w:p>
    <w:p w:rsidR="0076195A" w:rsidRPr="00F74784" w:rsidRDefault="0076195A" w:rsidP="0076195A">
      <w:pPr>
        <w:jc w:val="both"/>
        <w:rPr>
          <w:rFonts w:ascii="Arial" w:hAnsi="Arial" w:cs="Arial"/>
          <w:sz w:val="22"/>
          <w:szCs w:val="22"/>
        </w:rPr>
      </w:pPr>
      <w:r w:rsidRPr="00F74784">
        <w:rPr>
          <w:rFonts w:ascii="Arial" w:hAnsi="Arial" w:cs="Arial"/>
          <w:sz w:val="22"/>
          <w:szCs w:val="22"/>
        </w:rPr>
        <w:t xml:space="preserve">Inga väsentliga förändringar av Koncernens risker och osäkerhetsfaktorer har skett under </w:t>
      </w:r>
      <w:r w:rsidR="001634A9">
        <w:rPr>
          <w:rFonts w:ascii="Arial" w:hAnsi="Arial" w:cs="Arial"/>
          <w:sz w:val="22"/>
          <w:szCs w:val="22"/>
        </w:rPr>
        <w:t xml:space="preserve">perioden januari – </w:t>
      </w:r>
      <w:r w:rsidR="004035DE">
        <w:rPr>
          <w:rFonts w:ascii="Arial" w:hAnsi="Arial" w:cs="Arial"/>
          <w:sz w:val="22"/>
          <w:szCs w:val="22"/>
        </w:rPr>
        <w:t xml:space="preserve">september </w:t>
      </w:r>
      <w:r w:rsidR="00DA0C77">
        <w:rPr>
          <w:rFonts w:ascii="Arial" w:hAnsi="Arial" w:cs="Arial"/>
          <w:sz w:val="22"/>
          <w:szCs w:val="22"/>
        </w:rPr>
        <w:t>2015</w:t>
      </w:r>
      <w:r w:rsidRPr="00F74784">
        <w:rPr>
          <w:rFonts w:ascii="Arial" w:hAnsi="Arial" w:cs="Arial"/>
          <w:sz w:val="22"/>
          <w:szCs w:val="22"/>
        </w:rPr>
        <w:t>.</w:t>
      </w:r>
    </w:p>
    <w:p w:rsidR="0063653E" w:rsidRPr="00761EAF" w:rsidRDefault="0063653E" w:rsidP="008146DB">
      <w:pPr>
        <w:pStyle w:val="Heading2"/>
        <w:spacing w:before="360"/>
        <w:rPr>
          <w:rFonts w:ascii="Arial" w:hAnsi="Arial" w:cs="Arial"/>
          <w:i/>
        </w:rPr>
      </w:pPr>
      <w:r w:rsidRPr="00761EAF">
        <w:rPr>
          <w:rFonts w:ascii="Arial" w:hAnsi="Arial" w:cs="Arial"/>
          <w:i/>
        </w:rPr>
        <w:t xml:space="preserve">Finansiella mål </w:t>
      </w:r>
      <w:r w:rsidR="007E4855" w:rsidRPr="00761EAF">
        <w:rPr>
          <w:rFonts w:ascii="Arial" w:hAnsi="Arial" w:cs="Arial"/>
          <w:i/>
        </w:rPr>
        <w:t>och framtidsutsikter</w:t>
      </w:r>
    </w:p>
    <w:p w:rsidR="0063653E" w:rsidRPr="00F74784" w:rsidRDefault="0063653E" w:rsidP="008146DB">
      <w:pPr>
        <w:spacing w:before="120"/>
        <w:jc w:val="both"/>
        <w:rPr>
          <w:rFonts w:ascii="Arial" w:hAnsi="Arial" w:cs="Arial"/>
          <w:sz w:val="22"/>
          <w:szCs w:val="22"/>
        </w:rPr>
      </w:pPr>
      <w:r w:rsidRPr="00F74784">
        <w:rPr>
          <w:rFonts w:ascii="Arial" w:hAnsi="Arial" w:cs="Arial"/>
          <w:sz w:val="22"/>
          <w:szCs w:val="22"/>
        </w:rPr>
        <w:t xml:space="preserve">Koncernens målsättning är att skapa tillväxt om genomsnittligen 6 procent årligen.  </w:t>
      </w:r>
    </w:p>
    <w:p w:rsidR="0076195A" w:rsidRPr="00761EAF" w:rsidRDefault="0076195A" w:rsidP="008146DB">
      <w:pPr>
        <w:pStyle w:val="Heading2"/>
        <w:spacing w:before="360"/>
        <w:rPr>
          <w:rFonts w:ascii="Arial" w:hAnsi="Arial" w:cs="Arial"/>
          <w:i/>
        </w:rPr>
      </w:pPr>
      <w:r w:rsidRPr="00761EAF">
        <w:rPr>
          <w:rFonts w:ascii="Arial" w:hAnsi="Arial" w:cs="Arial"/>
          <w:i/>
        </w:rPr>
        <w:t>Transaktioner med närstående</w:t>
      </w:r>
    </w:p>
    <w:p w:rsidR="0076195A" w:rsidRPr="00F74784" w:rsidRDefault="0076195A" w:rsidP="008146DB">
      <w:pPr>
        <w:spacing w:before="120"/>
        <w:jc w:val="both"/>
        <w:rPr>
          <w:rFonts w:ascii="Arial" w:hAnsi="Arial" w:cs="Arial"/>
          <w:sz w:val="22"/>
          <w:szCs w:val="22"/>
        </w:rPr>
      </w:pPr>
      <w:r w:rsidRPr="00F74784">
        <w:rPr>
          <w:rFonts w:ascii="Arial" w:hAnsi="Arial" w:cs="Arial"/>
          <w:sz w:val="22"/>
          <w:szCs w:val="22"/>
        </w:rPr>
        <w:t xml:space="preserve">Transaktioner med närstående framgår av Not </w:t>
      </w:r>
      <w:r w:rsidR="00DA0C77">
        <w:rPr>
          <w:rFonts w:ascii="Arial" w:hAnsi="Arial" w:cs="Arial"/>
          <w:sz w:val="22"/>
          <w:szCs w:val="22"/>
        </w:rPr>
        <w:t>32 i Orios årsredovisning för 2014</w:t>
      </w:r>
      <w:r w:rsidRPr="00F74784">
        <w:rPr>
          <w:rFonts w:ascii="Arial" w:hAnsi="Arial" w:cs="Arial"/>
          <w:sz w:val="22"/>
          <w:szCs w:val="22"/>
        </w:rPr>
        <w:t>. Inga väsentliga förändringar har skett i relationer eller transaktioner med närstående jämfört med det som beskri</w:t>
      </w:r>
      <w:r w:rsidR="00DA0C77">
        <w:rPr>
          <w:rFonts w:ascii="Arial" w:hAnsi="Arial" w:cs="Arial"/>
          <w:sz w:val="22"/>
          <w:szCs w:val="22"/>
        </w:rPr>
        <w:t>vits i årsredovisningen för 2014</w:t>
      </w:r>
      <w:r w:rsidRPr="00F74784">
        <w:rPr>
          <w:rFonts w:ascii="Arial" w:hAnsi="Arial" w:cs="Arial"/>
          <w:sz w:val="22"/>
          <w:szCs w:val="22"/>
        </w:rPr>
        <w:t>.</w:t>
      </w:r>
    </w:p>
    <w:p w:rsidR="0004444A" w:rsidRPr="00761EAF" w:rsidRDefault="0004444A" w:rsidP="008146DB">
      <w:pPr>
        <w:pStyle w:val="Heading2"/>
        <w:spacing w:before="360"/>
        <w:rPr>
          <w:rFonts w:ascii="Arial" w:hAnsi="Arial" w:cs="Arial"/>
          <w:i/>
        </w:rPr>
      </w:pPr>
      <w:r w:rsidRPr="00761EAF">
        <w:rPr>
          <w:rFonts w:ascii="Arial" w:hAnsi="Arial" w:cs="Arial"/>
          <w:i/>
        </w:rPr>
        <w:t>Kommande finansiell information</w:t>
      </w:r>
    </w:p>
    <w:p w:rsidR="00C4060D" w:rsidRDefault="00C4060D" w:rsidP="0004444A">
      <w:pPr>
        <w:rPr>
          <w:rFonts w:ascii="Arial" w:hAnsi="Arial" w:cs="Arial"/>
          <w:sz w:val="22"/>
          <w:szCs w:val="22"/>
        </w:rPr>
      </w:pPr>
    </w:p>
    <w:p w:rsidR="00824391" w:rsidRPr="00824391" w:rsidRDefault="00824391" w:rsidP="00824391">
      <w:pPr>
        <w:rPr>
          <w:rFonts w:ascii="Arial" w:hAnsi="Arial" w:cs="Arial"/>
          <w:sz w:val="22"/>
          <w:szCs w:val="22"/>
        </w:rPr>
      </w:pPr>
      <w:r w:rsidRPr="00824391">
        <w:rPr>
          <w:rFonts w:ascii="Arial" w:hAnsi="Arial" w:cs="Arial"/>
          <w:sz w:val="22"/>
          <w:szCs w:val="22"/>
        </w:rPr>
        <w:t>Bokslutskommuniké</w:t>
      </w:r>
      <w:r>
        <w:rPr>
          <w:rFonts w:ascii="Arial" w:hAnsi="Arial" w:cs="Arial"/>
          <w:sz w:val="22"/>
          <w:szCs w:val="22"/>
        </w:rPr>
        <w:t xml:space="preserve"> januari – december 2015</w:t>
      </w:r>
      <w:r w:rsidRPr="00824391">
        <w:rPr>
          <w:rFonts w:ascii="Arial" w:hAnsi="Arial" w:cs="Arial"/>
          <w:sz w:val="22"/>
          <w:szCs w:val="22"/>
        </w:rPr>
        <w:t>: 11 februari 2016</w:t>
      </w:r>
    </w:p>
    <w:p w:rsidR="007F6478" w:rsidRDefault="00824391" w:rsidP="00824391">
      <w:pPr>
        <w:rPr>
          <w:rFonts w:ascii="Arial" w:hAnsi="Arial" w:cs="Arial"/>
          <w:sz w:val="22"/>
          <w:szCs w:val="22"/>
        </w:rPr>
      </w:pPr>
      <w:r w:rsidRPr="00824391">
        <w:rPr>
          <w:rFonts w:ascii="Arial" w:hAnsi="Arial" w:cs="Arial"/>
          <w:sz w:val="22"/>
          <w:szCs w:val="22"/>
        </w:rPr>
        <w:t>Årsredovisning 2015: mars 2016</w:t>
      </w:r>
    </w:p>
    <w:p w:rsidR="004035DE" w:rsidRDefault="004035DE" w:rsidP="00824391">
      <w:pPr>
        <w:rPr>
          <w:rFonts w:ascii="Arial" w:hAnsi="Arial" w:cs="Arial"/>
          <w:sz w:val="22"/>
          <w:szCs w:val="22"/>
        </w:rPr>
      </w:pPr>
    </w:p>
    <w:p w:rsidR="004035DE" w:rsidRPr="00F74784" w:rsidRDefault="004035DE" w:rsidP="004035DE">
      <w:pPr>
        <w:spacing w:before="120"/>
        <w:jc w:val="both"/>
        <w:rPr>
          <w:rFonts w:ascii="Arial" w:hAnsi="Arial" w:cs="Arial"/>
          <w:sz w:val="22"/>
          <w:szCs w:val="22"/>
        </w:rPr>
      </w:pPr>
      <w:r w:rsidRPr="00F74784">
        <w:rPr>
          <w:rFonts w:ascii="Arial" w:hAnsi="Arial" w:cs="Arial"/>
          <w:sz w:val="22"/>
          <w:szCs w:val="22"/>
        </w:rPr>
        <w:t xml:space="preserve">Har du frågor gällande Orios </w:t>
      </w:r>
      <w:r>
        <w:rPr>
          <w:rFonts w:ascii="Arial" w:hAnsi="Arial" w:cs="Arial"/>
          <w:sz w:val="22"/>
          <w:szCs w:val="22"/>
        </w:rPr>
        <w:t>delårsrapport</w:t>
      </w:r>
      <w:r w:rsidRPr="00F74784">
        <w:rPr>
          <w:rFonts w:ascii="Arial" w:hAnsi="Arial" w:cs="Arial"/>
          <w:sz w:val="22"/>
          <w:szCs w:val="22"/>
        </w:rPr>
        <w:t>, vänligen kontakta:</w:t>
      </w:r>
    </w:p>
    <w:p w:rsidR="004035DE" w:rsidRDefault="004035DE" w:rsidP="004035DE">
      <w:pPr>
        <w:rPr>
          <w:rFonts w:ascii="Arial" w:hAnsi="Arial" w:cs="Arial"/>
          <w:sz w:val="22"/>
          <w:szCs w:val="22"/>
        </w:rPr>
      </w:pPr>
      <w:r>
        <w:rPr>
          <w:rFonts w:ascii="Arial" w:hAnsi="Arial" w:cs="Arial"/>
          <w:sz w:val="22"/>
          <w:szCs w:val="22"/>
        </w:rPr>
        <w:t>Jonas Tegström</w:t>
      </w:r>
      <w:r w:rsidRPr="00F74784">
        <w:rPr>
          <w:rFonts w:ascii="Arial" w:hAnsi="Arial" w:cs="Arial"/>
          <w:sz w:val="22"/>
          <w:szCs w:val="22"/>
        </w:rPr>
        <w:t xml:space="preserve">, </w:t>
      </w:r>
      <w:r w:rsidR="0074056C">
        <w:rPr>
          <w:rFonts w:ascii="Arial" w:hAnsi="Arial" w:cs="Arial"/>
          <w:sz w:val="22"/>
          <w:szCs w:val="22"/>
        </w:rPr>
        <w:t>V</w:t>
      </w:r>
      <w:r>
        <w:rPr>
          <w:rFonts w:ascii="Arial" w:hAnsi="Arial" w:cs="Arial"/>
          <w:sz w:val="22"/>
          <w:szCs w:val="22"/>
        </w:rPr>
        <w:t>d</w:t>
      </w:r>
      <w:r w:rsidRPr="00F74784">
        <w:rPr>
          <w:rFonts w:ascii="Arial" w:hAnsi="Arial" w:cs="Arial"/>
          <w:sz w:val="22"/>
          <w:szCs w:val="22"/>
        </w:rPr>
        <w:t>, tel 0155-24</w:t>
      </w:r>
      <w:r>
        <w:rPr>
          <w:rFonts w:ascii="Arial" w:hAnsi="Arial" w:cs="Arial"/>
          <w:sz w:val="22"/>
          <w:szCs w:val="22"/>
        </w:rPr>
        <w:t xml:space="preserve"> </w:t>
      </w:r>
      <w:r w:rsidRPr="00F74784">
        <w:rPr>
          <w:rFonts w:ascii="Arial" w:hAnsi="Arial" w:cs="Arial"/>
          <w:sz w:val="22"/>
          <w:szCs w:val="22"/>
        </w:rPr>
        <w:t>4</w:t>
      </w:r>
      <w:r>
        <w:rPr>
          <w:rFonts w:ascii="Arial" w:hAnsi="Arial" w:cs="Arial"/>
          <w:sz w:val="22"/>
          <w:szCs w:val="22"/>
        </w:rPr>
        <w:t>0 09, eller</w:t>
      </w:r>
    </w:p>
    <w:p w:rsidR="004035DE" w:rsidRDefault="004035DE" w:rsidP="004035DE">
      <w:pPr>
        <w:rPr>
          <w:rFonts w:ascii="Arial" w:hAnsi="Arial" w:cs="Arial"/>
          <w:sz w:val="22"/>
          <w:szCs w:val="22"/>
        </w:rPr>
      </w:pPr>
      <w:r>
        <w:rPr>
          <w:rFonts w:ascii="Arial" w:hAnsi="Arial" w:cs="Arial"/>
          <w:sz w:val="22"/>
          <w:szCs w:val="22"/>
        </w:rPr>
        <w:t xml:space="preserve">Stefan Lundin, tf Ekonomi- och finansdirektör, tel </w:t>
      </w:r>
      <w:r w:rsidRPr="001A6A7F">
        <w:rPr>
          <w:rFonts w:ascii="Arial" w:hAnsi="Arial" w:cs="Arial"/>
          <w:sz w:val="22"/>
          <w:szCs w:val="22"/>
        </w:rPr>
        <w:t>070 – 222 65 07</w:t>
      </w:r>
      <w:r>
        <w:rPr>
          <w:rFonts w:ascii="Arial" w:eastAsiaTheme="majorEastAsia" w:hAnsi="Arial" w:cs="Arial"/>
          <w:bCs/>
          <w:caps/>
          <w:sz w:val="26"/>
          <w:szCs w:val="26"/>
        </w:rPr>
        <w:t xml:space="preserve"> </w:t>
      </w:r>
      <w:r>
        <w:rPr>
          <w:rFonts w:ascii="Arial" w:eastAsiaTheme="majorEastAsia" w:hAnsi="Arial" w:cs="Arial"/>
          <w:bCs/>
          <w:caps/>
          <w:sz w:val="26"/>
          <w:szCs w:val="26"/>
        </w:rPr>
        <w:br w:type="page"/>
      </w:r>
    </w:p>
    <w:p w:rsidR="004035DE" w:rsidRDefault="004035DE" w:rsidP="004035DE">
      <w:pPr>
        <w:jc w:val="both"/>
        <w:rPr>
          <w:rFonts w:ascii="Arial" w:hAnsi="Arial" w:cs="Arial"/>
          <w:sz w:val="22"/>
          <w:szCs w:val="22"/>
        </w:rPr>
      </w:pPr>
      <w:r>
        <w:rPr>
          <w:rFonts w:ascii="Arial" w:hAnsi="Arial" w:cs="Arial"/>
          <w:sz w:val="22"/>
          <w:szCs w:val="22"/>
        </w:rPr>
        <w:lastRenderedPageBreak/>
        <w:t xml:space="preserve">Styrelsen och </w:t>
      </w:r>
      <w:r w:rsidR="0067247C">
        <w:rPr>
          <w:rFonts w:ascii="Arial" w:hAnsi="Arial" w:cs="Arial"/>
          <w:sz w:val="22"/>
          <w:szCs w:val="22"/>
        </w:rPr>
        <w:t>V</w:t>
      </w:r>
      <w:r w:rsidR="0074056C">
        <w:rPr>
          <w:rFonts w:ascii="Arial" w:hAnsi="Arial" w:cs="Arial"/>
          <w:sz w:val="22"/>
          <w:szCs w:val="22"/>
        </w:rPr>
        <w:t>d</w:t>
      </w:r>
      <w:r>
        <w:rPr>
          <w:rFonts w:ascii="Arial" w:hAnsi="Arial" w:cs="Arial"/>
          <w:sz w:val="22"/>
          <w:szCs w:val="22"/>
        </w:rPr>
        <w:t xml:space="preserve"> försäkrar att delårsrapporten ger en rättvisande översikt av företagets och koncernens verksamhet, ställning och resultat samt beskriver de väsentliga osäkerhetsfaktorer som företaget och de företag som ingår i koncernen står inför.</w:t>
      </w: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r>
        <w:rPr>
          <w:rFonts w:ascii="Arial" w:hAnsi="Arial" w:cs="Arial"/>
          <w:sz w:val="22"/>
          <w:szCs w:val="22"/>
        </w:rPr>
        <w:t>Nyköping den 2</w:t>
      </w:r>
      <w:r w:rsidR="00B166F5">
        <w:rPr>
          <w:rFonts w:ascii="Arial" w:hAnsi="Arial" w:cs="Arial"/>
          <w:sz w:val="22"/>
          <w:szCs w:val="22"/>
        </w:rPr>
        <w:t>8</w:t>
      </w:r>
      <w:r>
        <w:rPr>
          <w:rFonts w:ascii="Arial" w:hAnsi="Arial" w:cs="Arial"/>
          <w:sz w:val="22"/>
          <w:szCs w:val="22"/>
        </w:rPr>
        <w:t xml:space="preserve"> oktober 201</w:t>
      </w:r>
      <w:r w:rsidR="00CA47AF">
        <w:rPr>
          <w:rFonts w:ascii="Arial" w:hAnsi="Arial" w:cs="Arial"/>
          <w:sz w:val="22"/>
          <w:szCs w:val="22"/>
        </w:rPr>
        <w:t>5</w:t>
      </w: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r>
        <w:rPr>
          <w:rFonts w:ascii="Arial" w:hAnsi="Arial" w:cs="Arial"/>
          <w:sz w:val="22"/>
          <w:szCs w:val="22"/>
        </w:rPr>
        <w:t>_____________________</w:t>
      </w:r>
      <w:r>
        <w:rPr>
          <w:rFonts w:ascii="Arial" w:hAnsi="Arial" w:cs="Arial"/>
          <w:sz w:val="22"/>
          <w:szCs w:val="22"/>
        </w:rPr>
        <w:tab/>
      </w:r>
      <w:r>
        <w:rPr>
          <w:rFonts w:ascii="Arial" w:hAnsi="Arial" w:cs="Arial"/>
          <w:sz w:val="22"/>
          <w:szCs w:val="22"/>
        </w:rPr>
        <w:tab/>
        <w:t>_____________________</w:t>
      </w:r>
    </w:p>
    <w:p w:rsidR="004035DE" w:rsidRDefault="004035DE" w:rsidP="004035DE">
      <w:pPr>
        <w:rPr>
          <w:rFonts w:ascii="Arial" w:hAnsi="Arial" w:cs="Arial"/>
          <w:sz w:val="22"/>
          <w:szCs w:val="22"/>
        </w:rPr>
      </w:pPr>
      <w:r>
        <w:rPr>
          <w:rFonts w:ascii="Arial" w:hAnsi="Arial" w:cs="Arial"/>
          <w:sz w:val="22"/>
          <w:szCs w:val="22"/>
        </w:rPr>
        <w:t>Håkan Erixon</w:t>
      </w:r>
      <w:r>
        <w:rPr>
          <w:rFonts w:ascii="Arial" w:hAnsi="Arial" w:cs="Arial"/>
          <w:sz w:val="22"/>
          <w:szCs w:val="22"/>
        </w:rPr>
        <w:tab/>
      </w:r>
      <w:r>
        <w:rPr>
          <w:rFonts w:ascii="Arial" w:hAnsi="Arial" w:cs="Arial"/>
          <w:sz w:val="22"/>
          <w:szCs w:val="22"/>
        </w:rPr>
        <w:tab/>
        <w:t>Johan Formgren</w:t>
      </w:r>
    </w:p>
    <w:p w:rsidR="004035DE" w:rsidRDefault="004035DE" w:rsidP="004035DE">
      <w:pPr>
        <w:rPr>
          <w:rFonts w:ascii="Arial" w:hAnsi="Arial" w:cs="Arial"/>
          <w:sz w:val="22"/>
          <w:szCs w:val="22"/>
        </w:rPr>
      </w:pPr>
      <w:r>
        <w:rPr>
          <w:rFonts w:ascii="Arial" w:hAnsi="Arial" w:cs="Arial"/>
          <w:sz w:val="22"/>
          <w:szCs w:val="22"/>
        </w:rPr>
        <w:t xml:space="preserve">Ordförande </w:t>
      </w:r>
      <w:r>
        <w:rPr>
          <w:rFonts w:ascii="Arial" w:hAnsi="Arial" w:cs="Arial"/>
          <w:sz w:val="22"/>
          <w:szCs w:val="22"/>
        </w:rPr>
        <w:tab/>
      </w:r>
      <w:r>
        <w:rPr>
          <w:rFonts w:ascii="Arial" w:hAnsi="Arial" w:cs="Arial"/>
          <w:sz w:val="22"/>
          <w:szCs w:val="22"/>
        </w:rPr>
        <w:tab/>
      </w:r>
      <w:r>
        <w:rPr>
          <w:rFonts w:ascii="Arial" w:hAnsi="Arial" w:cs="Arial"/>
          <w:sz w:val="22"/>
          <w:szCs w:val="22"/>
        </w:rPr>
        <w:tab/>
        <w:t>Styrelseledamot</w:t>
      </w: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r>
        <w:rPr>
          <w:rFonts w:ascii="Arial" w:hAnsi="Arial" w:cs="Arial"/>
          <w:sz w:val="22"/>
          <w:szCs w:val="22"/>
        </w:rPr>
        <w:t xml:space="preserve">____________________ </w:t>
      </w:r>
      <w:r>
        <w:rPr>
          <w:rFonts w:ascii="Arial" w:hAnsi="Arial" w:cs="Arial"/>
          <w:sz w:val="22"/>
          <w:szCs w:val="22"/>
        </w:rPr>
        <w:tab/>
      </w:r>
      <w:r>
        <w:rPr>
          <w:rFonts w:ascii="Arial" w:hAnsi="Arial" w:cs="Arial"/>
          <w:sz w:val="22"/>
          <w:szCs w:val="22"/>
        </w:rPr>
        <w:tab/>
        <w:t>_____________________</w:t>
      </w:r>
    </w:p>
    <w:p w:rsidR="004035DE" w:rsidRDefault="004035DE" w:rsidP="004035DE">
      <w:pPr>
        <w:rPr>
          <w:rFonts w:ascii="Arial" w:hAnsi="Arial" w:cs="Arial"/>
          <w:sz w:val="22"/>
          <w:szCs w:val="22"/>
        </w:rPr>
      </w:pPr>
      <w:r>
        <w:rPr>
          <w:rFonts w:ascii="Arial" w:hAnsi="Arial" w:cs="Arial"/>
          <w:sz w:val="22"/>
          <w:szCs w:val="22"/>
        </w:rPr>
        <w:t>Charlotte Hansson</w:t>
      </w:r>
      <w:r>
        <w:rPr>
          <w:rFonts w:ascii="Arial" w:hAnsi="Arial" w:cs="Arial"/>
          <w:sz w:val="22"/>
          <w:szCs w:val="22"/>
        </w:rPr>
        <w:tab/>
      </w:r>
      <w:r>
        <w:rPr>
          <w:rFonts w:ascii="Arial" w:hAnsi="Arial" w:cs="Arial"/>
          <w:sz w:val="22"/>
          <w:szCs w:val="22"/>
        </w:rPr>
        <w:tab/>
        <w:t>Jan Jakobsen</w:t>
      </w:r>
    </w:p>
    <w:p w:rsidR="004035DE" w:rsidRDefault="004035DE" w:rsidP="004035DE">
      <w:pPr>
        <w:rPr>
          <w:rFonts w:ascii="Arial" w:hAnsi="Arial" w:cs="Arial"/>
          <w:sz w:val="22"/>
          <w:szCs w:val="22"/>
        </w:rPr>
      </w:pPr>
      <w:r>
        <w:rPr>
          <w:rFonts w:ascii="Arial" w:hAnsi="Arial" w:cs="Arial"/>
          <w:sz w:val="22"/>
          <w:szCs w:val="22"/>
        </w:rPr>
        <w:t xml:space="preserve">Styrelseledamot </w:t>
      </w:r>
      <w:r>
        <w:rPr>
          <w:rFonts w:ascii="Arial" w:hAnsi="Arial" w:cs="Arial"/>
          <w:sz w:val="22"/>
          <w:szCs w:val="22"/>
        </w:rPr>
        <w:tab/>
      </w:r>
      <w:r>
        <w:rPr>
          <w:rFonts w:ascii="Arial" w:hAnsi="Arial" w:cs="Arial"/>
          <w:sz w:val="22"/>
          <w:szCs w:val="22"/>
        </w:rPr>
        <w:tab/>
        <w:t>Arbetstagarrepresentant</w:t>
      </w: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r>
        <w:rPr>
          <w:rFonts w:ascii="Arial" w:hAnsi="Arial" w:cs="Arial"/>
          <w:sz w:val="22"/>
          <w:szCs w:val="22"/>
        </w:rPr>
        <w:t xml:space="preserve">____________________ </w:t>
      </w:r>
      <w:r>
        <w:rPr>
          <w:rFonts w:ascii="Arial" w:hAnsi="Arial" w:cs="Arial"/>
          <w:sz w:val="22"/>
          <w:szCs w:val="22"/>
        </w:rPr>
        <w:tab/>
      </w:r>
      <w:r>
        <w:rPr>
          <w:rFonts w:ascii="Arial" w:hAnsi="Arial" w:cs="Arial"/>
          <w:sz w:val="22"/>
          <w:szCs w:val="22"/>
        </w:rPr>
        <w:tab/>
        <w:t>_____________________</w:t>
      </w:r>
    </w:p>
    <w:p w:rsidR="004035DE" w:rsidRDefault="004035DE" w:rsidP="004035DE">
      <w:pPr>
        <w:rPr>
          <w:rFonts w:ascii="Arial" w:hAnsi="Arial" w:cs="Arial"/>
          <w:sz w:val="22"/>
          <w:szCs w:val="22"/>
        </w:rPr>
      </w:pPr>
      <w:r>
        <w:rPr>
          <w:rFonts w:ascii="Arial" w:hAnsi="Arial" w:cs="Arial"/>
          <w:sz w:val="22"/>
          <w:szCs w:val="22"/>
        </w:rPr>
        <w:t>Hans Krondahl</w:t>
      </w:r>
      <w:r>
        <w:rPr>
          <w:rFonts w:ascii="Arial" w:hAnsi="Arial" w:cs="Arial"/>
          <w:sz w:val="22"/>
          <w:szCs w:val="22"/>
        </w:rPr>
        <w:tab/>
      </w:r>
      <w:r>
        <w:rPr>
          <w:rFonts w:ascii="Arial" w:hAnsi="Arial" w:cs="Arial"/>
          <w:sz w:val="22"/>
          <w:szCs w:val="22"/>
        </w:rPr>
        <w:tab/>
        <w:t>Monica Lingegård</w:t>
      </w:r>
    </w:p>
    <w:p w:rsidR="004035DE" w:rsidRDefault="004035DE" w:rsidP="004035DE">
      <w:pPr>
        <w:rPr>
          <w:rFonts w:ascii="Arial" w:hAnsi="Arial" w:cs="Arial"/>
          <w:sz w:val="22"/>
          <w:szCs w:val="22"/>
        </w:rPr>
      </w:pPr>
      <w:r>
        <w:rPr>
          <w:rFonts w:ascii="Arial" w:hAnsi="Arial" w:cs="Arial"/>
          <w:sz w:val="22"/>
          <w:szCs w:val="22"/>
        </w:rPr>
        <w:t xml:space="preserve">Styrelseledamot </w:t>
      </w:r>
      <w:r>
        <w:rPr>
          <w:rFonts w:ascii="Arial" w:hAnsi="Arial" w:cs="Arial"/>
          <w:sz w:val="22"/>
          <w:szCs w:val="22"/>
        </w:rPr>
        <w:tab/>
      </w:r>
      <w:r>
        <w:rPr>
          <w:rFonts w:ascii="Arial" w:hAnsi="Arial" w:cs="Arial"/>
          <w:sz w:val="22"/>
          <w:szCs w:val="22"/>
        </w:rPr>
        <w:tab/>
        <w:t>Styrelseledamot</w:t>
      </w: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r>
        <w:rPr>
          <w:rFonts w:ascii="Arial" w:hAnsi="Arial" w:cs="Arial"/>
          <w:sz w:val="22"/>
          <w:szCs w:val="22"/>
        </w:rPr>
        <w:t xml:space="preserve">____________________ </w:t>
      </w:r>
      <w:r>
        <w:rPr>
          <w:rFonts w:ascii="Arial" w:hAnsi="Arial" w:cs="Arial"/>
          <w:sz w:val="22"/>
          <w:szCs w:val="22"/>
        </w:rPr>
        <w:tab/>
      </w:r>
      <w:r>
        <w:rPr>
          <w:rFonts w:ascii="Arial" w:hAnsi="Arial" w:cs="Arial"/>
          <w:sz w:val="22"/>
          <w:szCs w:val="22"/>
        </w:rPr>
        <w:tab/>
        <w:t>_____________________</w:t>
      </w:r>
    </w:p>
    <w:p w:rsidR="004035DE" w:rsidRDefault="004035DE" w:rsidP="004035DE">
      <w:pPr>
        <w:rPr>
          <w:rFonts w:ascii="Arial" w:hAnsi="Arial" w:cs="Arial"/>
          <w:sz w:val="22"/>
          <w:szCs w:val="22"/>
        </w:rPr>
      </w:pPr>
      <w:r>
        <w:rPr>
          <w:rFonts w:ascii="Arial" w:hAnsi="Arial" w:cs="Arial"/>
          <w:sz w:val="22"/>
          <w:szCs w:val="22"/>
        </w:rPr>
        <w:t>Ingemar Sandberg</w:t>
      </w:r>
      <w:r>
        <w:rPr>
          <w:rFonts w:ascii="Arial" w:hAnsi="Arial" w:cs="Arial"/>
          <w:sz w:val="22"/>
          <w:szCs w:val="22"/>
        </w:rPr>
        <w:tab/>
      </w:r>
      <w:r>
        <w:rPr>
          <w:rFonts w:ascii="Arial" w:hAnsi="Arial" w:cs="Arial"/>
          <w:sz w:val="22"/>
          <w:szCs w:val="22"/>
        </w:rPr>
        <w:tab/>
        <w:t>Michael Thorén</w:t>
      </w:r>
    </w:p>
    <w:p w:rsidR="004035DE" w:rsidRDefault="004035DE" w:rsidP="004035DE">
      <w:pPr>
        <w:rPr>
          <w:rFonts w:ascii="Arial" w:hAnsi="Arial" w:cs="Arial"/>
          <w:sz w:val="22"/>
          <w:szCs w:val="22"/>
        </w:rPr>
      </w:pPr>
      <w:r>
        <w:rPr>
          <w:rFonts w:ascii="Arial" w:hAnsi="Arial" w:cs="Arial"/>
          <w:sz w:val="22"/>
          <w:szCs w:val="22"/>
        </w:rPr>
        <w:t>Arbetstagarrepresentant</w:t>
      </w:r>
      <w:r>
        <w:rPr>
          <w:rFonts w:ascii="Arial" w:hAnsi="Arial" w:cs="Arial"/>
          <w:sz w:val="22"/>
          <w:szCs w:val="22"/>
        </w:rPr>
        <w:tab/>
      </w:r>
      <w:r>
        <w:rPr>
          <w:rFonts w:ascii="Arial" w:hAnsi="Arial" w:cs="Arial"/>
          <w:sz w:val="22"/>
          <w:szCs w:val="22"/>
        </w:rPr>
        <w:tab/>
        <w:t>Styrelseledamot</w:t>
      </w: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r>
        <w:rPr>
          <w:rFonts w:ascii="Arial" w:hAnsi="Arial" w:cs="Arial"/>
          <w:sz w:val="22"/>
          <w:szCs w:val="22"/>
        </w:rPr>
        <w:t xml:space="preserve">____________________ </w:t>
      </w:r>
    </w:p>
    <w:p w:rsidR="004035DE" w:rsidRDefault="004035DE" w:rsidP="004035DE">
      <w:pPr>
        <w:rPr>
          <w:rFonts w:ascii="Arial" w:hAnsi="Arial" w:cs="Arial"/>
          <w:sz w:val="22"/>
          <w:szCs w:val="22"/>
        </w:rPr>
      </w:pPr>
      <w:r>
        <w:rPr>
          <w:rFonts w:ascii="Arial" w:hAnsi="Arial" w:cs="Arial"/>
          <w:sz w:val="22"/>
          <w:szCs w:val="22"/>
        </w:rPr>
        <w:t>Jonas Tegström</w:t>
      </w:r>
    </w:p>
    <w:p w:rsidR="004035DE" w:rsidRDefault="0067247C" w:rsidP="004035DE">
      <w:pPr>
        <w:rPr>
          <w:rFonts w:ascii="Arial" w:hAnsi="Arial" w:cs="Arial"/>
          <w:sz w:val="22"/>
          <w:szCs w:val="22"/>
        </w:rPr>
      </w:pPr>
      <w:r>
        <w:rPr>
          <w:rFonts w:ascii="Arial" w:hAnsi="Arial" w:cs="Arial"/>
          <w:sz w:val="22"/>
          <w:szCs w:val="22"/>
        </w:rPr>
        <w:t>V</w:t>
      </w:r>
      <w:r w:rsidR="0074056C">
        <w:rPr>
          <w:rFonts w:ascii="Arial" w:hAnsi="Arial" w:cs="Arial"/>
          <w:sz w:val="22"/>
          <w:szCs w:val="22"/>
        </w:rPr>
        <w:t>d</w:t>
      </w:r>
    </w:p>
    <w:p w:rsidR="004035DE" w:rsidRDefault="004035DE" w:rsidP="004035DE">
      <w:pPr>
        <w:rPr>
          <w:rFonts w:ascii="Arial" w:hAnsi="Arial" w:cs="Arial"/>
          <w:sz w:val="22"/>
          <w:szCs w:val="22"/>
        </w:rPr>
      </w:pPr>
    </w:p>
    <w:p w:rsidR="004035DE" w:rsidRDefault="004035DE" w:rsidP="004035DE">
      <w:pPr>
        <w:rPr>
          <w:rFonts w:ascii="Arial" w:hAnsi="Arial" w:cs="Arial"/>
          <w:sz w:val="22"/>
          <w:szCs w:val="22"/>
        </w:rPr>
      </w:pPr>
    </w:p>
    <w:p w:rsidR="004035DE" w:rsidRDefault="004035DE" w:rsidP="004035DE">
      <w:pPr>
        <w:rPr>
          <w:rFonts w:ascii="Arial" w:eastAsiaTheme="majorEastAsia" w:hAnsi="Arial" w:cs="Arial"/>
          <w:bCs/>
          <w:sz w:val="26"/>
          <w:szCs w:val="26"/>
        </w:rPr>
      </w:pPr>
      <w:r>
        <w:rPr>
          <w:rFonts w:ascii="Arial" w:eastAsiaTheme="majorEastAsia" w:hAnsi="Arial" w:cs="Arial"/>
          <w:bCs/>
          <w:caps/>
          <w:sz w:val="26"/>
          <w:szCs w:val="26"/>
        </w:rPr>
        <w:br w:type="page"/>
      </w:r>
    </w:p>
    <w:p w:rsidR="004035DE" w:rsidRDefault="004035DE" w:rsidP="004035DE">
      <w:pPr>
        <w:spacing w:line="240" w:lineRule="auto"/>
        <w:rPr>
          <w:rFonts w:ascii="Georgia" w:hAnsi="Georgia"/>
          <w:i/>
          <w:color w:val="FF0000"/>
          <w:sz w:val="20"/>
        </w:rPr>
      </w:pPr>
    </w:p>
    <w:p w:rsidR="004035DE" w:rsidRDefault="004035DE" w:rsidP="004035DE">
      <w:pPr>
        <w:spacing w:line="240" w:lineRule="auto"/>
        <w:rPr>
          <w:rFonts w:ascii="Georgia" w:hAnsi="Georgia"/>
          <w:b/>
          <w:sz w:val="28"/>
          <w:szCs w:val="28"/>
        </w:rPr>
      </w:pPr>
      <w:r>
        <w:rPr>
          <w:rFonts w:ascii="Georgia" w:hAnsi="Georgia"/>
          <w:b/>
          <w:sz w:val="28"/>
          <w:szCs w:val="28"/>
        </w:rPr>
        <w:t>Revisors rapport över översiktlig granskning av finansiell delårsinformation i sammandrag (delårsrapport) upprättad i enlighet med IAS 34 och 9 kap. årsredovisningslagen</w:t>
      </w:r>
    </w:p>
    <w:p w:rsidR="004035DE" w:rsidRDefault="004035DE" w:rsidP="004035DE">
      <w:pPr>
        <w:spacing w:before="120" w:after="240"/>
        <w:rPr>
          <w:rFonts w:asciiTheme="majorHAnsi" w:hAnsiTheme="majorHAnsi"/>
          <w:b/>
          <w:szCs w:val="24"/>
        </w:rPr>
      </w:pPr>
      <w:r>
        <w:rPr>
          <w:rFonts w:asciiTheme="majorHAnsi" w:hAnsiTheme="majorHAnsi"/>
          <w:b/>
          <w:szCs w:val="24"/>
        </w:rPr>
        <w:t>Inledning</w:t>
      </w:r>
    </w:p>
    <w:p w:rsidR="004035DE" w:rsidRDefault="004035DE" w:rsidP="004035DE">
      <w:pPr>
        <w:spacing w:before="120" w:after="240" w:line="240" w:lineRule="auto"/>
        <w:rPr>
          <w:rFonts w:ascii="Georgia" w:eastAsiaTheme="minorHAnsi" w:hAnsi="Georgia"/>
          <w:b/>
          <w:iCs/>
          <w:sz w:val="26"/>
          <w:szCs w:val="26"/>
        </w:rPr>
      </w:pPr>
      <w:r>
        <w:rPr>
          <w:rFonts w:ascii="Georgia" w:hAnsi="Georgia"/>
          <w:sz w:val="20"/>
        </w:rPr>
        <w:t>Vi har utfört en översiktlig granskning av den finansiella delårsinformationen i sammandrag (delårsrapport) för Orio AB per 30 september 201</w:t>
      </w:r>
      <w:r w:rsidR="00B166F5">
        <w:rPr>
          <w:rFonts w:ascii="Georgia" w:hAnsi="Georgia"/>
          <w:sz w:val="20"/>
        </w:rPr>
        <w:t>5</w:t>
      </w:r>
      <w:r>
        <w:rPr>
          <w:rFonts w:ascii="Georgia" w:hAnsi="Georgia"/>
          <w:sz w:val="20"/>
        </w:rPr>
        <w:t xml:space="preserve"> och den niomånadersperiod som slutade per detta datum. Det är styrelsen och verkställande direktören som har ansvaret för att upprätta och presentera denna finansiella delårsinformation i enlighet med IAS 34 och årsredovisningslagen. Vårt ansvar är att uttala en slutsats om denna delårsrapport grundad på vår översiktliga granskning.</w:t>
      </w:r>
    </w:p>
    <w:p w:rsidR="004035DE" w:rsidRDefault="004035DE" w:rsidP="004035DE">
      <w:pPr>
        <w:spacing w:before="120" w:after="240"/>
        <w:rPr>
          <w:rFonts w:asciiTheme="majorHAnsi" w:eastAsia="Times New Roman" w:hAnsiTheme="majorHAnsi" w:cs="Times New Roman"/>
          <w:b/>
          <w:sz w:val="24"/>
          <w:szCs w:val="24"/>
        </w:rPr>
      </w:pPr>
      <w:r>
        <w:rPr>
          <w:rFonts w:asciiTheme="majorHAnsi" w:hAnsiTheme="majorHAnsi"/>
          <w:b/>
          <w:szCs w:val="24"/>
        </w:rPr>
        <w:t>Den översiktliga granskningens inriktning och omfattning</w:t>
      </w:r>
    </w:p>
    <w:p w:rsidR="004035DE" w:rsidRDefault="004035DE" w:rsidP="004035DE">
      <w:pPr>
        <w:spacing w:before="120" w:after="240" w:line="240" w:lineRule="auto"/>
        <w:rPr>
          <w:rFonts w:ascii="Georgia" w:hAnsi="Georgia"/>
          <w:sz w:val="20"/>
          <w:szCs w:val="20"/>
        </w:rPr>
      </w:pPr>
      <w:r>
        <w:rPr>
          <w:rFonts w:ascii="Georgia" w:hAnsi="Georgia"/>
          <w:sz w:val="20"/>
        </w:rPr>
        <w:t xml:space="preserve">Vi har utfört vår översiktliga granskning i enlighet med International Standard on Review Engagements ISRE 2410 </w:t>
      </w:r>
      <w:r>
        <w:rPr>
          <w:rFonts w:ascii="Georgia" w:hAnsi="Georgia"/>
          <w:i/>
          <w:sz w:val="20"/>
        </w:rPr>
        <w:t>Översiktlig granskning av finansiell delårsinformation utförd av företagets valda revisor</w:t>
      </w:r>
      <w:r>
        <w:rPr>
          <w:rFonts w:ascii="Georgia" w:hAnsi="Georgia"/>
          <w:sz w:val="20"/>
        </w:rPr>
        <w:t>. En översiktlig granskning består av att göra förfrågningar, i första hand till personer som är ansvariga för finansiella frågor och redovisningsfrågor, att utföra analytisk granskning och att vidta andra översiktliga granskningsåtgärder. En översiktlig granskning har en annan inriktning och en betydligt mindre omfattning jämfört med den inriktning och omfattning som en revision enligt ISA och god revisionssed i övrigt har. De granskningsåtgärder som vidtas vid en översiktlig granskning gör det inte möjligt för oss att skaffa oss en sådan säkerhet att vi blir medvetna om alla viktiga omständigheter som skulle kunna ha blivit identifierade om en revision utförts. Den uttalade slutsatsen grundad på en översiktlig granskning har därför inte den säkerhet som en uttalad slutsats grundad på en revision har.</w:t>
      </w:r>
    </w:p>
    <w:p w:rsidR="004035DE" w:rsidRDefault="004035DE" w:rsidP="004035DE">
      <w:pPr>
        <w:spacing w:before="120" w:after="240"/>
        <w:rPr>
          <w:rFonts w:asciiTheme="majorHAnsi" w:hAnsiTheme="majorHAnsi"/>
          <w:b/>
          <w:sz w:val="24"/>
          <w:szCs w:val="24"/>
        </w:rPr>
      </w:pPr>
      <w:r>
        <w:rPr>
          <w:rFonts w:asciiTheme="majorHAnsi" w:hAnsiTheme="majorHAnsi"/>
          <w:b/>
          <w:szCs w:val="24"/>
        </w:rPr>
        <w:t>Den översiktliga granskningens inriktning och omfattning</w:t>
      </w:r>
    </w:p>
    <w:p w:rsidR="004035DE" w:rsidRDefault="004035DE" w:rsidP="004035DE">
      <w:pPr>
        <w:spacing w:line="240" w:lineRule="auto"/>
        <w:rPr>
          <w:rFonts w:ascii="Georgia" w:hAnsi="Georgia"/>
          <w:sz w:val="20"/>
          <w:szCs w:val="20"/>
        </w:rPr>
      </w:pPr>
      <w:r>
        <w:rPr>
          <w:rFonts w:ascii="Georgia" w:hAnsi="Georgia"/>
          <w:sz w:val="20"/>
        </w:rPr>
        <w:t>Grundat på vår översiktliga granskning har det inte kommit fram några omständigheter som ger oss anledning att anse att delårsrapporten inte, i allt väsentligt, är upprättad för koncernens del i enlighet med IAS 34 och årsredovisningslagen samt för moderbolagets del i enlighet med årsredovisningslagen.</w:t>
      </w:r>
    </w:p>
    <w:p w:rsidR="004035DE" w:rsidRDefault="004035DE" w:rsidP="004035DE">
      <w:pPr>
        <w:pStyle w:val="ListBullet"/>
        <w:numPr>
          <w:ilvl w:val="0"/>
          <w:numId w:val="0"/>
        </w:numPr>
        <w:tabs>
          <w:tab w:val="left" w:pos="1304"/>
        </w:tabs>
        <w:spacing w:line="240" w:lineRule="auto"/>
        <w:rPr>
          <w:rFonts w:ascii="Georgia" w:hAnsi="Georgia"/>
          <w:sz w:val="20"/>
        </w:rPr>
      </w:pPr>
    </w:p>
    <w:p w:rsidR="004035DE" w:rsidRDefault="004035DE" w:rsidP="004035DE">
      <w:pPr>
        <w:pStyle w:val="ListBullet"/>
        <w:numPr>
          <w:ilvl w:val="0"/>
          <w:numId w:val="0"/>
        </w:numPr>
        <w:tabs>
          <w:tab w:val="left" w:pos="1304"/>
        </w:tabs>
        <w:spacing w:line="240" w:lineRule="auto"/>
        <w:rPr>
          <w:rFonts w:ascii="Georgia" w:hAnsi="Georgia"/>
          <w:sz w:val="20"/>
        </w:rPr>
      </w:pPr>
      <w:r>
        <w:rPr>
          <w:rFonts w:ascii="Georgia" w:hAnsi="Georgia"/>
          <w:sz w:val="20"/>
        </w:rPr>
        <w:t>Nyköping den 2</w:t>
      </w:r>
      <w:r w:rsidR="00B166F5">
        <w:rPr>
          <w:rFonts w:ascii="Georgia" w:hAnsi="Georgia"/>
          <w:sz w:val="20"/>
        </w:rPr>
        <w:t>8</w:t>
      </w:r>
      <w:r>
        <w:rPr>
          <w:rFonts w:ascii="Georgia" w:hAnsi="Georgia"/>
          <w:sz w:val="20"/>
        </w:rPr>
        <w:t xml:space="preserve"> oktober 2015</w:t>
      </w:r>
    </w:p>
    <w:p w:rsidR="004035DE" w:rsidRDefault="004035DE" w:rsidP="004035DE">
      <w:pPr>
        <w:pStyle w:val="BodyText"/>
        <w:spacing w:line="240" w:lineRule="auto"/>
        <w:rPr>
          <w:rFonts w:ascii="Georgia" w:hAnsi="Georgia"/>
          <w:sz w:val="20"/>
        </w:rPr>
      </w:pPr>
      <w:r>
        <w:rPr>
          <w:rFonts w:ascii="Georgia" w:hAnsi="Georgia"/>
          <w:sz w:val="20"/>
        </w:rPr>
        <w:t>PricewaterhouseCoopers AB</w:t>
      </w:r>
    </w:p>
    <w:p w:rsidR="004035DE" w:rsidRDefault="004035DE" w:rsidP="004035DE">
      <w:pPr>
        <w:pStyle w:val="BodyText"/>
        <w:spacing w:line="240" w:lineRule="auto"/>
        <w:rPr>
          <w:rFonts w:ascii="Georgia" w:hAnsi="Georgia"/>
          <w:sz w:val="20"/>
        </w:rPr>
      </w:pPr>
    </w:p>
    <w:p w:rsidR="004035DE" w:rsidRDefault="004035DE" w:rsidP="004035DE">
      <w:pPr>
        <w:pStyle w:val="BodyText"/>
        <w:spacing w:line="240" w:lineRule="auto"/>
        <w:rPr>
          <w:rFonts w:ascii="Georgia" w:hAnsi="Georgia"/>
          <w:sz w:val="20"/>
        </w:rPr>
      </w:pPr>
      <w:r>
        <w:rPr>
          <w:rFonts w:ascii="Georgia" w:hAnsi="Georgia"/>
          <w:sz w:val="20"/>
        </w:rPr>
        <w:t>Martin Johansson</w:t>
      </w:r>
      <w:r>
        <w:rPr>
          <w:rFonts w:ascii="Georgia" w:hAnsi="Georgia"/>
          <w:sz w:val="20"/>
        </w:rPr>
        <w:br/>
        <w:t>Auktoriserad revisor</w:t>
      </w:r>
    </w:p>
    <w:p w:rsidR="004035DE" w:rsidRDefault="004035DE" w:rsidP="004035DE">
      <w:pPr>
        <w:rPr>
          <w:rFonts w:ascii="Arial" w:eastAsiaTheme="majorEastAsia" w:hAnsi="Arial" w:cs="Arial"/>
          <w:bCs/>
          <w:sz w:val="26"/>
          <w:szCs w:val="26"/>
        </w:rPr>
      </w:pPr>
      <w:r>
        <w:rPr>
          <w:rFonts w:ascii="Arial" w:eastAsiaTheme="majorEastAsia" w:hAnsi="Arial" w:cs="Arial"/>
          <w:bCs/>
          <w:caps/>
          <w:sz w:val="26"/>
          <w:szCs w:val="26"/>
        </w:rPr>
        <w:t xml:space="preserve"> </w:t>
      </w:r>
      <w:r>
        <w:rPr>
          <w:rFonts w:ascii="Arial" w:eastAsiaTheme="majorEastAsia" w:hAnsi="Arial" w:cs="Arial"/>
          <w:bCs/>
          <w:caps/>
          <w:sz w:val="26"/>
          <w:szCs w:val="26"/>
        </w:rPr>
        <w:br w:type="page"/>
      </w:r>
    </w:p>
    <w:p w:rsidR="008B2616" w:rsidRDefault="008B2616" w:rsidP="008146DB">
      <w:pPr>
        <w:spacing w:before="120"/>
        <w:jc w:val="both"/>
        <w:rPr>
          <w:rFonts w:ascii="Arial" w:hAnsi="Arial" w:cs="Arial"/>
          <w:sz w:val="22"/>
          <w:szCs w:val="22"/>
        </w:rPr>
      </w:pPr>
    </w:p>
    <w:p w:rsidR="00425198" w:rsidRPr="008E2E23" w:rsidRDefault="00425198" w:rsidP="008E2E23">
      <w:pPr>
        <w:rPr>
          <w:rFonts w:ascii="Georgia" w:hAnsi="Georgia"/>
          <w:sz w:val="20"/>
        </w:rPr>
      </w:pPr>
    </w:p>
    <w:p w:rsidR="00C20A25" w:rsidRPr="00752F83" w:rsidRDefault="007E4855" w:rsidP="00C20A25">
      <w:pPr>
        <w:pStyle w:val="Heading4"/>
        <w:rPr>
          <w:rFonts w:ascii="Arial" w:eastAsiaTheme="majorEastAsia" w:hAnsi="Arial" w:cs="Arial"/>
          <w:bCs/>
          <w:caps w:val="0"/>
          <w:sz w:val="26"/>
          <w:szCs w:val="26"/>
        </w:rPr>
      </w:pPr>
      <w:r>
        <w:rPr>
          <w:rFonts w:ascii="Arial" w:eastAsiaTheme="majorEastAsia" w:hAnsi="Arial" w:cs="Arial"/>
          <w:bCs/>
          <w:caps w:val="0"/>
          <w:sz w:val="26"/>
          <w:szCs w:val="26"/>
        </w:rPr>
        <w:t>Koncernens rapport över totalresultatet</w:t>
      </w:r>
    </w:p>
    <w:p w:rsidR="00C20A25" w:rsidRDefault="00C20A25" w:rsidP="00C20A25">
      <w:pPr>
        <w:rPr>
          <w:sz w:val="28"/>
        </w:rPr>
      </w:pPr>
    </w:p>
    <w:p w:rsidR="00AB5DAB" w:rsidRPr="001B0F15" w:rsidRDefault="00A57170">
      <w:r>
        <w:rPr>
          <w:noProof/>
          <w:lang w:eastAsia="sv-SE"/>
        </w:rPr>
        <w:drawing>
          <wp:inline distT="0" distB="0" distL="0" distR="0" wp14:anchorId="2F103771" wp14:editId="1C2BBD13">
            <wp:extent cx="4770120" cy="6628766"/>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0120" cy="6628766"/>
                    </a:xfrm>
                    <a:prstGeom prst="rect">
                      <a:avLst/>
                    </a:prstGeom>
                    <a:noFill/>
                    <a:ln>
                      <a:noFill/>
                    </a:ln>
                  </pic:spPr>
                </pic:pic>
              </a:graphicData>
            </a:graphic>
          </wp:inline>
        </w:drawing>
      </w:r>
      <w:r w:rsidR="00AB5DAB" w:rsidRPr="001B0F15">
        <w:br w:type="page"/>
      </w:r>
    </w:p>
    <w:p w:rsidR="00C20A25" w:rsidRDefault="00D47423" w:rsidP="00C20A25">
      <w:pPr>
        <w:pStyle w:val="Heading2"/>
        <w:rPr>
          <w:rFonts w:ascii="Arial" w:hAnsi="Arial" w:cs="Arial"/>
        </w:rPr>
      </w:pPr>
      <w:r>
        <w:rPr>
          <w:rFonts w:ascii="Arial" w:hAnsi="Arial" w:cs="Arial"/>
        </w:rPr>
        <w:lastRenderedPageBreak/>
        <w:t>Koncernens balansräkning</w:t>
      </w:r>
    </w:p>
    <w:p w:rsidR="001768DE" w:rsidRPr="001768DE" w:rsidRDefault="001768DE" w:rsidP="001768DE"/>
    <w:p w:rsidR="00B048AD" w:rsidRPr="001B0F15" w:rsidRDefault="00A57170">
      <w:r>
        <w:rPr>
          <w:noProof/>
          <w:lang w:eastAsia="sv-SE"/>
        </w:rPr>
        <w:drawing>
          <wp:inline distT="0" distB="0" distL="0" distR="0" wp14:anchorId="55013F45" wp14:editId="2BE50AD7">
            <wp:extent cx="4770120" cy="6012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0120" cy="6012485"/>
                    </a:xfrm>
                    <a:prstGeom prst="rect">
                      <a:avLst/>
                    </a:prstGeom>
                    <a:noFill/>
                    <a:ln>
                      <a:noFill/>
                    </a:ln>
                  </pic:spPr>
                </pic:pic>
              </a:graphicData>
            </a:graphic>
          </wp:inline>
        </w:drawing>
      </w:r>
    </w:p>
    <w:p w:rsidR="00B048AD" w:rsidRPr="001B0F15" w:rsidRDefault="00647BB7">
      <w:r w:rsidRPr="001B0F15">
        <w:br w:type="page"/>
      </w:r>
    </w:p>
    <w:p w:rsidR="00C20A25" w:rsidRPr="00752F83" w:rsidRDefault="00BE2C27" w:rsidP="00C20A25">
      <w:pPr>
        <w:pStyle w:val="Heading2"/>
        <w:rPr>
          <w:rFonts w:ascii="Arial" w:hAnsi="Arial" w:cs="Arial"/>
        </w:rPr>
      </w:pPr>
      <w:r>
        <w:rPr>
          <w:rFonts w:ascii="Arial" w:hAnsi="Arial" w:cs="Arial"/>
        </w:rPr>
        <w:lastRenderedPageBreak/>
        <w:t>Koncernens r</w:t>
      </w:r>
      <w:r w:rsidR="00C20A25" w:rsidRPr="00752F83">
        <w:rPr>
          <w:rFonts w:ascii="Arial" w:hAnsi="Arial" w:cs="Arial"/>
        </w:rPr>
        <w:t>apport över förändring</w:t>
      </w:r>
      <w:r w:rsidR="00BD47FE">
        <w:rPr>
          <w:rFonts w:ascii="Arial" w:hAnsi="Arial" w:cs="Arial"/>
        </w:rPr>
        <w:t>ar</w:t>
      </w:r>
      <w:r w:rsidR="00C20A25" w:rsidRPr="00752F83">
        <w:rPr>
          <w:rFonts w:ascii="Arial" w:hAnsi="Arial" w:cs="Arial"/>
        </w:rPr>
        <w:t xml:space="preserve"> i eget kapital</w:t>
      </w:r>
    </w:p>
    <w:p w:rsidR="00257A58" w:rsidRPr="001B0F15" w:rsidRDefault="00556336" w:rsidP="00C20A25">
      <w:pPr>
        <w:rPr>
          <w:sz w:val="28"/>
        </w:rPr>
      </w:pPr>
      <w:r w:rsidRPr="00556336" w:rsidDel="00556336">
        <w:rPr>
          <w:sz w:val="28"/>
        </w:rPr>
        <w:t xml:space="preserve"> </w:t>
      </w:r>
    </w:p>
    <w:p w:rsidR="00B048AD" w:rsidRPr="001B0F15" w:rsidRDefault="00A57170" w:rsidP="00B048AD">
      <w:r>
        <w:rPr>
          <w:noProof/>
          <w:lang w:eastAsia="sv-SE"/>
        </w:rPr>
        <w:drawing>
          <wp:inline distT="0" distB="0" distL="0" distR="0" wp14:anchorId="0CDDAC9B" wp14:editId="2F336943">
            <wp:extent cx="4770120" cy="452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0120" cy="4522700"/>
                    </a:xfrm>
                    <a:prstGeom prst="rect">
                      <a:avLst/>
                    </a:prstGeom>
                    <a:noFill/>
                    <a:ln>
                      <a:noFill/>
                    </a:ln>
                  </pic:spPr>
                </pic:pic>
              </a:graphicData>
            </a:graphic>
          </wp:inline>
        </w:drawing>
      </w:r>
    </w:p>
    <w:p w:rsidR="00B048AD" w:rsidRPr="001B0F15" w:rsidRDefault="00B048AD"/>
    <w:p w:rsidR="00FA30F8" w:rsidRPr="001B0F15" w:rsidRDefault="00FA30F8"/>
    <w:p w:rsidR="00257A58" w:rsidRPr="001B0F15" w:rsidRDefault="00257A58" w:rsidP="00257A58"/>
    <w:p w:rsidR="00257A58" w:rsidRPr="001B0F15" w:rsidRDefault="00257A58">
      <w:r w:rsidRPr="001B0F15">
        <w:br w:type="page"/>
      </w:r>
    </w:p>
    <w:p w:rsidR="00C20A25" w:rsidRPr="003B0065" w:rsidRDefault="00BE2C27" w:rsidP="00C20A25">
      <w:pPr>
        <w:pStyle w:val="Heading2"/>
        <w:rPr>
          <w:rFonts w:ascii="Arial" w:hAnsi="Arial" w:cs="Arial"/>
        </w:rPr>
      </w:pPr>
      <w:r>
        <w:rPr>
          <w:rFonts w:ascii="Arial" w:hAnsi="Arial" w:cs="Arial"/>
        </w:rPr>
        <w:lastRenderedPageBreak/>
        <w:t>Koncernens rapport över kassaflöden</w:t>
      </w:r>
    </w:p>
    <w:p w:rsidR="00C20A25" w:rsidRDefault="00C20A25" w:rsidP="00C20A25"/>
    <w:p w:rsidR="00C20A25" w:rsidRDefault="0093568C" w:rsidP="00C20A25">
      <w:r w:rsidRPr="0093568C" w:rsidDel="0093568C">
        <w:t xml:space="preserve"> </w:t>
      </w:r>
      <w:r w:rsidR="00D4082D">
        <w:rPr>
          <w:noProof/>
          <w:lang w:eastAsia="sv-SE"/>
        </w:rPr>
        <w:drawing>
          <wp:inline distT="0" distB="0" distL="0" distR="0" wp14:anchorId="6259F698" wp14:editId="30561B75">
            <wp:extent cx="4770120" cy="59710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0120" cy="5971032"/>
                    </a:xfrm>
                    <a:prstGeom prst="rect">
                      <a:avLst/>
                    </a:prstGeom>
                    <a:noFill/>
                    <a:ln>
                      <a:noFill/>
                    </a:ln>
                  </pic:spPr>
                </pic:pic>
              </a:graphicData>
            </a:graphic>
          </wp:inline>
        </w:drawing>
      </w:r>
    </w:p>
    <w:p w:rsidR="00C20A25" w:rsidRPr="001B0F15" w:rsidRDefault="00C20A25" w:rsidP="00C20A25"/>
    <w:p w:rsidR="003A7040" w:rsidRPr="001B0F15" w:rsidRDefault="003A7040" w:rsidP="00FA30F8"/>
    <w:p w:rsidR="00FA30F8" w:rsidRPr="001B0F15" w:rsidRDefault="00FA30F8" w:rsidP="00FA30F8"/>
    <w:p w:rsidR="00FA30F8" w:rsidRPr="001B0F15" w:rsidRDefault="00FA30F8">
      <w:pPr>
        <w:rPr>
          <w:rFonts w:asciiTheme="majorHAnsi" w:eastAsiaTheme="majorEastAsia" w:hAnsiTheme="majorHAnsi" w:cstheme="majorBidi"/>
          <w:bCs/>
          <w:sz w:val="26"/>
          <w:szCs w:val="26"/>
        </w:rPr>
      </w:pPr>
      <w:r w:rsidRPr="001B0F15">
        <w:br w:type="page"/>
      </w:r>
    </w:p>
    <w:p w:rsidR="00C20A25" w:rsidRPr="003B0065" w:rsidRDefault="00A216D0" w:rsidP="00C20A25">
      <w:pPr>
        <w:pStyle w:val="Heading2"/>
        <w:rPr>
          <w:rFonts w:ascii="Arial" w:hAnsi="Arial" w:cs="Arial"/>
        </w:rPr>
      </w:pPr>
      <w:r>
        <w:rPr>
          <w:rFonts w:ascii="Arial" w:hAnsi="Arial" w:cs="Arial"/>
        </w:rPr>
        <w:lastRenderedPageBreak/>
        <w:t>Koncernens n</w:t>
      </w:r>
      <w:r w:rsidR="00C20A25" w:rsidRPr="003B0065">
        <w:rPr>
          <w:rFonts w:ascii="Arial" w:hAnsi="Arial" w:cs="Arial"/>
        </w:rPr>
        <w:t>yckeltal</w:t>
      </w:r>
    </w:p>
    <w:p w:rsidR="00C20A25" w:rsidRDefault="00C20A25" w:rsidP="00C20A25">
      <w:pPr>
        <w:rPr>
          <w:sz w:val="28"/>
        </w:rPr>
      </w:pPr>
    </w:p>
    <w:p w:rsidR="00C20A25" w:rsidRDefault="00A57170" w:rsidP="00C20A25">
      <w:pPr>
        <w:rPr>
          <w:sz w:val="28"/>
        </w:rPr>
      </w:pPr>
      <w:r>
        <w:rPr>
          <w:noProof/>
          <w:sz w:val="28"/>
          <w:lang w:eastAsia="sv-SE"/>
        </w:rPr>
        <w:drawing>
          <wp:inline distT="0" distB="0" distL="0" distR="0" wp14:anchorId="7268231B" wp14:editId="2017A737">
            <wp:extent cx="4770120" cy="27306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70120" cy="2730685"/>
                    </a:xfrm>
                    <a:prstGeom prst="rect">
                      <a:avLst/>
                    </a:prstGeom>
                    <a:noFill/>
                    <a:ln>
                      <a:noFill/>
                    </a:ln>
                  </pic:spPr>
                </pic:pic>
              </a:graphicData>
            </a:graphic>
          </wp:inline>
        </w:drawing>
      </w:r>
    </w:p>
    <w:p w:rsidR="00C20A25" w:rsidRPr="001B0F15" w:rsidRDefault="00C20A25" w:rsidP="00C20A25">
      <w:pPr>
        <w:rPr>
          <w:sz w:val="28"/>
        </w:rPr>
      </w:pPr>
    </w:p>
    <w:p w:rsidR="00C20A25" w:rsidRPr="001B0F15" w:rsidRDefault="00C20A25" w:rsidP="00C20A25"/>
    <w:p w:rsidR="00C20A25" w:rsidRPr="001B0F15" w:rsidRDefault="00C20A25" w:rsidP="00C20A25"/>
    <w:p w:rsidR="00C20A25" w:rsidRPr="00752F83" w:rsidRDefault="00C20A25" w:rsidP="00C20A25">
      <w:pPr>
        <w:pStyle w:val="Heading2"/>
        <w:rPr>
          <w:rFonts w:ascii="Arial" w:hAnsi="Arial" w:cs="Arial"/>
          <w:sz w:val="28"/>
        </w:rPr>
      </w:pPr>
      <w:r w:rsidRPr="00752F83">
        <w:rPr>
          <w:rFonts w:ascii="Arial" w:hAnsi="Arial" w:cs="Arial"/>
          <w:sz w:val="28"/>
        </w:rPr>
        <w:t>Definitioner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4449"/>
      </w:tblGrid>
      <w:tr w:rsidR="00C20A25" w:rsidRPr="00752F83" w:rsidTr="00067A31">
        <w:tc>
          <w:tcPr>
            <w:tcW w:w="2694" w:type="dxa"/>
          </w:tcPr>
          <w:p w:rsidR="00C20A25" w:rsidRPr="008146DB" w:rsidRDefault="00C20A25" w:rsidP="00067A31">
            <w:pPr>
              <w:rPr>
                <w:rFonts w:ascii="Arial" w:hAnsi="Arial" w:cs="Arial"/>
                <w:b/>
                <w:sz w:val="16"/>
                <w:szCs w:val="16"/>
              </w:rPr>
            </w:pPr>
            <w:r w:rsidRPr="008146DB">
              <w:rPr>
                <w:rFonts w:ascii="Arial" w:eastAsia="Times New Roman" w:hAnsi="Arial" w:cs="Arial"/>
                <w:b/>
                <w:sz w:val="16"/>
                <w:szCs w:val="16"/>
                <w:lang w:eastAsia="sv-SE"/>
              </w:rPr>
              <w:t>Bruttomarginal (%)</w:t>
            </w:r>
          </w:p>
        </w:tc>
        <w:tc>
          <w:tcPr>
            <w:tcW w:w="4449" w:type="dxa"/>
          </w:tcPr>
          <w:p w:rsidR="00C20A25" w:rsidRPr="008146DB" w:rsidRDefault="00BE2C27" w:rsidP="00EC12EC">
            <w:pPr>
              <w:spacing w:line="360" w:lineRule="auto"/>
              <w:rPr>
                <w:rFonts w:ascii="Arial" w:hAnsi="Arial" w:cs="Arial"/>
                <w:sz w:val="16"/>
                <w:szCs w:val="16"/>
              </w:rPr>
            </w:pPr>
            <w:r w:rsidRPr="008146DB">
              <w:rPr>
                <w:rFonts w:ascii="Arial" w:eastAsia="Times New Roman" w:hAnsi="Arial" w:cs="Arial"/>
                <w:sz w:val="16"/>
                <w:szCs w:val="16"/>
                <w:lang w:eastAsia="sv-SE"/>
              </w:rPr>
              <w:t xml:space="preserve">Bruttoresultat </w:t>
            </w:r>
            <w:r w:rsidR="00C20A25" w:rsidRPr="008146DB">
              <w:rPr>
                <w:rFonts w:ascii="Arial" w:eastAsia="Times New Roman" w:hAnsi="Arial" w:cs="Arial"/>
                <w:sz w:val="16"/>
                <w:szCs w:val="16"/>
                <w:lang w:eastAsia="sv-SE"/>
              </w:rPr>
              <w:t>i procent av nettoomsättning</w:t>
            </w:r>
          </w:p>
        </w:tc>
      </w:tr>
      <w:tr w:rsidR="00C20A25" w:rsidRPr="00752F83" w:rsidTr="00067A31">
        <w:tc>
          <w:tcPr>
            <w:tcW w:w="2694" w:type="dxa"/>
          </w:tcPr>
          <w:p w:rsidR="00C20A25" w:rsidRPr="008146DB" w:rsidRDefault="00C20A25" w:rsidP="00067A31">
            <w:pPr>
              <w:rPr>
                <w:rFonts w:ascii="Arial" w:hAnsi="Arial" w:cs="Arial"/>
                <w:b/>
                <w:sz w:val="16"/>
                <w:szCs w:val="16"/>
              </w:rPr>
            </w:pPr>
            <w:r w:rsidRPr="008146DB">
              <w:rPr>
                <w:rFonts w:ascii="Arial" w:eastAsia="Times New Roman" w:hAnsi="Arial" w:cs="Arial"/>
                <w:b/>
                <w:sz w:val="16"/>
                <w:szCs w:val="16"/>
                <w:lang w:eastAsia="sv-SE"/>
              </w:rPr>
              <w:t>Rörelsemarginal (%)</w:t>
            </w:r>
          </w:p>
        </w:tc>
        <w:tc>
          <w:tcPr>
            <w:tcW w:w="4449" w:type="dxa"/>
          </w:tcPr>
          <w:p w:rsidR="00C20A25" w:rsidRPr="008146DB" w:rsidRDefault="00C20A25" w:rsidP="00EC12EC">
            <w:pPr>
              <w:spacing w:line="360" w:lineRule="auto"/>
              <w:rPr>
                <w:rFonts w:ascii="Arial" w:hAnsi="Arial" w:cs="Arial"/>
                <w:sz w:val="16"/>
                <w:szCs w:val="16"/>
              </w:rPr>
            </w:pPr>
            <w:r w:rsidRPr="008146DB">
              <w:rPr>
                <w:rFonts w:ascii="Arial" w:eastAsia="Times New Roman" w:hAnsi="Arial" w:cs="Arial"/>
                <w:sz w:val="16"/>
                <w:szCs w:val="16"/>
                <w:lang w:eastAsia="sv-SE"/>
              </w:rPr>
              <w:t>Rörelseresultat i procent av nettoomsättning</w:t>
            </w:r>
          </w:p>
        </w:tc>
      </w:tr>
      <w:tr w:rsidR="00C20A25" w:rsidRPr="00752F83" w:rsidTr="00067A31">
        <w:tc>
          <w:tcPr>
            <w:tcW w:w="2694" w:type="dxa"/>
          </w:tcPr>
          <w:p w:rsidR="00C20A25" w:rsidRPr="008146DB" w:rsidRDefault="00C20A25" w:rsidP="00067A31">
            <w:pPr>
              <w:rPr>
                <w:rFonts w:ascii="Arial" w:hAnsi="Arial" w:cs="Arial"/>
                <w:b/>
                <w:sz w:val="16"/>
                <w:szCs w:val="16"/>
              </w:rPr>
            </w:pPr>
            <w:r w:rsidRPr="008146DB">
              <w:rPr>
                <w:rFonts w:ascii="Arial" w:eastAsia="Times New Roman" w:hAnsi="Arial" w:cs="Arial"/>
                <w:b/>
                <w:sz w:val="16"/>
                <w:szCs w:val="16"/>
                <w:lang w:eastAsia="sv-SE"/>
              </w:rPr>
              <w:t>EBITDA</w:t>
            </w:r>
            <w:r w:rsidR="00BE2C27" w:rsidRPr="008146DB">
              <w:rPr>
                <w:rFonts w:ascii="Arial" w:eastAsia="Times New Roman" w:hAnsi="Arial" w:cs="Arial"/>
                <w:b/>
                <w:sz w:val="16"/>
                <w:szCs w:val="16"/>
                <w:lang w:eastAsia="sv-SE"/>
              </w:rPr>
              <w:t xml:space="preserve"> (MSEK)</w:t>
            </w:r>
          </w:p>
        </w:tc>
        <w:tc>
          <w:tcPr>
            <w:tcW w:w="4449" w:type="dxa"/>
          </w:tcPr>
          <w:p w:rsidR="00C20A25" w:rsidRPr="008146DB" w:rsidRDefault="00C20A25" w:rsidP="00EC12EC">
            <w:pPr>
              <w:spacing w:line="360" w:lineRule="auto"/>
              <w:rPr>
                <w:rFonts w:ascii="Arial" w:hAnsi="Arial" w:cs="Arial"/>
                <w:sz w:val="16"/>
                <w:szCs w:val="16"/>
              </w:rPr>
            </w:pPr>
            <w:r w:rsidRPr="008146DB">
              <w:rPr>
                <w:rFonts w:ascii="Arial" w:eastAsia="Times New Roman" w:hAnsi="Arial" w:cs="Arial"/>
                <w:sz w:val="16"/>
                <w:szCs w:val="16"/>
                <w:lang w:eastAsia="sv-SE"/>
              </w:rPr>
              <w:t>Rörelseresultat före finansiella poster, skatter, avskrivningar samt eventuella nedskrivningar av materiella och immateriella anläggningstillgångar</w:t>
            </w:r>
          </w:p>
        </w:tc>
      </w:tr>
      <w:tr w:rsidR="00C20A25" w:rsidRPr="00752F83" w:rsidTr="00067A31">
        <w:tc>
          <w:tcPr>
            <w:tcW w:w="2694" w:type="dxa"/>
          </w:tcPr>
          <w:p w:rsidR="00C20A25" w:rsidRPr="008146DB" w:rsidRDefault="00C20A25" w:rsidP="00067A31">
            <w:pPr>
              <w:rPr>
                <w:rFonts w:ascii="Arial" w:hAnsi="Arial" w:cs="Arial"/>
                <w:b/>
                <w:sz w:val="16"/>
                <w:szCs w:val="16"/>
              </w:rPr>
            </w:pPr>
            <w:r w:rsidRPr="008146DB">
              <w:rPr>
                <w:rFonts w:ascii="Arial" w:eastAsia="Times New Roman" w:hAnsi="Arial" w:cs="Arial"/>
                <w:b/>
                <w:sz w:val="16"/>
                <w:szCs w:val="16"/>
                <w:lang w:eastAsia="sv-SE"/>
              </w:rPr>
              <w:t>Avkastning på eget kapital (%)</w:t>
            </w:r>
          </w:p>
        </w:tc>
        <w:tc>
          <w:tcPr>
            <w:tcW w:w="4449" w:type="dxa"/>
          </w:tcPr>
          <w:p w:rsidR="00C20A25" w:rsidRPr="008146DB" w:rsidRDefault="00C20A25" w:rsidP="00EC12EC">
            <w:pPr>
              <w:spacing w:line="360" w:lineRule="auto"/>
              <w:rPr>
                <w:rFonts w:ascii="Arial" w:eastAsia="Times New Roman" w:hAnsi="Arial" w:cs="Arial"/>
                <w:sz w:val="16"/>
                <w:szCs w:val="16"/>
                <w:lang w:eastAsia="sv-SE"/>
              </w:rPr>
            </w:pPr>
            <w:r w:rsidRPr="008146DB">
              <w:rPr>
                <w:rFonts w:ascii="Arial" w:eastAsia="Times New Roman" w:hAnsi="Arial" w:cs="Arial"/>
                <w:sz w:val="16"/>
                <w:szCs w:val="16"/>
                <w:lang w:eastAsia="sv-SE"/>
              </w:rPr>
              <w:t>Resultat efter skatt i procent av genomsnittligt justerat eget kapital</w:t>
            </w:r>
          </w:p>
        </w:tc>
      </w:tr>
      <w:tr w:rsidR="00A216D0" w:rsidRPr="00752F83" w:rsidTr="00067A31">
        <w:tc>
          <w:tcPr>
            <w:tcW w:w="2694" w:type="dxa"/>
          </w:tcPr>
          <w:p w:rsidR="00A216D0" w:rsidRPr="008146DB" w:rsidRDefault="00A216D0" w:rsidP="00E26948">
            <w:pPr>
              <w:rPr>
                <w:rFonts w:ascii="Arial" w:eastAsia="Times New Roman" w:hAnsi="Arial" w:cs="Arial"/>
                <w:b/>
                <w:sz w:val="16"/>
                <w:szCs w:val="16"/>
                <w:lang w:eastAsia="sv-SE"/>
              </w:rPr>
            </w:pPr>
            <w:r w:rsidRPr="008146DB">
              <w:rPr>
                <w:rFonts w:ascii="Arial" w:eastAsia="Times New Roman" w:hAnsi="Arial" w:cs="Arial"/>
                <w:b/>
                <w:sz w:val="16"/>
                <w:szCs w:val="16"/>
                <w:lang w:eastAsia="sv-SE"/>
              </w:rPr>
              <w:t>Genomsnittligt justerat eget kapital</w:t>
            </w:r>
          </w:p>
        </w:tc>
        <w:tc>
          <w:tcPr>
            <w:tcW w:w="4449" w:type="dxa"/>
          </w:tcPr>
          <w:p w:rsidR="00A216D0" w:rsidRPr="008146DB" w:rsidRDefault="00A216D0" w:rsidP="00EC12EC">
            <w:pPr>
              <w:spacing w:line="360" w:lineRule="auto"/>
              <w:rPr>
                <w:rFonts w:ascii="Arial" w:eastAsia="Times New Roman" w:hAnsi="Arial" w:cs="Arial"/>
                <w:sz w:val="16"/>
                <w:szCs w:val="16"/>
                <w:lang w:eastAsia="sv-SE"/>
              </w:rPr>
            </w:pPr>
            <w:r w:rsidRPr="008146DB">
              <w:rPr>
                <w:rFonts w:ascii="Arial" w:eastAsia="Times New Roman" w:hAnsi="Arial" w:cs="Arial"/>
                <w:sz w:val="16"/>
                <w:szCs w:val="16"/>
                <w:lang w:eastAsia="sv-SE"/>
              </w:rPr>
              <w:t>Genomsnittligt eget kapital plus obeskattade reserver med avdrag för uppskjuten skatt till aktuell skattesats</w:t>
            </w:r>
          </w:p>
        </w:tc>
      </w:tr>
      <w:tr w:rsidR="00C20A25" w:rsidRPr="00752F83" w:rsidTr="00067A31">
        <w:tc>
          <w:tcPr>
            <w:tcW w:w="2694" w:type="dxa"/>
          </w:tcPr>
          <w:p w:rsidR="00C20A25" w:rsidRPr="008146DB" w:rsidRDefault="00C20A25" w:rsidP="00067A31">
            <w:pPr>
              <w:rPr>
                <w:rFonts w:ascii="Arial" w:hAnsi="Arial" w:cs="Arial"/>
                <w:b/>
                <w:sz w:val="16"/>
                <w:szCs w:val="16"/>
              </w:rPr>
            </w:pPr>
            <w:r w:rsidRPr="008146DB">
              <w:rPr>
                <w:rFonts w:ascii="Arial" w:eastAsia="Times New Roman" w:hAnsi="Arial" w:cs="Arial"/>
                <w:b/>
                <w:sz w:val="16"/>
                <w:szCs w:val="16"/>
                <w:lang w:eastAsia="sv-SE"/>
              </w:rPr>
              <w:t>Avkastning på genomsnittligt sysselsatt kapital (%)</w:t>
            </w:r>
            <w:r w:rsidRPr="008146DB">
              <w:rPr>
                <w:rFonts w:ascii="Arial" w:eastAsia="Times New Roman" w:hAnsi="Arial" w:cs="Arial"/>
                <w:b/>
                <w:sz w:val="16"/>
                <w:szCs w:val="16"/>
                <w:lang w:eastAsia="sv-SE"/>
              </w:rPr>
              <w:br/>
              <w:t>Sysselsatt kapital</w:t>
            </w:r>
          </w:p>
        </w:tc>
        <w:tc>
          <w:tcPr>
            <w:tcW w:w="4449" w:type="dxa"/>
            <w:vAlign w:val="bottom"/>
          </w:tcPr>
          <w:p w:rsidR="00C20A25" w:rsidRPr="008146DB" w:rsidRDefault="00C20A25" w:rsidP="00EC12EC">
            <w:pPr>
              <w:spacing w:line="360" w:lineRule="auto"/>
              <w:rPr>
                <w:rFonts w:ascii="Arial" w:eastAsia="Times New Roman" w:hAnsi="Arial" w:cs="Arial"/>
                <w:sz w:val="16"/>
                <w:szCs w:val="16"/>
                <w:lang w:eastAsia="sv-SE"/>
              </w:rPr>
            </w:pPr>
            <w:r w:rsidRPr="008146DB">
              <w:rPr>
                <w:rFonts w:ascii="Arial" w:eastAsia="Times New Roman" w:hAnsi="Arial" w:cs="Arial"/>
                <w:sz w:val="16"/>
                <w:szCs w:val="16"/>
                <w:lang w:eastAsia="sv-SE"/>
              </w:rPr>
              <w:t>Resultat efter finansiella poster plus finansiella kostnader i procent av genomsnittligt sysselsatt kapital</w:t>
            </w:r>
            <w:r w:rsidRPr="008146DB">
              <w:rPr>
                <w:rFonts w:ascii="Arial" w:eastAsia="Times New Roman" w:hAnsi="Arial" w:cs="Arial"/>
                <w:sz w:val="16"/>
                <w:szCs w:val="16"/>
                <w:lang w:eastAsia="sv-SE"/>
              </w:rPr>
              <w:br/>
              <w:t>Balansomslutning minus icke räntebärande skulder och icke räntebärande avsättningar inklusive uppskjutna skatteskulder</w:t>
            </w:r>
          </w:p>
        </w:tc>
      </w:tr>
      <w:tr w:rsidR="00C20A25" w:rsidRPr="00752F83" w:rsidTr="00067A31">
        <w:tc>
          <w:tcPr>
            <w:tcW w:w="2694" w:type="dxa"/>
          </w:tcPr>
          <w:p w:rsidR="00C20A25" w:rsidRPr="008146DB" w:rsidRDefault="00C20A25" w:rsidP="00067A31">
            <w:pPr>
              <w:rPr>
                <w:rFonts w:ascii="Arial" w:hAnsi="Arial" w:cs="Arial"/>
                <w:b/>
                <w:sz w:val="16"/>
                <w:szCs w:val="16"/>
              </w:rPr>
            </w:pPr>
            <w:r w:rsidRPr="008146DB">
              <w:rPr>
                <w:rFonts w:ascii="Arial" w:eastAsia="Times New Roman" w:hAnsi="Arial" w:cs="Arial"/>
                <w:b/>
                <w:sz w:val="16"/>
                <w:szCs w:val="16"/>
                <w:lang w:eastAsia="sv-SE"/>
              </w:rPr>
              <w:t>Soliditet (%)</w:t>
            </w:r>
          </w:p>
        </w:tc>
        <w:tc>
          <w:tcPr>
            <w:tcW w:w="4449" w:type="dxa"/>
            <w:vAlign w:val="bottom"/>
          </w:tcPr>
          <w:p w:rsidR="00C20A25" w:rsidRPr="008146DB" w:rsidRDefault="00C20A25" w:rsidP="00EC12EC">
            <w:pPr>
              <w:spacing w:line="360" w:lineRule="auto"/>
              <w:rPr>
                <w:rFonts w:ascii="Arial" w:eastAsia="Times New Roman" w:hAnsi="Arial" w:cs="Arial"/>
                <w:sz w:val="16"/>
                <w:szCs w:val="16"/>
                <w:lang w:eastAsia="sv-SE"/>
              </w:rPr>
            </w:pPr>
            <w:r w:rsidRPr="008146DB">
              <w:rPr>
                <w:rFonts w:ascii="Arial" w:eastAsia="Times New Roman" w:hAnsi="Arial" w:cs="Arial"/>
                <w:sz w:val="16"/>
                <w:szCs w:val="16"/>
                <w:lang w:eastAsia="sv-SE"/>
              </w:rPr>
              <w:t>Justerat eget kapital i procent av balansomslutningen</w:t>
            </w:r>
          </w:p>
        </w:tc>
      </w:tr>
      <w:tr w:rsidR="00067984" w:rsidRPr="00752F83" w:rsidTr="00384009">
        <w:trPr>
          <w:trHeight w:val="567"/>
        </w:trPr>
        <w:tc>
          <w:tcPr>
            <w:tcW w:w="2694" w:type="dxa"/>
          </w:tcPr>
          <w:p w:rsidR="00067984" w:rsidRPr="008146DB" w:rsidRDefault="00067984" w:rsidP="00067A31">
            <w:pPr>
              <w:rPr>
                <w:rFonts w:ascii="Arial" w:eastAsia="Times New Roman" w:hAnsi="Arial" w:cs="Arial"/>
                <w:b/>
                <w:sz w:val="16"/>
                <w:szCs w:val="16"/>
                <w:lang w:eastAsia="sv-SE"/>
              </w:rPr>
            </w:pPr>
            <w:r>
              <w:rPr>
                <w:rFonts w:ascii="Arial" w:eastAsia="Times New Roman" w:hAnsi="Arial" w:cs="Arial"/>
                <w:b/>
                <w:sz w:val="16"/>
                <w:szCs w:val="16"/>
                <w:lang w:eastAsia="sv-SE"/>
              </w:rPr>
              <w:t>Kassaflöde från den löpande verksamheten</w:t>
            </w:r>
          </w:p>
        </w:tc>
        <w:tc>
          <w:tcPr>
            <w:tcW w:w="4449" w:type="dxa"/>
            <w:vAlign w:val="bottom"/>
          </w:tcPr>
          <w:p w:rsidR="00067984" w:rsidRPr="008146DB" w:rsidRDefault="00067984" w:rsidP="00EC12EC">
            <w:pPr>
              <w:spacing w:line="360" w:lineRule="auto"/>
              <w:rPr>
                <w:rFonts w:ascii="Arial" w:eastAsia="Times New Roman" w:hAnsi="Arial" w:cs="Arial"/>
                <w:sz w:val="16"/>
                <w:szCs w:val="16"/>
                <w:lang w:eastAsia="sv-SE"/>
              </w:rPr>
            </w:pPr>
            <w:r>
              <w:rPr>
                <w:rFonts w:ascii="Arial" w:eastAsia="Times New Roman" w:hAnsi="Arial" w:cs="Arial"/>
                <w:sz w:val="16"/>
                <w:szCs w:val="16"/>
                <w:lang w:eastAsia="sv-SE"/>
              </w:rPr>
              <w:t>Resultat efter finansiella poster, justerad för ej kassaflödespåverkande poster, betalda skatter samt förändring i rörelsekapital</w:t>
            </w:r>
          </w:p>
        </w:tc>
      </w:tr>
      <w:tr w:rsidR="00C20A25" w:rsidRPr="00752F83" w:rsidTr="00067A31">
        <w:tc>
          <w:tcPr>
            <w:tcW w:w="2694" w:type="dxa"/>
          </w:tcPr>
          <w:p w:rsidR="00C20A25" w:rsidRPr="008146DB" w:rsidRDefault="00C20A25" w:rsidP="00067A31">
            <w:pPr>
              <w:rPr>
                <w:rFonts w:ascii="Arial" w:hAnsi="Arial" w:cs="Arial"/>
                <w:b/>
                <w:sz w:val="16"/>
                <w:szCs w:val="16"/>
              </w:rPr>
            </w:pPr>
            <w:r w:rsidRPr="008146DB">
              <w:rPr>
                <w:rFonts w:ascii="Arial" w:eastAsia="Times New Roman" w:hAnsi="Arial" w:cs="Arial"/>
                <w:b/>
                <w:sz w:val="16"/>
                <w:szCs w:val="16"/>
                <w:lang w:eastAsia="sv-SE"/>
              </w:rPr>
              <w:t>Lageromsättningshastighet</w:t>
            </w:r>
            <w:r w:rsidR="00BE2C27" w:rsidRPr="008146DB">
              <w:rPr>
                <w:rFonts w:ascii="Arial" w:eastAsia="Times New Roman" w:hAnsi="Arial" w:cs="Arial"/>
                <w:b/>
                <w:sz w:val="16"/>
                <w:szCs w:val="16"/>
                <w:lang w:eastAsia="sv-SE"/>
              </w:rPr>
              <w:t xml:space="preserve"> (ggr)</w:t>
            </w:r>
          </w:p>
        </w:tc>
        <w:tc>
          <w:tcPr>
            <w:tcW w:w="4449" w:type="dxa"/>
            <w:vAlign w:val="bottom"/>
          </w:tcPr>
          <w:p w:rsidR="00C20A25" w:rsidRPr="008146DB" w:rsidRDefault="00C20A25" w:rsidP="00067A31">
            <w:pPr>
              <w:spacing w:line="240" w:lineRule="auto"/>
              <w:rPr>
                <w:rFonts w:ascii="Arial" w:eastAsia="Times New Roman" w:hAnsi="Arial" w:cs="Arial"/>
                <w:sz w:val="16"/>
                <w:szCs w:val="16"/>
                <w:lang w:eastAsia="sv-SE"/>
              </w:rPr>
            </w:pPr>
            <w:r w:rsidRPr="008146DB">
              <w:rPr>
                <w:rFonts w:ascii="Arial" w:eastAsia="Times New Roman" w:hAnsi="Arial" w:cs="Arial"/>
                <w:sz w:val="16"/>
                <w:szCs w:val="16"/>
                <w:lang w:eastAsia="sv-SE"/>
              </w:rPr>
              <w:t>Kostnad såld vara dividerad med genomsnittligt varulager</w:t>
            </w:r>
          </w:p>
        </w:tc>
      </w:tr>
    </w:tbl>
    <w:p w:rsidR="00383250" w:rsidRPr="001B0F15" w:rsidRDefault="00383250"/>
    <w:p w:rsidR="00383250" w:rsidRPr="001B0F15" w:rsidRDefault="00383250">
      <w:pPr>
        <w:rPr>
          <w:rFonts w:eastAsiaTheme="majorEastAsia" w:cstheme="majorBidi"/>
          <w:b/>
          <w:bCs/>
        </w:rPr>
      </w:pPr>
      <w:r w:rsidRPr="001B0F15">
        <w:br w:type="page"/>
      </w:r>
    </w:p>
    <w:p w:rsidR="00C20A25" w:rsidRPr="003B0065" w:rsidRDefault="00BE2C27" w:rsidP="00C20A25">
      <w:pPr>
        <w:pStyle w:val="Heading2"/>
        <w:rPr>
          <w:rFonts w:ascii="Arial" w:hAnsi="Arial" w:cs="Arial"/>
        </w:rPr>
      </w:pPr>
      <w:r>
        <w:rPr>
          <w:rFonts w:ascii="Arial" w:hAnsi="Arial" w:cs="Arial"/>
        </w:rPr>
        <w:lastRenderedPageBreak/>
        <w:t>Moderbolagets r</w:t>
      </w:r>
      <w:r w:rsidR="00C20A25" w:rsidRPr="003B0065">
        <w:rPr>
          <w:rFonts w:ascii="Arial" w:hAnsi="Arial" w:cs="Arial"/>
        </w:rPr>
        <w:t xml:space="preserve">esultaträkning </w:t>
      </w:r>
    </w:p>
    <w:p w:rsidR="00257A58" w:rsidRPr="001B0F15" w:rsidRDefault="00ED106E" w:rsidP="008146DB">
      <w:r w:rsidRPr="00ED106E" w:rsidDel="00ED106E">
        <w:t xml:space="preserve"> </w:t>
      </w:r>
      <w:r w:rsidR="00556336" w:rsidRPr="00556336" w:rsidDel="00556336">
        <w:t xml:space="preserve"> </w:t>
      </w:r>
    </w:p>
    <w:p w:rsidR="00AB5DAB" w:rsidRPr="001B0F15" w:rsidRDefault="00A57170">
      <w:pPr>
        <w:rPr>
          <w:rFonts w:eastAsiaTheme="majorEastAsia" w:cstheme="majorBidi"/>
          <w:b/>
          <w:bCs/>
        </w:rPr>
      </w:pPr>
      <w:r>
        <w:rPr>
          <w:noProof/>
          <w:lang w:eastAsia="sv-SE"/>
        </w:rPr>
        <w:drawing>
          <wp:inline distT="0" distB="0" distL="0" distR="0" wp14:anchorId="4676ABBE" wp14:editId="51A76BCB">
            <wp:extent cx="4770120" cy="4563569"/>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70120" cy="4563569"/>
                    </a:xfrm>
                    <a:prstGeom prst="rect">
                      <a:avLst/>
                    </a:prstGeom>
                    <a:noFill/>
                    <a:ln>
                      <a:noFill/>
                    </a:ln>
                  </pic:spPr>
                </pic:pic>
              </a:graphicData>
            </a:graphic>
          </wp:inline>
        </w:drawing>
      </w:r>
      <w:r w:rsidR="00AB5DAB" w:rsidRPr="001B0F15">
        <w:br w:type="page"/>
      </w:r>
    </w:p>
    <w:p w:rsidR="00C20A25" w:rsidRPr="003B0065" w:rsidRDefault="00BE2C27" w:rsidP="00C20A25">
      <w:pPr>
        <w:pStyle w:val="Heading2"/>
        <w:rPr>
          <w:rFonts w:ascii="Arial" w:hAnsi="Arial" w:cs="Arial"/>
        </w:rPr>
      </w:pPr>
      <w:r>
        <w:rPr>
          <w:rFonts w:ascii="Arial" w:hAnsi="Arial" w:cs="Arial"/>
        </w:rPr>
        <w:lastRenderedPageBreak/>
        <w:t>Moderbolagets b</w:t>
      </w:r>
      <w:r w:rsidR="00C20A25" w:rsidRPr="003B0065">
        <w:rPr>
          <w:rFonts w:ascii="Arial" w:hAnsi="Arial" w:cs="Arial"/>
        </w:rPr>
        <w:t>alansräkning</w:t>
      </w:r>
    </w:p>
    <w:p w:rsidR="00C20A25" w:rsidRDefault="00C20A25" w:rsidP="00C20A25">
      <w:pPr>
        <w:rPr>
          <w:sz w:val="28"/>
        </w:rPr>
      </w:pPr>
    </w:p>
    <w:p w:rsidR="00C20A25" w:rsidRDefault="00A57170" w:rsidP="00C20A25">
      <w:pPr>
        <w:rPr>
          <w:sz w:val="28"/>
        </w:rPr>
      </w:pPr>
      <w:r>
        <w:rPr>
          <w:noProof/>
          <w:sz w:val="28"/>
          <w:lang w:eastAsia="sv-SE"/>
        </w:rPr>
        <w:drawing>
          <wp:inline distT="0" distB="0" distL="0" distR="0" wp14:anchorId="1EDF276F" wp14:editId="71F89B3F">
            <wp:extent cx="4770120" cy="622007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70120" cy="6220076"/>
                    </a:xfrm>
                    <a:prstGeom prst="rect">
                      <a:avLst/>
                    </a:prstGeom>
                    <a:noFill/>
                    <a:ln>
                      <a:noFill/>
                    </a:ln>
                  </pic:spPr>
                </pic:pic>
              </a:graphicData>
            </a:graphic>
          </wp:inline>
        </w:drawing>
      </w:r>
    </w:p>
    <w:p w:rsidR="00257A58" w:rsidRPr="001B0F15" w:rsidRDefault="00257A58" w:rsidP="00257A58"/>
    <w:p w:rsidR="00257A58" w:rsidRPr="001B0F15" w:rsidRDefault="00257A58" w:rsidP="00257A58"/>
    <w:p w:rsidR="00257A58" w:rsidRPr="001B0F15" w:rsidRDefault="00AB5DAB" w:rsidP="00257A58">
      <w:r w:rsidRPr="001B0F15">
        <w:br w:type="page"/>
      </w:r>
    </w:p>
    <w:p w:rsidR="00257A58" w:rsidRPr="00564411" w:rsidRDefault="00BE2C27" w:rsidP="004C2891">
      <w:pPr>
        <w:pStyle w:val="Heading2"/>
        <w:rPr>
          <w:rFonts w:ascii="Arial" w:hAnsi="Arial" w:cs="Arial"/>
          <w:sz w:val="20"/>
        </w:rPr>
      </w:pPr>
      <w:r>
        <w:rPr>
          <w:rFonts w:ascii="Arial" w:hAnsi="Arial" w:cs="Arial"/>
        </w:rPr>
        <w:lastRenderedPageBreak/>
        <w:t>Moderbolagets r</w:t>
      </w:r>
      <w:r w:rsidR="003E0603" w:rsidRPr="00564411">
        <w:rPr>
          <w:rFonts w:ascii="Arial" w:hAnsi="Arial" w:cs="Arial"/>
        </w:rPr>
        <w:t>apport över förändring</w:t>
      </w:r>
      <w:r w:rsidR="00ED106E">
        <w:rPr>
          <w:rFonts w:ascii="Arial" w:hAnsi="Arial" w:cs="Arial"/>
        </w:rPr>
        <w:t>ar</w:t>
      </w:r>
      <w:r w:rsidR="003E0603" w:rsidRPr="00564411">
        <w:rPr>
          <w:rFonts w:ascii="Arial" w:hAnsi="Arial" w:cs="Arial"/>
        </w:rPr>
        <w:t xml:space="preserve"> i eget kapital </w:t>
      </w:r>
    </w:p>
    <w:p w:rsidR="00DD732A" w:rsidRDefault="00DD732A" w:rsidP="001612B2">
      <w:pPr>
        <w:rPr>
          <w:noProof/>
          <w:lang w:eastAsia="sv-SE"/>
        </w:rPr>
      </w:pPr>
    </w:p>
    <w:p w:rsidR="001612B2" w:rsidRPr="001612B2" w:rsidRDefault="00ED106E" w:rsidP="001612B2">
      <w:r w:rsidRPr="00ED106E" w:rsidDel="00ED106E">
        <w:t xml:space="preserve"> </w:t>
      </w:r>
      <w:r w:rsidR="00C440E8">
        <w:rPr>
          <w:noProof/>
          <w:lang w:eastAsia="sv-SE"/>
        </w:rPr>
        <w:drawing>
          <wp:inline distT="0" distB="0" distL="0" distR="0" wp14:anchorId="6968BC7E" wp14:editId="72140A4F">
            <wp:extent cx="4770120" cy="3673323"/>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70120" cy="3673323"/>
                    </a:xfrm>
                    <a:prstGeom prst="rect">
                      <a:avLst/>
                    </a:prstGeom>
                    <a:noFill/>
                    <a:ln>
                      <a:noFill/>
                    </a:ln>
                  </pic:spPr>
                </pic:pic>
              </a:graphicData>
            </a:graphic>
          </wp:inline>
        </w:drawing>
      </w:r>
      <w:r w:rsidR="00556336" w:rsidRPr="00556336" w:rsidDel="00556336">
        <w:t xml:space="preserve"> </w:t>
      </w:r>
      <w:r w:rsidRPr="00ED106E" w:rsidDel="00ED106E">
        <w:t xml:space="preserve"> </w:t>
      </w:r>
    </w:p>
    <w:p w:rsidR="00AB5DAB" w:rsidRPr="001B0F15" w:rsidRDefault="00AB5DAB">
      <w:pPr>
        <w:rPr>
          <w:rFonts w:asciiTheme="majorHAnsi" w:eastAsiaTheme="majorEastAsia" w:hAnsiTheme="majorHAnsi" w:cstheme="majorBidi"/>
          <w:bCs/>
          <w:sz w:val="26"/>
          <w:szCs w:val="26"/>
        </w:rPr>
      </w:pPr>
      <w:r w:rsidRPr="001B0F15">
        <w:br w:type="page"/>
      </w:r>
    </w:p>
    <w:p w:rsidR="00C20A25" w:rsidRPr="003B0065" w:rsidRDefault="00BE2C27" w:rsidP="00C20A25">
      <w:pPr>
        <w:pStyle w:val="Heading2"/>
        <w:rPr>
          <w:rFonts w:ascii="Arial" w:hAnsi="Arial" w:cs="Arial"/>
        </w:rPr>
      </w:pPr>
      <w:r>
        <w:rPr>
          <w:rFonts w:ascii="Arial" w:hAnsi="Arial" w:cs="Arial"/>
        </w:rPr>
        <w:lastRenderedPageBreak/>
        <w:t>Moderbolagets k</w:t>
      </w:r>
      <w:r w:rsidR="00C20A25" w:rsidRPr="003B0065">
        <w:rPr>
          <w:rFonts w:ascii="Arial" w:hAnsi="Arial" w:cs="Arial"/>
        </w:rPr>
        <w:t>assaflödesanalys</w:t>
      </w:r>
    </w:p>
    <w:p w:rsidR="00C20A25" w:rsidRDefault="00C20A25" w:rsidP="00C20A25">
      <w:pPr>
        <w:pStyle w:val="Heading3"/>
        <w:rPr>
          <w:sz w:val="28"/>
        </w:rPr>
      </w:pPr>
    </w:p>
    <w:p w:rsidR="00472D99" w:rsidRPr="00811D62" w:rsidRDefault="00D4082D" w:rsidP="00811D62">
      <w:r>
        <w:rPr>
          <w:noProof/>
          <w:lang w:eastAsia="sv-SE"/>
        </w:rPr>
        <w:drawing>
          <wp:inline distT="0" distB="0" distL="0" distR="0" wp14:anchorId="05DC5F0E" wp14:editId="7237545B">
            <wp:extent cx="4770120" cy="559288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70120" cy="5592889"/>
                    </a:xfrm>
                    <a:prstGeom prst="rect">
                      <a:avLst/>
                    </a:prstGeom>
                    <a:noFill/>
                    <a:ln>
                      <a:noFill/>
                    </a:ln>
                  </pic:spPr>
                </pic:pic>
              </a:graphicData>
            </a:graphic>
          </wp:inline>
        </w:drawing>
      </w:r>
    </w:p>
    <w:p w:rsidR="00C20A25" w:rsidRDefault="00C20A25" w:rsidP="00C20A25">
      <w:r>
        <w:br w:type="page"/>
      </w:r>
    </w:p>
    <w:p w:rsidR="00C20A25" w:rsidRPr="00752F83" w:rsidRDefault="00C20A25" w:rsidP="00C20A25">
      <w:pPr>
        <w:rPr>
          <w:rFonts w:ascii="Arial" w:hAnsi="Arial" w:cs="Arial"/>
          <w:sz w:val="28"/>
          <w:szCs w:val="28"/>
        </w:rPr>
      </w:pPr>
      <w:r w:rsidRPr="00752F83">
        <w:rPr>
          <w:rFonts w:ascii="Arial" w:hAnsi="Arial" w:cs="Arial"/>
          <w:sz w:val="28"/>
          <w:szCs w:val="28"/>
        </w:rPr>
        <w:lastRenderedPageBreak/>
        <w:t>Noter och redovisningsprinciper</w:t>
      </w:r>
    </w:p>
    <w:p w:rsidR="00C20A25" w:rsidRPr="00752F83" w:rsidRDefault="00C20A25" w:rsidP="00C20A25">
      <w:pPr>
        <w:pStyle w:val="Heading2"/>
        <w:jc w:val="both"/>
        <w:rPr>
          <w:rFonts w:ascii="Arial" w:hAnsi="Arial" w:cs="Arial"/>
        </w:rPr>
      </w:pPr>
    </w:p>
    <w:p w:rsidR="00C20A25" w:rsidRPr="00752F83" w:rsidRDefault="00C20A25" w:rsidP="00C20A25">
      <w:pPr>
        <w:pStyle w:val="Heading2"/>
        <w:jc w:val="both"/>
        <w:rPr>
          <w:rFonts w:ascii="Arial" w:hAnsi="Arial" w:cs="Arial"/>
        </w:rPr>
      </w:pPr>
      <w:r w:rsidRPr="00752F83">
        <w:rPr>
          <w:rFonts w:ascii="Arial" w:hAnsi="Arial" w:cs="Arial"/>
        </w:rPr>
        <w:t>Not 1 Redovisningsprinciper</w:t>
      </w:r>
    </w:p>
    <w:p w:rsidR="00C20A25" w:rsidRDefault="00C20A25" w:rsidP="0076295A">
      <w:pPr>
        <w:jc w:val="both"/>
        <w:rPr>
          <w:rFonts w:ascii="Arial" w:hAnsi="Arial" w:cs="Arial"/>
          <w:sz w:val="22"/>
          <w:szCs w:val="22"/>
        </w:rPr>
      </w:pPr>
      <w:r w:rsidRPr="00C20A25">
        <w:rPr>
          <w:rFonts w:ascii="Arial" w:hAnsi="Arial" w:cs="Arial"/>
          <w:sz w:val="22"/>
          <w:szCs w:val="22"/>
        </w:rPr>
        <w:t>Denna delårsrapport har upprättats i enlighet med Årsredovisningslagen samt med tillämpning av IAS 34 - Delårsrap</w:t>
      </w:r>
      <w:r w:rsidR="00E20EE6">
        <w:rPr>
          <w:rFonts w:ascii="Arial" w:hAnsi="Arial" w:cs="Arial"/>
          <w:sz w:val="22"/>
          <w:szCs w:val="22"/>
        </w:rPr>
        <w:t>portering</w:t>
      </w:r>
      <w:r w:rsidR="006406F7">
        <w:rPr>
          <w:rFonts w:ascii="Arial" w:hAnsi="Arial" w:cs="Arial"/>
          <w:sz w:val="22"/>
          <w:szCs w:val="22"/>
        </w:rPr>
        <w:t>.</w:t>
      </w:r>
      <w:r w:rsidR="008C5C24" w:rsidRPr="008C5C24">
        <w:t xml:space="preserve"> </w:t>
      </w:r>
      <w:r w:rsidR="008C5C24" w:rsidRPr="008C5C24">
        <w:rPr>
          <w:rFonts w:ascii="Arial" w:hAnsi="Arial" w:cs="Arial"/>
          <w:sz w:val="22"/>
          <w:szCs w:val="22"/>
        </w:rPr>
        <w:t xml:space="preserve">Koncernredovisningen för Orio AB-koncernen har upprättats i enlighet med Årsredovisningslagen, RFR 1 Kompletterande redovisningsregler för koncerner, </w:t>
      </w:r>
      <w:r w:rsidR="008C5C24">
        <w:rPr>
          <w:rFonts w:ascii="Arial" w:hAnsi="Arial" w:cs="Arial"/>
          <w:sz w:val="22"/>
          <w:szCs w:val="22"/>
        </w:rPr>
        <w:t xml:space="preserve">samt </w:t>
      </w:r>
      <w:r w:rsidR="008C5C24" w:rsidRPr="008C5C24">
        <w:rPr>
          <w:rFonts w:ascii="Arial" w:hAnsi="Arial" w:cs="Arial"/>
          <w:sz w:val="22"/>
          <w:szCs w:val="22"/>
        </w:rPr>
        <w:t xml:space="preserve">International Financial Reporting Standards (IFRS) sådana de antagits av EU.  Moderbolagets </w:t>
      </w:r>
      <w:r w:rsidR="008C5C24">
        <w:rPr>
          <w:rFonts w:ascii="Arial" w:hAnsi="Arial" w:cs="Arial"/>
          <w:sz w:val="22"/>
          <w:szCs w:val="22"/>
        </w:rPr>
        <w:t xml:space="preserve">redovisning har upprättats enligt </w:t>
      </w:r>
      <w:r w:rsidR="008C5C24" w:rsidRPr="008C5C24">
        <w:rPr>
          <w:rFonts w:ascii="Arial" w:hAnsi="Arial" w:cs="Arial"/>
          <w:sz w:val="22"/>
          <w:szCs w:val="22"/>
        </w:rPr>
        <w:t xml:space="preserve">Rådet för finansiell rapporterings rekommendation RFR2, Redovisning för juridiska personer samt Årsredovisningslagen. </w:t>
      </w:r>
      <w:r w:rsidR="00E20EE6">
        <w:rPr>
          <w:rFonts w:ascii="Arial" w:hAnsi="Arial" w:cs="Arial"/>
          <w:sz w:val="22"/>
          <w:szCs w:val="22"/>
        </w:rPr>
        <w:t>Delårsrapporten för M</w:t>
      </w:r>
      <w:r w:rsidRPr="00C20A25">
        <w:rPr>
          <w:rFonts w:ascii="Arial" w:hAnsi="Arial" w:cs="Arial"/>
          <w:sz w:val="22"/>
          <w:szCs w:val="22"/>
        </w:rPr>
        <w:t>oderbolaget har upprättats i enlighet med Årsredovisningslagens 9 kapitel, Delårsrapport.</w:t>
      </w:r>
      <w:r w:rsidR="00377B32">
        <w:rPr>
          <w:rFonts w:ascii="Arial" w:hAnsi="Arial" w:cs="Arial"/>
          <w:sz w:val="22"/>
          <w:szCs w:val="22"/>
        </w:rPr>
        <w:t xml:space="preserve"> </w:t>
      </w:r>
      <w:r w:rsidR="008C5C24">
        <w:rPr>
          <w:rFonts w:ascii="Arial" w:hAnsi="Arial" w:cs="Arial"/>
          <w:sz w:val="22"/>
          <w:szCs w:val="22"/>
        </w:rPr>
        <w:t>Redovisningsprinciper som tillämpats överens</w:t>
      </w:r>
      <w:r w:rsidR="00D14EA7">
        <w:rPr>
          <w:rFonts w:ascii="Arial" w:hAnsi="Arial" w:cs="Arial"/>
          <w:sz w:val="22"/>
          <w:szCs w:val="22"/>
        </w:rPr>
        <w:t>s</w:t>
      </w:r>
      <w:bookmarkStart w:id="0" w:name="_GoBack"/>
      <w:bookmarkEnd w:id="0"/>
      <w:r w:rsidR="008C5C24">
        <w:rPr>
          <w:rFonts w:ascii="Arial" w:hAnsi="Arial" w:cs="Arial"/>
          <w:sz w:val="22"/>
          <w:szCs w:val="22"/>
        </w:rPr>
        <w:t xml:space="preserve">tämmer med de redovisningsprinciper som användes vid upprättandet av den senaste årsredovisningen om ej annat anges nedan. Dessa finns publicerade på bolagets webbplats </w:t>
      </w:r>
      <w:hyperlink r:id="rId26" w:history="1">
        <w:r w:rsidR="008C5C24" w:rsidRPr="009D73DC">
          <w:rPr>
            <w:rStyle w:val="Hyperlink"/>
            <w:rFonts w:ascii="Arial" w:hAnsi="Arial" w:cs="Arial"/>
            <w:sz w:val="22"/>
            <w:szCs w:val="22"/>
          </w:rPr>
          <w:t>www.orio.com</w:t>
        </w:r>
      </w:hyperlink>
      <w:r w:rsidR="008C5C24">
        <w:rPr>
          <w:rFonts w:ascii="Arial" w:hAnsi="Arial" w:cs="Arial"/>
          <w:sz w:val="22"/>
          <w:szCs w:val="22"/>
        </w:rPr>
        <w:t xml:space="preserve">. De nya IFRS-standarder som trätt i kraft under 2015 har inte någon väsentlig effekt på </w:t>
      </w:r>
      <w:r w:rsidR="006406F7">
        <w:rPr>
          <w:rFonts w:ascii="Arial" w:hAnsi="Arial" w:cs="Arial"/>
          <w:sz w:val="22"/>
          <w:szCs w:val="22"/>
        </w:rPr>
        <w:t xml:space="preserve">Koncernens </w:t>
      </w:r>
      <w:r w:rsidR="008C5C24">
        <w:rPr>
          <w:rFonts w:ascii="Arial" w:hAnsi="Arial" w:cs="Arial"/>
          <w:sz w:val="22"/>
          <w:szCs w:val="22"/>
        </w:rPr>
        <w:t>finansiella rapporter.</w:t>
      </w:r>
    </w:p>
    <w:p w:rsidR="00377B32" w:rsidRDefault="00377B32" w:rsidP="0076295A">
      <w:pPr>
        <w:jc w:val="both"/>
        <w:rPr>
          <w:rFonts w:ascii="Arial" w:hAnsi="Arial" w:cs="Arial"/>
          <w:sz w:val="22"/>
          <w:szCs w:val="22"/>
        </w:rPr>
      </w:pPr>
    </w:p>
    <w:p w:rsidR="00C20A25" w:rsidRDefault="00C20A25" w:rsidP="00C20A25">
      <w:pPr>
        <w:pStyle w:val="Heading2"/>
        <w:jc w:val="both"/>
        <w:rPr>
          <w:rFonts w:ascii="Arial" w:hAnsi="Arial" w:cs="Arial"/>
        </w:rPr>
      </w:pPr>
      <w:r w:rsidRPr="00752F83">
        <w:rPr>
          <w:rFonts w:ascii="Arial" w:hAnsi="Arial" w:cs="Arial"/>
        </w:rPr>
        <w:t>Not 2 Värdering till verkligt värde</w:t>
      </w:r>
    </w:p>
    <w:p w:rsidR="00CB39BF" w:rsidRPr="00CB39BF" w:rsidRDefault="00CB39BF" w:rsidP="00CB39BF">
      <w:pPr>
        <w:jc w:val="both"/>
        <w:rPr>
          <w:rFonts w:ascii="Arial" w:hAnsi="Arial" w:cs="Arial"/>
          <w:sz w:val="22"/>
          <w:szCs w:val="22"/>
        </w:rPr>
      </w:pPr>
      <w:r w:rsidRPr="00CB39BF">
        <w:rPr>
          <w:rFonts w:ascii="Arial" w:hAnsi="Arial" w:cs="Arial"/>
          <w:sz w:val="22"/>
          <w:szCs w:val="22"/>
        </w:rPr>
        <w:t>Koncernens finansiella instrument redovisas till upplupet</w:t>
      </w:r>
      <w:r>
        <w:rPr>
          <w:rFonts w:ascii="Arial" w:hAnsi="Arial" w:cs="Arial"/>
          <w:sz w:val="22"/>
          <w:szCs w:val="22"/>
        </w:rPr>
        <w:t xml:space="preserve"> </w:t>
      </w:r>
      <w:r w:rsidRPr="00CB39BF">
        <w:rPr>
          <w:rFonts w:ascii="Arial" w:hAnsi="Arial" w:cs="Arial"/>
          <w:sz w:val="22"/>
          <w:szCs w:val="22"/>
        </w:rPr>
        <w:t>anskaffningsvärde, utom vad avser derivatinstrument som redovisas</w:t>
      </w:r>
      <w:r>
        <w:rPr>
          <w:rFonts w:ascii="Arial" w:hAnsi="Arial" w:cs="Arial"/>
          <w:sz w:val="22"/>
          <w:szCs w:val="22"/>
        </w:rPr>
        <w:t xml:space="preserve"> </w:t>
      </w:r>
      <w:r w:rsidRPr="00CB39BF">
        <w:rPr>
          <w:rFonts w:ascii="Arial" w:hAnsi="Arial" w:cs="Arial"/>
          <w:sz w:val="22"/>
          <w:szCs w:val="22"/>
        </w:rPr>
        <w:t>till verkligt värde. När Koncernen fastställer verkliga värden</w:t>
      </w:r>
      <w:r>
        <w:rPr>
          <w:rFonts w:ascii="Arial" w:hAnsi="Arial" w:cs="Arial"/>
          <w:sz w:val="22"/>
          <w:szCs w:val="22"/>
        </w:rPr>
        <w:t xml:space="preserve"> </w:t>
      </w:r>
      <w:r w:rsidRPr="00CB39BF">
        <w:rPr>
          <w:rFonts w:ascii="Arial" w:hAnsi="Arial" w:cs="Arial"/>
          <w:sz w:val="22"/>
          <w:szCs w:val="22"/>
        </w:rPr>
        <w:t>för finansiella instrument används olika metoder beroende på</w:t>
      </w:r>
      <w:r>
        <w:rPr>
          <w:rFonts w:ascii="Arial" w:hAnsi="Arial" w:cs="Arial"/>
          <w:sz w:val="22"/>
          <w:szCs w:val="22"/>
        </w:rPr>
        <w:t xml:space="preserve"> </w:t>
      </w:r>
      <w:r w:rsidRPr="00CB39BF">
        <w:rPr>
          <w:rFonts w:ascii="Arial" w:hAnsi="Arial" w:cs="Arial"/>
          <w:sz w:val="22"/>
          <w:szCs w:val="22"/>
        </w:rPr>
        <w:t>graden av observerbarhet av marknadsdata i värderingen. Metoderna</w:t>
      </w:r>
      <w:r>
        <w:rPr>
          <w:rFonts w:ascii="Arial" w:hAnsi="Arial" w:cs="Arial"/>
          <w:sz w:val="22"/>
          <w:szCs w:val="22"/>
        </w:rPr>
        <w:t xml:space="preserve"> </w:t>
      </w:r>
      <w:r w:rsidRPr="00CB39BF">
        <w:rPr>
          <w:rFonts w:ascii="Arial" w:hAnsi="Arial" w:cs="Arial"/>
          <w:sz w:val="22"/>
          <w:szCs w:val="22"/>
        </w:rPr>
        <w:t>är uppdelade på tre olika nivåer.</w:t>
      </w:r>
    </w:p>
    <w:p w:rsidR="00CB39BF" w:rsidRPr="00DD732A" w:rsidRDefault="00CB39BF" w:rsidP="00DD732A">
      <w:pPr>
        <w:pStyle w:val="ListParagraph"/>
        <w:numPr>
          <w:ilvl w:val="0"/>
          <w:numId w:val="14"/>
        </w:numPr>
        <w:jc w:val="both"/>
        <w:rPr>
          <w:rFonts w:ascii="Arial" w:hAnsi="Arial" w:cs="Arial"/>
          <w:sz w:val="22"/>
          <w:szCs w:val="22"/>
        </w:rPr>
      </w:pPr>
      <w:r w:rsidRPr="00DD732A">
        <w:rPr>
          <w:rFonts w:ascii="Arial" w:hAnsi="Arial" w:cs="Arial"/>
          <w:sz w:val="22"/>
          <w:szCs w:val="22"/>
        </w:rPr>
        <w:t>Nivå 1</w:t>
      </w:r>
      <w:r w:rsidR="00DD732A">
        <w:rPr>
          <w:rFonts w:ascii="Arial" w:hAnsi="Arial" w:cs="Arial"/>
          <w:sz w:val="22"/>
          <w:szCs w:val="22"/>
        </w:rPr>
        <w:t>.</w:t>
      </w:r>
      <w:r w:rsidRPr="00DD732A">
        <w:rPr>
          <w:rFonts w:ascii="Arial" w:hAnsi="Arial" w:cs="Arial"/>
          <w:sz w:val="22"/>
          <w:szCs w:val="22"/>
        </w:rPr>
        <w:t xml:space="preserve"> Noterade priser (ojusterade) på aktiva marknader för identiska tillgångar eller skulder.</w:t>
      </w:r>
    </w:p>
    <w:p w:rsidR="00CB39BF" w:rsidRPr="00DD732A" w:rsidRDefault="00CB39BF" w:rsidP="00DD732A">
      <w:pPr>
        <w:pStyle w:val="ListParagraph"/>
        <w:numPr>
          <w:ilvl w:val="0"/>
          <w:numId w:val="14"/>
        </w:numPr>
        <w:jc w:val="both"/>
        <w:rPr>
          <w:rFonts w:ascii="Arial" w:hAnsi="Arial" w:cs="Arial"/>
          <w:sz w:val="22"/>
          <w:szCs w:val="22"/>
        </w:rPr>
      </w:pPr>
      <w:r w:rsidRPr="00DD732A">
        <w:rPr>
          <w:rFonts w:ascii="Arial" w:hAnsi="Arial" w:cs="Arial"/>
          <w:sz w:val="22"/>
          <w:szCs w:val="22"/>
        </w:rPr>
        <w:t>Nivå 2</w:t>
      </w:r>
      <w:r w:rsidR="00DD732A">
        <w:rPr>
          <w:rFonts w:ascii="Arial" w:hAnsi="Arial" w:cs="Arial"/>
          <w:sz w:val="22"/>
          <w:szCs w:val="22"/>
        </w:rPr>
        <w:t>.</w:t>
      </w:r>
      <w:r w:rsidRPr="00DD732A">
        <w:rPr>
          <w:rFonts w:ascii="Arial" w:hAnsi="Arial" w:cs="Arial"/>
          <w:sz w:val="22"/>
          <w:szCs w:val="22"/>
        </w:rPr>
        <w:t xml:space="preserve"> Andra observerbara data för tillgångar eller skulder än noterade priser inkl i nivå 1, antingen direkt (det vill säga som prisnoteringar) eller indirekt (det vill säga härledda från prisnoteringar).</w:t>
      </w:r>
    </w:p>
    <w:p w:rsidR="00CB39BF" w:rsidRPr="00DD732A" w:rsidRDefault="00CB39BF" w:rsidP="00DD732A">
      <w:pPr>
        <w:pStyle w:val="ListParagraph"/>
        <w:numPr>
          <w:ilvl w:val="0"/>
          <w:numId w:val="14"/>
        </w:numPr>
        <w:jc w:val="both"/>
        <w:rPr>
          <w:rFonts w:ascii="Arial" w:hAnsi="Arial" w:cs="Arial"/>
          <w:sz w:val="22"/>
          <w:szCs w:val="22"/>
        </w:rPr>
      </w:pPr>
      <w:r w:rsidRPr="00DD732A">
        <w:rPr>
          <w:rFonts w:ascii="Arial" w:hAnsi="Arial" w:cs="Arial"/>
          <w:sz w:val="22"/>
          <w:szCs w:val="22"/>
        </w:rPr>
        <w:t>Nivå 3</w:t>
      </w:r>
      <w:r w:rsidR="00DD732A">
        <w:rPr>
          <w:rFonts w:ascii="Arial" w:hAnsi="Arial" w:cs="Arial"/>
          <w:sz w:val="22"/>
          <w:szCs w:val="22"/>
        </w:rPr>
        <w:t>.</w:t>
      </w:r>
      <w:r w:rsidRPr="00DD732A">
        <w:rPr>
          <w:rFonts w:ascii="Arial" w:hAnsi="Arial" w:cs="Arial"/>
          <w:sz w:val="22"/>
          <w:szCs w:val="22"/>
        </w:rPr>
        <w:t xml:space="preserve"> Data för tillgången eller skulden som inte baseras på observerbara marknadsdata (det vill säga ej observerbara data). </w:t>
      </w:r>
    </w:p>
    <w:p w:rsidR="00CB39BF" w:rsidRDefault="00CB39BF" w:rsidP="00CB39BF">
      <w:pPr>
        <w:jc w:val="both"/>
        <w:rPr>
          <w:rFonts w:ascii="Arial" w:hAnsi="Arial" w:cs="Arial"/>
          <w:sz w:val="22"/>
          <w:szCs w:val="22"/>
        </w:rPr>
      </w:pPr>
    </w:p>
    <w:p w:rsidR="00C20A25" w:rsidRPr="00C20A25" w:rsidRDefault="00C20A25" w:rsidP="00CB39BF">
      <w:pPr>
        <w:jc w:val="both"/>
        <w:rPr>
          <w:rFonts w:ascii="Arial" w:hAnsi="Arial" w:cs="Arial"/>
          <w:sz w:val="22"/>
          <w:szCs w:val="22"/>
        </w:rPr>
      </w:pPr>
      <w:r w:rsidRPr="00C20A25">
        <w:rPr>
          <w:rFonts w:ascii="Arial" w:hAnsi="Arial" w:cs="Arial"/>
          <w:sz w:val="22"/>
          <w:szCs w:val="22"/>
        </w:rPr>
        <w:t xml:space="preserve">Följande tabell visar </w:t>
      </w:r>
      <w:r w:rsidR="00FF1C6A">
        <w:rPr>
          <w:rFonts w:ascii="Arial" w:hAnsi="Arial" w:cs="Arial"/>
          <w:sz w:val="22"/>
          <w:szCs w:val="22"/>
        </w:rPr>
        <w:t>K</w:t>
      </w:r>
      <w:r w:rsidRPr="00C20A25">
        <w:rPr>
          <w:rFonts w:ascii="Arial" w:hAnsi="Arial" w:cs="Arial"/>
          <w:sz w:val="22"/>
          <w:szCs w:val="22"/>
        </w:rPr>
        <w:t xml:space="preserve">oncernens </w:t>
      </w:r>
      <w:r w:rsidR="00CB39BF">
        <w:rPr>
          <w:rFonts w:ascii="Arial" w:hAnsi="Arial" w:cs="Arial"/>
          <w:sz w:val="22"/>
          <w:szCs w:val="22"/>
        </w:rPr>
        <w:t xml:space="preserve">finansiella tillgångar och skulder </w:t>
      </w:r>
      <w:r w:rsidRPr="00C20A25">
        <w:rPr>
          <w:rFonts w:ascii="Arial" w:hAnsi="Arial" w:cs="Arial"/>
          <w:sz w:val="22"/>
          <w:szCs w:val="22"/>
        </w:rPr>
        <w:t xml:space="preserve">värderade till verkligt värde per </w:t>
      </w:r>
      <w:r w:rsidR="00C440E8">
        <w:rPr>
          <w:rFonts w:ascii="Arial" w:hAnsi="Arial" w:cs="Arial"/>
          <w:sz w:val="22"/>
          <w:szCs w:val="22"/>
        </w:rPr>
        <w:t xml:space="preserve">30 september </w:t>
      </w:r>
      <w:r w:rsidR="002543B0">
        <w:rPr>
          <w:rFonts w:ascii="Arial" w:hAnsi="Arial" w:cs="Arial"/>
          <w:sz w:val="22"/>
          <w:szCs w:val="22"/>
        </w:rPr>
        <w:t>2015 och 31 december 2014</w:t>
      </w:r>
      <w:r w:rsidRPr="00C20A25">
        <w:rPr>
          <w:rFonts w:ascii="Arial" w:hAnsi="Arial" w:cs="Arial"/>
          <w:sz w:val="22"/>
          <w:szCs w:val="22"/>
        </w:rPr>
        <w:t>:</w:t>
      </w:r>
    </w:p>
    <w:p w:rsidR="00D223E7" w:rsidRDefault="00D223E7" w:rsidP="00C20A25">
      <w:pPr>
        <w:rPr>
          <w:rFonts w:ascii="Arial" w:hAnsi="Arial" w:cs="Arial"/>
          <w:noProof/>
          <w:sz w:val="22"/>
          <w:lang w:eastAsia="sv-SE"/>
        </w:rPr>
      </w:pPr>
    </w:p>
    <w:p w:rsidR="00D223E7" w:rsidRDefault="00D223E7" w:rsidP="00C20A25">
      <w:pPr>
        <w:rPr>
          <w:rFonts w:ascii="Arial" w:hAnsi="Arial" w:cs="Arial"/>
          <w:noProof/>
          <w:sz w:val="22"/>
          <w:lang w:eastAsia="sv-SE"/>
        </w:rPr>
      </w:pPr>
    </w:p>
    <w:p w:rsidR="00C20A25" w:rsidRDefault="00C440E8" w:rsidP="00C20A25">
      <w:pPr>
        <w:rPr>
          <w:rFonts w:ascii="Arial" w:hAnsi="Arial" w:cs="Arial"/>
          <w:sz w:val="22"/>
        </w:rPr>
      </w:pPr>
      <w:r>
        <w:rPr>
          <w:rFonts w:ascii="Arial" w:hAnsi="Arial" w:cs="Arial"/>
          <w:noProof/>
          <w:sz w:val="22"/>
          <w:lang w:eastAsia="sv-SE"/>
        </w:rPr>
        <w:lastRenderedPageBreak/>
        <w:drawing>
          <wp:inline distT="0" distB="0" distL="0" distR="0">
            <wp:extent cx="4770120" cy="261591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70120" cy="2615911"/>
                    </a:xfrm>
                    <a:prstGeom prst="rect">
                      <a:avLst/>
                    </a:prstGeom>
                    <a:noFill/>
                    <a:ln>
                      <a:noFill/>
                    </a:ln>
                  </pic:spPr>
                </pic:pic>
              </a:graphicData>
            </a:graphic>
          </wp:inline>
        </w:drawing>
      </w:r>
    </w:p>
    <w:p w:rsidR="00427C58" w:rsidRPr="001B0F15" w:rsidRDefault="00427C58" w:rsidP="00C20A25">
      <w:pPr>
        <w:rPr>
          <w:sz w:val="22"/>
        </w:rPr>
      </w:pPr>
    </w:p>
    <w:sectPr w:rsidR="00427C58" w:rsidRPr="001B0F15" w:rsidSect="00764025">
      <w:headerReference w:type="default" r:id="rId28"/>
      <w:footerReference w:type="default" r:id="rId29"/>
      <w:headerReference w:type="first" r:id="rId30"/>
      <w:footerReference w:type="first" r:id="rId31"/>
      <w:pgSz w:w="11906" w:h="16838"/>
      <w:pgMar w:top="2552" w:right="1133" w:bottom="567" w:left="326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18D" w:rsidRDefault="0070418D" w:rsidP="00B56533">
      <w:pPr>
        <w:spacing w:line="240" w:lineRule="auto"/>
      </w:pPr>
      <w:r>
        <w:separator/>
      </w:r>
    </w:p>
    <w:p w:rsidR="0070418D" w:rsidRDefault="0070418D"/>
  </w:endnote>
  <w:endnote w:type="continuationSeparator" w:id="0">
    <w:p w:rsidR="0070418D" w:rsidRDefault="0070418D" w:rsidP="00B56533">
      <w:pPr>
        <w:spacing w:line="240" w:lineRule="auto"/>
      </w:pPr>
      <w:r>
        <w:continuationSeparator/>
      </w:r>
    </w:p>
    <w:p w:rsidR="0070418D" w:rsidRDefault="007041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for Saab">
    <w:altName w:val="Arial"/>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013647"/>
      <w:docPartObj>
        <w:docPartGallery w:val="Page Numbers (Bottom of Page)"/>
        <w:docPartUnique/>
      </w:docPartObj>
    </w:sdtPr>
    <w:sdtEndPr>
      <w:rPr>
        <w:noProof/>
      </w:rPr>
    </w:sdtEndPr>
    <w:sdtContent>
      <w:p w:rsidR="0068796A" w:rsidRDefault="0068796A">
        <w:pPr>
          <w:pStyle w:val="Footer"/>
          <w:jc w:val="right"/>
        </w:pPr>
        <w:r>
          <w:fldChar w:fldCharType="begin"/>
        </w:r>
        <w:r>
          <w:instrText xml:space="preserve"> PAGE   \* MERGEFORMAT </w:instrText>
        </w:r>
        <w:r>
          <w:fldChar w:fldCharType="separate"/>
        </w:r>
        <w:r w:rsidR="000417B4">
          <w:rPr>
            <w:noProof/>
          </w:rPr>
          <w:t>21</w:t>
        </w:r>
        <w:r>
          <w:rPr>
            <w:noProof/>
          </w:rPr>
          <w:fldChar w:fldCharType="end"/>
        </w:r>
      </w:p>
    </w:sdtContent>
  </w:sdt>
  <w:p w:rsidR="00BA0E0F" w:rsidRPr="00237ABA" w:rsidRDefault="00BA0E0F" w:rsidP="005C2DDB">
    <w:pPr>
      <w:pStyle w:val="Footer"/>
      <w:jc w:val="right"/>
      <w:rPr>
        <w:rFonts w:ascii="Courier New" w:hAnsi="Courier New" w:cs="Courier Ne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036912"/>
      <w:docPartObj>
        <w:docPartGallery w:val="Page Numbers (Bottom of Page)"/>
        <w:docPartUnique/>
      </w:docPartObj>
    </w:sdtPr>
    <w:sdtEndPr>
      <w:rPr>
        <w:noProof/>
      </w:rPr>
    </w:sdtEndPr>
    <w:sdtContent>
      <w:p w:rsidR="00D80E6B" w:rsidRDefault="00D80E6B">
        <w:pPr>
          <w:pStyle w:val="Footer"/>
          <w:jc w:val="right"/>
        </w:pPr>
        <w:r>
          <w:ptab w:relativeTo="margin" w:alignment="right" w:leader="none"/>
        </w:r>
        <w:r>
          <w:fldChar w:fldCharType="begin"/>
        </w:r>
        <w:r>
          <w:instrText xml:space="preserve"> PAGE   \* MERGEFORMAT </w:instrText>
        </w:r>
        <w:r>
          <w:fldChar w:fldCharType="separate"/>
        </w:r>
        <w:r w:rsidR="000417B4">
          <w:rPr>
            <w:noProof/>
          </w:rPr>
          <w:t>1</w:t>
        </w:r>
        <w:r>
          <w:rPr>
            <w:noProof/>
          </w:rPr>
          <w:fldChar w:fldCharType="end"/>
        </w:r>
      </w:p>
    </w:sdtContent>
  </w:sdt>
  <w:p w:rsidR="00BA0E0F" w:rsidRPr="00237ABA" w:rsidRDefault="00BA0E0F" w:rsidP="00237ABA">
    <w:pPr>
      <w:pStyle w:val="Footer"/>
      <w:tabs>
        <w:tab w:val="clear" w:pos="1064"/>
        <w:tab w:val="left" w:pos="0"/>
      </w:tabs>
      <w:rPr>
        <w:rFonts w:ascii="Courier New" w:hAnsi="Courier New" w:cs="Courier Ne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18D" w:rsidRDefault="0070418D" w:rsidP="00B56533">
      <w:pPr>
        <w:spacing w:line="240" w:lineRule="auto"/>
      </w:pPr>
      <w:r>
        <w:separator/>
      </w:r>
    </w:p>
    <w:p w:rsidR="0070418D" w:rsidRDefault="0070418D"/>
  </w:footnote>
  <w:footnote w:type="continuationSeparator" w:id="0">
    <w:p w:rsidR="0070418D" w:rsidRDefault="0070418D" w:rsidP="00B56533">
      <w:pPr>
        <w:spacing w:line="240" w:lineRule="auto"/>
      </w:pPr>
      <w:r>
        <w:continuationSeparator/>
      </w:r>
    </w:p>
    <w:p w:rsidR="0070418D" w:rsidRDefault="0070418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Y="1"/>
      <w:tblOverlap w:val="never"/>
      <w:tblW w:w="12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10"/>
      <w:gridCol w:w="2000"/>
      <w:gridCol w:w="1207"/>
      <w:gridCol w:w="6673"/>
      <w:gridCol w:w="414"/>
      <w:gridCol w:w="1361"/>
      <w:gridCol w:w="20"/>
      <w:gridCol w:w="389"/>
    </w:tblGrid>
    <w:tr w:rsidR="00BA0E0F" w:rsidTr="00811D62">
      <w:trPr>
        <w:trHeight w:val="462"/>
      </w:trPr>
      <w:tc>
        <w:tcPr>
          <w:tcW w:w="410" w:type="dxa"/>
          <w:shd w:val="clear" w:color="auto" w:fill="626A6E"/>
        </w:tcPr>
        <w:p w:rsidR="00BA0E0F" w:rsidRPr="00761D2D" w:rsidRDefault="00BA0E0F" w:rsidP="00067A31"/>
      </w:tc>
      <w:tc>
        <w:tcPr>
          <w:tcW w:w="2000" w:type="dxa"/>
          <w:vMerge w:val="restart"/>
          <w:shd w:val="clear" w:color="auto" w:fill="626A6E"/>
        </w:tcPr>
        <w:p w:rsidR="00BA0E0F" w:rsidRPr="00F55546" w:rsidRDefault="00BA0E0F" w:rsidP="00C440E8">
          <w:pPr>
            <w:pStyle w:val="Header"/>
            <w:spacing w:before="360" w:after="240"/>
            <w:rPr>
              <w:rFonts w:ascii="Arial" w:hAnsi="Arial" w:cs="Arial"/>
              <w:color w:val="FFFFFF" w:themeColor="background1"/>
              <w:spacing w:val="-40"/>
              <w:sz w:val="140"/>
              <w:szCs w:val="140"/>
            </w:rPr>
          </w:pPr>
          <w:r w:rsidRPr="00ED0768">
            <w:rPr>
              <w:rFonts w:ascii="Arial" w:hAnsi="Arial" w:cs="Arial"/>
              <w:color w:val="FFFFFF" w:themeColor="background1"/>
              <w:spacing w:val="-40"/>
              <w:sz w:val="140"/>
              <w:szCs w:val="140"/>
            </w:rPr>
            <w:t>Q</w:t>
          </w:r>
          <w:r w:rsidR="00C440E8">
            <w:rPr>
              <w:rFonts w:ascii="Arial" w:hAnsi="Arial" w:cs="Arial"/>
              <w:color w:val="FFFFFF" w:themeColor="background1"/>
              <w:spacing w:val="-40"/>
              <w:sz w:val="140"/>
              <w:szCs w:val="140"/>
            </w:rPr>
            <w:t>3</w:t>
          </w:r>
        </w:p>
      </w:tc>
      <w:tc>
        <w:tcPr>
          <w:tcW w:w="1207" w:type="dxa"/>
          <w:shd w:val="clear" w:color="auto" w:fill="B1B7BA"/>
        </w:tcPr>
        <w:p w:rsidR="00BA0E0F" w:rsidRPr="00ED0768" w:rsidRDefault="00BA0E0F" w:rsidP="00067A31">
          <w:pPr>
            <w:jc w:val="center"/>
            <w:rPr>
              <w:rFonts w:ascii="Arial" w:hAnsi="Arial" w:cs="Arial"/>
            </w:rPr>
          </w:pPr>
        </w:p>
      </w:tc>
      <w:tc>
        <w:tcPr>
          <w:tcW w:w="6674" w:type="dxa"/>
          <w:shd w:val="clear" w:color="auto" w:fill="B1B7BA"/>
        </w:tcPr>
        <w:p w:rsidR="00BA0E0F" w:rsidRPr="00ED0768" w:rsidRDefault="00BA0E0F" w:rsidP="00067A31">
          <w:pPr>
            <w:pStyle w:val="Header"/>
            <w:rPr>
              <w:rFonts w:ascii="Arial" w:hAnsi="Arial" w:cs="Arial"/>
            </w:rPr>
          </w:pPr>
        </w:p>
      </w:tc>
      <w:tc>
        <w:tcPr>
          <w:tcW w:w="1775" w:type="dxa"/>
          <w:gridSpan w:val="2"/>
          <w:shd w:val="clear" w:color="auto" w:fill="B1B7BA"/>
        </w:tcPr>
        <w:p w:rsidR="00BA0E0F" w:rsidRPr="00ED0768" w:rsidRDefault="00BA0E0F" w:rsidP="00067A31">
          <w:pPr>
            <w:pStyle w:val="Header"/>
            <w:rPr>
              <w:rFonts w:ascii="Arial" w:hAnsi="Arial" w:cs="Arial"/>
            </w:rPr>
          </w:pPr>
        </w:p>
      </w:tc>
      <w:tc>
        <w:tcPr>
          <w:tcW w:w="408" w:type="dxa"/>
          <w:gridSpan w:val="2"/>
          <w:shd w:val="clear" w:color="auto" w:fill="B1B7BA"/>
        </w:tcPr>
        <w:p w:rsidR="00BA0E0F" w:rsidRDefault="00BA0E0F" w:rsidP="00067A31">
          <w:pPr>
            <w:pStyle w:val="Header"/>
          </w:pPr>
        </w:p>
      </w:tc>
    </w:tr>
    <w:tr w:rsidR="00BA0E0F" w:rsidTr="00811D62">
      <w:trPr>
        <w:gridAfter w:val="1"/>
        <w:wAfter w:w="389" w:type="dxa"/>
        <w:trHeight w:val="1369"/>
      </w:trPr>
      <w:tc>
        <w:tcPr>
          <w:tcW w:w="410" w:type="dxa"/>
          <w:shd w:val="clear" w:color="auto" w:fill="626A6E"/>
        </w:tcPr>
        <w:p w:rsidR="00BA0E0F" w:rsidRDefault="00BA0E0F" w:rsidP="00067A31">
          <w:pPr>
            <w:pStyle w:val="Header"/>
          </w:pPr>
        </w:p>
      </w:tc>
      <w:tc>
        <w:tcPr>
          <w:tcW w:w="2000" w:type="dxa"/>
          <w:vMerge/>
          <w:shd w:val="clear" w:color="auto" w:fill="626A6E"/>
        </w:tcPr>
        <w:p w:rsidR="00BA0E0F" w:rsidRPr="00ED0768" w:rsidRDefault="00BA0E0F" w:rsidP="00067A31">
          <w:pPr>
            <w:pStyle w:val="Header"/>
            <w:rPr>
              <w:rFonts w:ascii="Arial" w:hAnsi="Arial" w:cs="Arial"/>
              <w:color w:val="DEDEDE" w:themeColor="accent1" w:themeTint="99"/>
              <w:spacing w:val="-40"/>
              <w:sz w:val="140"/>
              <w:szCs w:val="140"/>
            </w:rPr>
          </w:pPr>
        </w:p>
      </w:tc>
      <w:tc>
        <w:tcPr>
          <w:tcW w:w="1207" w:type="dxa"/>
          <w:shd w:val="clear" w:color="auto" w:fill="B1B7BA"/>
        </w:tcPr>
        <w:p w:rsidR="00BA0E0F" w:rsidRPr="00ED0768" w:rsidRDefault="00BA0E0F" w:rsidP="00067A31">
          <w:pPr>
            <w:jc w:val="center"/>
            <w:rPr>
              <w:rFonts w:ascii="Arial" w:hAnsi="Arial" w:cs="Arial"/>
            </w:rPr>
          </w:pPr>
        </w:p>
      </w:tc>
      <w:tc>
        <w:tcPr>
          <w:tcW w:w="7088" w:type="dxa"/>
          <w:gridSpan w:val="2"/>
          <w:shd w:val="clear" w:color="auto" w:fill="B1B7BA"/>
          <w:vAlign w:val="center"/>
        </w:tcPr>
        <w:p w:rsidR="00BA0E0F" w:rsidRPr="005603DB" w:rsidRDefault="00BA0E0F" w:rsidP="00A06D4F">
          <w:pPr>
            <w:pStyle w:val="Header"/>
            <w:jc w:val="right"/>
            <w:rPr>
              <w:rFonts w:ascii="Arial" w:hAnsi="Arial" w:cs="Arial"/>
              <w:color w:val="FFFFFF" w:themeColor="background1"/>
              <w:sz w:val="36"/>
              <w:szCs w:val="30"/>
            </w:rPr>
          </w:pPr>
          <w:r>
            <w:rPr>
              <w:rFonts w:ascii="Arial" w:hAnsi="Arial" w:cs="Arial"/>
              <w:color w:val="FFFFFF" w:themeColor="background1"/>
              <w:sz w:val="36"/>
              <w:szCs w:val="30"/>
            </w:rPr>
            <w:t>Delårsrapport</w:t>
          </w:r>
        </w:p>
        <w:p w:rsidR="00BA0E0F" w:rsidRPr="005603DB" w:rsidRDefault="00BA0E0F" w:rsidP="00A06D4F">
          <w:pPr>
            <w:pStyle w:val="Header"/>
            <w:jc w:val="right"/>
            <w:rPr>
              <w:rFonts w:ascii="Arial" w:hAnsi="Arial" w:cs="Arial"/>
              <w:color w:val="FFFFFF" w:themeColor="background1"/>
              <w:sz w:val="36"/>
              <w:szCs w:val="30"/>
            </w:rPr>
          </w:pPr>
          <w:r>
            <w:rPr>
              <w:rFonts w:ascii="Arial" w:hAnsi="Arial" w:cs="Arial"/>
              <w:color w:val="FFFFFF" w:themeColor="background1"/>
              <w:sz w:val="36"/>
              <w:szCs w:val="30"/>
            </w:rPr>
            <w:t>j</w:t>
          </w:r>
          <w:r w:rsidRPr="005603DB">
            <w:rPr>
              <w:rFonts w:ascii="Arial" w:hAnsi="Arial" w:cs="Arial"/>
              <w:color w:val="FFFFFF" w:themeColor="background1"/>
              <w:sz w:val="36"/>
              <w:szCs w:val="30"/>
            </w:rPr>
            <w:t xml:space="preserve">anuari – </w:t>
          </w:r>
          <w:r w:rsidR="00C440E8">
            <w:rPr>
              <w:rFonts w:ascii="Arial" w:hAnsi="Arial" w:cs="Arial"/>
              <w:color w:val="FFFFFF" w:themeColor="background1"/>
              <w:sz w:val="36"/>
              <w:szCs w:val="30"/>
            </w:rPr>
            <w:t>september</w:t>
          </w:r>
          <w:r>
            <w:rPr>
              <w:rFonts w:ascii="Arial" w:hAnsi="Arial" w:cs="Arial"/>
              <w:color w:val="FFFFFF" w:themeColor="background1"/>
              <w:sz w:val="36"/>
              <w:szCs w:val="30"/>
            </w:rPr>
            <w:t xml:space="preserve"> </w:t>
          </w:r>
          <w:r w:rsidRPr="005603DB">
            <w:rPr>
              <w:rFonts w:ascii="Arial" w:hAnsi="Arial" w:cs="Arial"/>
              <w:color w:val="FFFFFF" w:themeColor="background1"/>
              <w:sz w:val="36"/>
              <w:szCs w:val="30"/>
            </w:rPr>
            <w:t>201</w:t>
          </w:r>
          <w:r>
            <w:rPr>
              <w:rFonts w:ascii="Arial" w:hAnsi="Arial" w:cs="Arial"/>
              <w:color w:val="FFFFFF" w:themeColor="background1"/>
              <w:sz w:val="36"/>
              <w:szCs w:val="30"/>
            </w:rPr>
            <w:t>5</w:t>
          </w:r>
        </w:p>
        <w:p w:rsidR="00BA0E0F" w:rsidRPr="00F55546" w:rsidRDefault="00BA0E0F" w:rsidP="00067A31">
          <w:pPr>
            <w:pStyle w:val="Header"/>
            <w:jc w:val="right"/>
            <w:rPr>
              <w:rFonts w:ascii="Arial" w:hAnsi="Arial" w:cs="Arial"/>
              <w:color w:val="FFFFFF" w:themeColor="background1"/>
              <w:sz w:val="36"/>
              <w:szCs w:val="30"/>
            </w:rPr>
          </w:pPr>
          <w:r w:rsidRPr="00F55546">
            <w:rPr>
              <w:rFonts w:ascii="Arial" w:hAnsi="Arial" w:cs="Arial"/>
              <w:color w:val="FFFFFF" w:themeColor="background1"/>
              <w:sz w:val="36"/>
              <w:szCs w:val="30"/>
            </w:rPr>
            <w:t>Orio AB</w:t>
          </w:r>
        </w:p>
      </w:tc>
      <w:tc>
        <w:tcPr>
          <w:tcW w:w="1361" w:type="dxa"/>
          <w:shd w:val="clear" w:color="auto" w:fill="B1B7BA"/>
        </w:tcPr>
        <w:p w:rsidR="00BA0E0F" w:rsidRPr="00ED0768" w:rsidRDefault="00BA0E0F" w:rsidP="00067A31">
          <w:pPr>
            <w:pStyle w:val="Header"/>
            <w:rPr>
              <w:rFonts w:ascii="Arial" w:hAnsi="Arial" w:cs="Arial"/>
            </w:rPr>
          </w:pPr>
        </w:p>
      </w:tc>
      <w:tc>
        <w:tcPr>
          <w:tcW w:w="19" w:type="dxa"/>
          <w:shd w:val="clear" w:color="auto" w:fill="B1B7BA"/>
        </w:tcPr>
        <w:p w:rsidR="00BA0E0F" w:rsidRDefault="00BA0E0F" w:rsidP="00067A31">
          <w:pPr>
            <w:pStyle w:val="Header"/>
          </w:pPr>
        </w:p>
      </w:tc>
    </w:tr>
    <w:tr w:rsidR="00BA0E0F" w:rsidTr="00811D62">
      <w:trPr>
        <w:trHeight w:val="252"/>
      </w:trPr>
      <w:tc>
        <w:tcPr>
          <w:tcW w:w="410" w:type="dxa"/>
          <w:shd w:val="clear" w:color="auto" w:fill="626A6E"/>
        </w:tcPr>
        <w:p w:rsidR="00BA0E0F" w:rsidRDefault="00BA0E0F" w:rsidP="00067A31">
          <w:pPr>
            <w:pStyle w:val="Header"/>
          </w:pPr>
        </w:p>
      </w:tc>
      <w:tc>
        <w:tcPr>
          <w:tcW w:w="2000" w:type="dxa"/>
          <w:vMerge/>
          <w:shd w:val="clear" w:color="auto" w:fill="A19A7C"/>
        </w:tcPr>
        <w:p w:rsidR="00BA0E0F" w:rsidRDefault="00BA0E0F" w:rsidP="00067A31">
          <w:pPr>
            <w:pStyle w:val="Header"/>
          </w:pPr>
        </w:p>
      </w:tc>
      <w:tc>
        <w:tcPr>
          <w:tcW w:w="1207" w:type="dxa"/>
          <w:shd w:val="clear" w:color="auto" w:fill="B1B7BA"/>
        </w:tcPr>
        <w:p w:rsidR="00BA0E0F" w:rsidRDefault="00BA0E0F" w:rsidP="00067A31">
          <w:pPr>
            <w:pStyle w:val="Header"/>
          </w:pPr>
        </w:p>
      </w:tc>
      <w:tc>
        <w:tcPr>
          <w:tcW w:w="6674" w:type="dxa"/>
          <w:shd w:val="clear" w:color="auto" w:fill="B1B7BA"/>
        </w:tcPr>
        <w:p w:rsidR="00BA0E0F" w:rsidRDefault="00BA0E0F" w:rsidP="00067A31">
          <w:pPr>
            <w:pStyle w:val="Header"/>
            <w:jc w:val="right"/>
          </w:pPr>
        </w:p>
      </w:tc>
      <w:tc>
        <w:tcPr>
          <w:tcW w:w="1775" w:type="dxa"/>
          <w:gridSpan w:val="2"/>
          <w:shd w:val="clear" w:color="auto" w:fill="B1B7BA"/>
        </w:tcPr>
        <w:p w:rsidR="00BA0E0F" w:rsidRDefault="00BA0E0F" w:rsidP="00067A31">
          <w:pPr>
            <w:pStyle w:val="Header"/>
          </w:pPr>
        </w:p>
      </w:tc>
      <w:tc>
        <w:tcPr>
          <w:tcW w:w="408" w:type="dxa"/>
          <w:gridSpan w:val="2"/>
          <w:shd w:val="clear" w:color="auto" w:fill="B1B7BA"/>
        </w:tcPr>
        <w:p w:rsidR="00BA0E0F" w:rsidRDefault="00BA0E0F" w:rsidP="00067A31">
          <w:pPr>
            <w:pStyle w:val="Header"/>
          </w:pPr>
        </w:p>
      </w:tc>
    </w:tr>
  </w:tbl>
  <w:p w:rsidR="00BA0E0F" w:rsidRDefault="00BA0E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Y="1"/>
      <w:tblOverlap w:val="never"/>
      <w:tblW w:w="11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837"/>
      <w:gridCol w:w="20"/>
      <w:gridCol w:w="20"/>
      <w:gridCol w:w="20"/>
      <w:gridCol w:w="20"/>
      <w:gridCol w:w="20"/>
    </w:tblGrid>
    <w:tr w:rsidR="00BA0E0F" w:rsidTr="00811D62">
      <w:trPr>
        <w:trHeight w:val="462"/>
      </w:trPr>
      <w:tc>
        <w:tcPr>
          <w:tcW w:w="11907" w:type="dxa"/>
          <w:shd w:val="clear" w:color="auto" w:fill="A19A7C"/>
        </w:tcPr>
        <w:tbl>
          <w:tblPr>
            <w:tblStyle w:val="TableGrid"/>
            <w:tblpPr w:vertAnchor="page" w:horzAnchor="page" w:tblpY="1"/>
            <w:tblOverlap w:val="never"/>
            <w:tblW w:w="12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2070"/>
            <w:gridCol w:w="2073"/>
            <w:gridCol w:w="6007"/>
            <w:gridCol w:w="139"/>
            <w:gridCol w:w="1500"/>
            <w:gridCol w:w="20"/>
            <w:gridCol w:w="325"/>
          </w:tblGrid>
          <w:tr w:rsidR="00BA0E0F" w:rsidTr="00811D62">
            <w:trPr>
              <w:trHeight w:val="462"/>
            </w:trPr>
            <w:tc>
              <w:tcPr>
                <w:tcW w:w="340" w:type="dxa"/>
                <w:shd w:val="clear" w:color="auto" w:fill="626A6E"/>
              </w:tcPr>
              <w:p w:rsidR="00BA0E0F" w:rsidRPr="00761D2D" w:rsidRDefault="00BA0E0F" w:rsidP="00237ABA"/>
            </w:tc>
            <w:tc>
              <w:tcPr>
                <w:tcW w:w="2070" w:type="dxa"/>
                <w:vMerge w:val="restart"/>
                <w:shd w:val="clear" w:color="auto" w:fill="626A6E"/>
              </w:tcPr>
              <w:p w:rsidR="00BA0E0F" w:rsidRPr="00F55546" w:rsidRDefault="00BA0E0F" w:rsidP="00C85450">
                <w:pPr>
                  <w:pStyle w:val="Header"/>
                  <w:spacing w:before="360" w:after="240"/>
                  <w:rPr>
                    <w:rFonts w:ascii="Arial" w:hAnsi="Arial" w:cs="Arial"/>
                    <w:color w:val="FFFFFF" w:themeColor="background1"/>
                    <w:spacing w:val="-40"/>
                    <w:sz w:val="140"/>
                    <w:szCs w:val="140"/>
                  </w:rPr>
                </w:pPr>
                <w:r w:rsidRPr="00ED0768">
                  <w:rPr>
                    <w:rFonts w:ascii="Arial" w:hAnsi="Arial" w:cs="Arial"/>
                    <w:color w:val="FFFFFF" w:themeColor="background1"/>
                    <w:spacing w:val="-40"/>
                    <w:sz w:val="140"/>
                    <w:szCs w:val="140"/>
                  </w:rPr>
                  <w:t>Q</w:t>
                </w:r>
                <w:r w:rsidR="00C85450">
                  <w:rPr>
                    <w:rFonts w:ascii="Arial" w:hAnsi="Arial" w:cs="Arial"/>
                    <w:color w:val="FFFFFF" w:themeColor="background1"/>
                    <w:spacing w:val="-40"/>
                    <w:sz w:val="140"/>
                    <w:szCs w:val="140"/>
                  </w:rPr>
                  <w:t>3</w:t>
                </w:r>
              </w:p>
            </w:tc>
            <w:tc>
              <w:tcPr>
                <w:tcW w:w="2073" w:type="dxa"/>
                <w:shd w:val="clear" w:color="auto" w:fill="B1B7BA"/>
              </w:tcPr>
              <w:p w:rsidR="00BA0E0F" w:rsidRPr="00ED0768" w:rsidRDefault="00BA0E0F" w:rsidP="00237ABA">
                <w:pPr>
                  <w:jc w:val="center"/>
                  <w:rPr>
                    <w:rFonts w:ascii="Arial" w:hAnsi="Arial" w:cs="Arial"/>
                  </w:rPr>
                </w:pPr>
              </w:p>
            </w:tc>
            <w:tc>
              <w:tcPr>
                <w:tcW w:w="6146" w:type="dxa"/>
                <w:gridSpan w:val="2"/>
                <w:shd w:val="clear" w:color="auto" w:fill="B1B7BA"/>
              </w:tcPr>
              <w:p w:rsidR="00BA0E0F" w:rsidRPr="00ED0768" w:rsidRDefault="00BA0E0F" w:rsidP="00237ABA">
                <w:pPr>
                  <w:pStyle w:val="Header"/>
                  <w:rPr>
                    <w:rFonts w:ascii="Arial" w:hAnsi="Arial" w:cs="Arial"/>
                  </w:rPr>
                </w:pPr>
              </w:p>
            </w:tc>
            <w:tc>
              <w:tcPr>
                <w:tcW w:w="1500" w:type="dxa"/>
                <w:shd w:val="clear" w:color="auto" w:fill="B1B7BA"/>
              </w:tcPr>
              <w:p w:rsidR="00BA0E0F" w:rsidRPr="00ED0768" w:rsidRDefault="00BA0E0F" w:rsidP="00237ABA">
                <w:pPr>
                  <w:pStyle w:val="Header"/>
                  <w:rPr>
                    <w:rFonts w:ascii="Arial" w:hAnsi="Arial" w:cs="Arial"/>
                  </w:rPr>
                </w:pPr>
              </w:p>
            </w:tc>
            <w:tc>
              <w:tcPr>
                <w:tcW w:w="345" w:type="dxa"/>
                <w:gridSpan w:val="2"/>
                <w:shd w:val="clear" w:color="auto" w:fill="B1B7BA"/>
              </w:tcPr>
              <w:p w:rsidR="00BA0E0F" w:rsidRDefault="00BA0E0F" w:rsidP="00237ABA">
                <w:pPr>
                  <w:pStyle w:val="Header"/>
                </w:pPr>
              </w:p>
            </w:tc>
          </w:tr>
          <w:tr w:rsidR="00BA0E0F" w:rsidTr="00811D62">
            <w:trPr>
              <w:gridAfter w:val="1"/>
              <w:wAfter w:w="325" w:type="dxa"/>
              <w:trHeight w:val="1369"/>
            </w:trPr>
            <w:tc>
              <w:tcPr>
                <w:tcW w:w="340" w:type="dxa"/>
                <w:shd w:val="clear" w:color="auto" w:fill="626A6E"/>
              </w:tcPr>
              <w:p w:rsidR="00BA0E0F" w:rsidRDefault="00BA0E0F" w:rsidP="00237ABA">
                <w:pPr>
                  <w:pStyle w:val="Header"/>
                </w:pPr>
              </w:p>
            </w:tc>
            <w:tc>
              <w:tcPr>
                <w:tcW w:w="2070" w:type="dxa"/>
                <w:vMerge/>
                <w:shd w:val="clear" w:color="auto" w:fill="626A6E"/>
              </w:tcPr>
              <w:p w:rsidR="00BA0E0F" w:rsidRPr="00ED0768" w:rsidRDefault="00BA0E0F" w:rsidP="00237ABA">
                <w:pPr>
                  <w:pStyle w:val="Header"/>
                  <w:rPr>
                    <w:rFonts w:ascii="Arial" w:hAnsi="Arial" w:cs="Arial"/>
                    <w:color w:val="DEDEDE" w:themeColor="accent1" w:themeTint="99"/>
                    <w:spacing w:val="-40"/>
                    <w:sz w:val="140"/>
                    <w:szCs w:val="140"/>
                  </w:rPr>
                </w:pPr>
              </w:p>
            </w:tc>
            <w:tc>
              <w:tcPr>
                <w:tcW w:w="2073" w:type="dxa"/>
                <w:shd w:val="clear" w:color="auto" w:fill="B1B7BA"/>
              </w:tcPr>
              <w:p w:rsidR="00BA0E0F" w:rsidRPr="00ED0768" w:rsidRDefault="00BA0E0F" w:rsidP="00237ABA">
                <w:pPr>
                  <w:jc w:val="center"/>
                  <w:rPr>
                    <w:rFonts w:ascii="Arial" w:hAnsi="Arial" w:cs="Arial"/>
                  </w:rPr>
                </w:pPr>
              </w:p>
            </w:tc>
            <w:tc>
              <w:tcPr>
                <w:tcW w:w="6007" w:type="dxa"/>
                <w:shd w:val="clear" w:color="auto" w:fill="B1B7BA"/>
                <w:vAlign w:val="center"/>
              </w:tcPr>
              <w:p w:rsidR="00BA0E0F" w:rsidRPr="00811D62" w:rsidRDefault="00BA0E0F" w:rsidP="002D13F5">
                <w:pPr>
                  <w:pStyle w:val="Header"/>
                  <w:jc w:val="right"/>
                  <w:rPr>
                    <w:rFonts w:ascii="Arial" w:hAnsi="Arial" w:cs="Arial"/>
                    <w:color w:val="FFFFFF" w:themeColor="background1"/>
                    <w:sz w:val="36"/>
                    <w:szCs w:val="30"/>
                  </w:rPr>
                </w:pPr>
                <w:r>
                  <w:rPr>
                    <w:rFonts w:ascii="Arial" w:hAnsi="Arial" w:cs="Arial"/>
                    <w:color w:val="FFFFFF" w:themeColor="background1"/>
                    <w:sz w:val="36"/>
                    <w:szCs w:val="30"/>
                  </w:rPr>
                  <w:t>Delårsrapport</w:t>
                </w:r>
              </w:p>
              <w:p w:rsidR="00BA0E0F" w:rsidRPr="00811D62" w:rsidRDefault="00BA0E0F" w:rsidP="002D13F5">
                <w:pPr>
                  <w:pStyle w:val="Header"/>
                  <w:jc w:val="right"/>
                  <w:rPr>
                    <w:rFonts w:ascii="Arial" w:hAnsi="Arial" w:cs="Arial"/>
                    <w:color w:val="FFFFFF" w:themeColor="background1"/>
                    <w:sz w:val="36"/>
                    <w:szCs w:val="30"/>
                  </w:rPr>
                </w:pPr>
                <w:r>
                  <w:rPr>
                    <w:rFonts w:ascii="Arial" w:hAnsi="Arial" w:cs="Arial"/>
                    <w:color w:val="FFFFFF" w:themeColor="background1"/>
                    <w:sz w:val="36"/>
                    <w:szCs w:val="30"/>
                  </w:rPr>
                  <w:t>j</w:t>
                </w:r>
                <w:r w:rsidRPr="00811D62">
                  <w:rPr>
                    <w:rFonts w:ascii="Arial" w:hAnsi="Arial" w:cs="Arial"/>
                    <w:color w:val="FFFFFF" w:themeColor="background1"/>
                    <w:sz w:val="36"/>
                    <w:szCs w:val="30"/>
                  </w:rPr>
                  <w:t xml:space="preserve">anuari – </w:t>
                </w:r>
                <w:r w:rsidR="00C85450">
                  <w:rPr>
                    <w:rFonts w:ascii="Arial" w:hAnsi="Arial" w:cs="Arial"/>
                    <w:color w:val="FFFFFF" w:themeColor="background1"/>
                    <w:sz w:val="36"/>
                    <w:szCs w:val="30"/>
                  </w:rPr>
                  <w:t>september</w:t>
                </w:r>
                <w:r>
                  <w:rPr>
                    <w:rFonts w:ascii="Arial" w:hAnsi="Arial" w:cs="Arial"/>
                    <w:color w:val="FFFFFF" w:themeColor="background1"/>
                    <w:sz w:val="36"/>
                    <w:szCs w:val="30"/>
                  </w:rPr>
                  <w:t xml:space="preserve"> 2015</w:t>
                </w:r>
              </w:p>
              <w:p w:rsidR="00BA0E0F" w:rsidRPr="00F55546" w:rsidRDefault="00BA0E0F" w:rsidP="002D13F5">
                <w:pPr>
                  <w:pStyle w:val="Header"/>
                  <w:jc w:val="right"/>
                  <w:rPr>
                    <w:rFonts w:ascii="Arial" w:hAnsi="Arial" w:cs="Arial"/>
                    <w:color w:val="FFFFFF" w:themeColor="background1"/>
                    <w:sz w:val="36"/>
                    <w:szCs w:val="30"/>
                  </w:rPr>
                </w:pPr>
                <w:r w:rsidRPr="00F55546">
                  <w:rPr>
                    <w:rFonts w:ascii="Arial" w:hAnsi="Arial" w:cs="Arial"/>
                    <w:color w:val="FFFFFF" w:themeColor="background1"/>
                    <w:sz w:val="36"/>
                    <w:szCs w:val="30"/>
                  </w:rPr>
                  <w:t>Orio AB</w:t>
                </w:r>
              </w:p>
            </w:tc>
            <w:tc>
              <w:tcPr>
                <w:tcW w:w="1639" w:type="dxa"/>
                <w:gridSpan w:val="2"/>
                <w:shd w:val="clear" w:color="auto" w:fill="B1B7BA"/>
              </w:tcPr>
              <w:p w:rsidR="00BA0E0F" w:rsidRPr="00ED0768" w:rsidRDefault="00BA0E0F" w:rsidP="00237ABA">
                <w:pPr>
                  <w:pStyle w:val="Header"/>
                  <w:rPr>
                    <w:rFonts w:ascii="Arial" w:hAnsi="Arial" w:cs="Arial"/>
                  </w:rPr>
                </w:pPr>
              </w:p>
            </w:tc>
            <w:tc>
              <w:tcPr>
                <w:tcW w:w="20" w:type="dxa"/>
                <w:shd w:val="clear" w:color="auto" w:fill="B1B7BA"/>
              </w:tcPr>
              <w:p w:rsidR="00BA0E0F" w:rsidRDefault="00BA0E0F" w:rsidP="00237ABA">
                <w:pPr>
                  <w:pStyle w:val="Header"/>
                </w:pPr>
              </w:p>
            </w:tc>
          </w:tr>
          <w:tr w:rsidR="00BA0E0F" w:rsidTr="00811D62">
            <w:trPr>
              <w:trHeight w:val="252"/>
            </w:trPr>
            <w:tc>
              <w:tcPr>
                <w:tcW w:w="340" w:type="dxa"/>
                <w:shd w:val="clear" w:color="auto" w:fill="626A6E"/>
              </w:tcPr>
              <w:p w:rsidR="00BA0E0F" w:rsidRDefault="00BA0E0F" w:rsidP="00237ABA">
                <w:pPr>
                  <w:pStyle w:val="Header"/>
                </w:pPr>
              </w:p>
            </w:tc>
            <w:tc>
              <w:tcPr>
                <w:tcW w:w="2070" w:type="dxa"/>
                <w:vMerge/>
                <w:shd w:val="clear" w:color="auto" w:fill="A19A7C"/>
              </w:tcPr>
              <w:p w:rsidR="00BA0E0F" w:rsidRDefault="00BA0E0F" w:rsidP="00237ABA">
                <w:pPr>
                  <w:pStyle w:val="Header"/>
                </w:pPr>
              </w:p>
            </w:tc>
            <w:tc>
              <w:tcPr>
                <w:tcW w:w="2073" w:type="dxa"/>
                <w:shd w:val="clear" w:color="auto" w:fill="B1B7BA"/>
              </w:tcPr>
              <w:p w:rsidR="00BA0E0F" w:rsidRDefault="00BA0E0F" w:rsidP="00237ABA">
                <w:pPr>
                  <w:pStyle w:val="Header"/>
                </w:pPr>
              </w:p>
            </w:tc>
            <w:tc>
              <w:tcPr>
                <w:tcW w:w="6146" w:type="dxa"/>
                <w:gridSpan w:val="2"/>
                <w:shd w:val="clear" w:color="auto" w:fill="B1B7BA"/>
              </w:tcPr>
              <w:p w:rsidR="00BA0E0F" w:rsidRDefault="00BA0E0F" w:rsidP="002D13F5">
                <w:pPr>
                  <w:pStyle w:val="Header"/>
                  <w:jc w:val="right"/>
                </w:pPr>
              </w:p>
            </w:tc>
            <w:tc>
              <w:tcPr>
                <w:tcW w:w="1500" w:type="dxa"/>
                <w:shd w:val="clear" w:color="auto" w:fill="B1B7BA"/>
              </w:tcPr>
              <w:p w:rsidR="00BA0E0F" w:rsidRDefault="00BA0E0F" w:rsidP="00237ABA">
                <w:pPr>
                  <w:pStyle w:val="Header"/>
                </w:pPr>
              </w:p>
            </w:tc>
            <w:tc>
              <w:tcPr>
                <w:tcW w:w="345" w:type="dxa"/>
                <w:gridSpan w:val="2"/>
                <w:shd w:val="clear" w:color="auto" w:fill="B1B7BA"/>
              </w:tcPr>
              <w:p w:rsidR="00BA0E0F" w:rsidRDefault="00BA0E0F" w:rsidP="00237ABA">
                <w:pPr>
                  <w:pStyle w:val="Header"/>
                </w:pPr>
              </w:p>
            </w:tc>
          </w:tr>
        </w:tbl>
        <w:p w:rsidR="00BA0E0F" w:rsidRPr="00761D2D" w:rsidRDefault="00BA0E0F" w:rsidP="00761D2D"/>
      </w:tc>
      <w:tc>
        <w:tcPr>
          <w:tcW w:w="6" w:type="dxa"/>
          <w:shd w:val="clear" w:color="auto" w:fill="A19A7C"/>
        </w:tcPr>
        <w:p w:rsidR="00BA0E0F" w:rsidRPr="00ED0768" w:rsidRDefault="00BA0E0F" w:rsidP="00793E06">
          <w:pPr>
            <w:pStyle w:val="Header"/>
            <w:spacing w:before="530"/>
            <w:rPr>
              <w:rFonts w:ascii="Arial" w:hAnsi="Arial" w:cs="Arial"/>
            </w:rPr>
          </w:pPr>
        </w:p>
      </w:tc>
      <w:tc>
        <w:tcPr>
          <w:tcW w:w="6" w:type="dxa"/>
          <w:shd w:val="clear" w:color="auto" w:fill="CAC6B3"/>
        </w:tcPr>
        <w:p w:rsidR="00BA0E0F" w:rsidRPr="00ED0768" w:rsidRDefault="00BA0E0F" w:rsidP="00761D2D">
          <w:pPr>
            <w:jc w:val="center"/>
            <w:rPr>
              <w:rFonts w:ascii="Arial" w:hAnsi="Arial" w:cs="Arial"/>
            </w:rPr>
          </w:pPr>
        </w:p>
      </w:tc>
      <w:tc>
        <w:tcPr>
          <w:tcW w:w="6" w:type="dxa"/>
          <w:shd w:val="clear" w:color="auto" w:fill="CAC6B3"/>
        </w:tcPr>
        <w:p w:rsidR="00BA0E0F" w:rsidRPr="00ED0768" w:rsidRDefault="00BA0E0F" w:rsidP="002F75FC">
          <w:pPr>
            <w:pStyle w:val="Header"/>
            <w:rPr>
              <w:rFonts w:ascii="Arial" w:hAnsi="Arial" w:cs="Arial"/>
            </w:rPr>
          </w:pPr>
        </w:p>
      </w:tc>
      <w:tc>
        <w:tcPr>
          <w:tcW w:w="6" w:type="dxa"/>
          <w:shd w:val="clear" w:color="auto" w:fill="CAC6B3"/>
        </w:tcPr>
        <w:p w:rsidR="00BA0E0F" w:rsidRPr="00ED0768" w:rsidRDefault="00BA0E0F" w:rsidP="002F75FC">
          <w:pPr>
            <w:pStyle w:val="Header"/>
            <w:rPr>
              <w:rFonts w:ascii="Arial" w:hAnsi="Arial" w:cs="Arial"/>
            </w:rPr>
          </w:pPr>
        </w:p>
      </w:tc>
      <w:tc>
        <w:tcPr>
          <w:tcW w:w="6" w:type="dxa"/>
          <w:shd w:val="clear" w:color="auto" w:fill="CAC6B3"/>
        </w:tcPr>
        <w:p w:rsidR="00BA0E0F" w:rsidRDefault="00BA0E0F" w:rsidP="002F75FC">
          <w:pPr>
            <w:pStyle w:val="Header"/>
          </w:pPr>
        </w:p>
      </w:tc>
    </w:tr>
  </w:tbl>
  <w:p w:rsidR="00BA0E0F" w:rsidRDefault="00BA0E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B2E8834"/>
    <w:lvl w:ilvl="0">
      <w:start w:val="1"/>
      <w:numFmt w:val="decimal"/>
      <w:lvlText w:val="%1."/>
      <w:lvlJc w:val="left"/>
      <w:pPr>
        <w:tabs>
          <w:tab w:val="num" w:pos="1492"/>
        </w:tabs>
        <w:ind w:left="1492" w:hanging="360"/>
      </w:pPr>
    </w:lvl>
  </w:abstractNum>
  <w:abstractNum w:abstractNumId="1">
    <w:nsid w:val="FFFFFF7D"/>
    <w:multiLevelType w:val="singleLevel"/>
    <w:tmpl w:val="0B30B20A"/>
    <w:lvl w:ilvl="0">
      <w:start w:val="1"/>
      <w:numFmt w:val="decimal"/>
      <w:lvlText w:val="%1."/>
      <w:lvlJc w:val="left"/>
      <w:pPr>
        <w:tabs>
          <w:tab w:val="num" w:pos="1209"/>
        </w:tabs>
        <w:ind w:left="1209" w:hanging="360"/>
      </w:pPr>
    </w:lvl>
  </w:abstractNum>
  <w:abstractNum w:abstractNumId="2">
    <w:nsid w:val="FFFFFF7E"/>
    <w:multiLevelType w:val="singleLevel"/>
    <w:tmpl w:val="005296F0"/>
    <w:lvl w:ilvl="0">
      <w:start w:val="1"/>
      <w:numFmt w:val="decimal"/>
      <w:lvlText w:val="%1."/>
      <w:lvlJc w:val="left"/>
      <w:pPr>
        <w:tabs>
          <w:tab w:val="num" w:pos="926"/>
        </w:tabs>
        <w:ind w:left="926" w:hanging="360"/>
      </w:pPr>
    </w:lvl>
  </w:abstractNum>
  <w:abstractNum w:abstractNumId="3">
    <w:nsid w:val="FFFFFF7F"/>
    <w:multiLevelType w:val="singleLevel"/>
    <w:tmpl w:val="D80005E8"/>
    <w:lvl w:ilvl="0">
      <w:start w:val="1"/>
      <w:numFmt w:val="decimal"/>
      <w:lvlText w:val="%1."/>
      <w:lvlJc w:val="left"/>
      <w:pPr>
        <w:tabs>
          <w:tab w:val="num" w:pos="643"/>
        </w:tabs>
        <w:ind w:left="643" w:hanging="360"/>
      </w:pPr>
    </w:lvl>
  </w:abstractNum>
  <w:abstractNum w:abstractNumId="4">
    <w:nsid w:val="FFFFFF80"/>
    <w:multiLevelType w:val="singleLevel"/>
    <w:tmpl w:val="9564BFC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C400A2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E3422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9A10D0"/>
    <w:lvl w:ilvl="0">
      <w:start w:val="1"/>
      <w:numFmt w:val="bullet"/>
      <w:lvlText w:val=""/>
      <w:lvlJc w:val="left"/>
      <w:pPr>
        <w:tabs>
          <w:tab w:val="num" w:pos="643"/>
        </w:tabs>
        <w:ind w:left="643" w:hanging="360"/>
      </w:pPr>
      <w:rPr>
        <w:rFonts w:ascii="Symbol" w:hAnsi="Symbol" w:hint="default"/>
      </w:rPr>
    </w:lvl>
  </w:abstractNum>
  <w:abstractNum w:abstractNumId="8">
    <w:nsid w:val="01E265DC"/>
    <w:multiLevelType w:val="multilevel"/>
    <w:tmpl w:val="165C141A"/>
    <w:lvl w:ilvl="0">
      <w:start w:val="1"/>
      <w:numFmt w:val="bullet"/>
      <w:lvlText w:val=""/>
      <w:lvlJc w:val="left"/>
      <w:pPr>
        <w:ind w:left="170" w:hanging="170"/>
      </w:pPr>
      <w:rPr>
        <w:rFonts w:ascii="Symbol" w:hAnsi="Symbol" w:hint="default"/>
        <w:b/>
        <w:i w:val="0"/>
        <w:color w:val="C8C8C8" w:themeColor="accent1"/>
      </w:rPr>
    </w:lvl>
    <w:lvl w:ilvl="1">
      <w:start w:val="1"/>
      <w:numFmt w:val="bullet"/>
      <w:lvlText w:val="o"/>
      <w:lvlJc w:val="left"/>
      <w:pPr>
        <w:ind w:left="340" w:hanging="170"/>
      </w:pPr>
      <w:rPr>
        <w:rFonts w:ascii="Courier New" w:hAnsi="Courier New" w:cs="Courier New"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9">
    <w:nsid w:val="1E880268"/>
    <w:multiLevelType w:val="multilevel"/>
    <w:tmpl w:val="D190F8F0"/>
    <w:lvl w:ilvl="0">
      <w:start w:val="1"/>
      <w:numFmt w:val="decimal"/>
      <w:pStyle w:val="ListNumber"/>
      <w:lvlText w:val="%1."/>
      <w:lvlJc w:val="left"/>
      <w:pPr>
        <w:ind w:left="357" w:hanging="357"/>
      </w:pPr>
      <w:rPr>
        <w:rFonts w:hint="default"/>
      </w:rPr>
    </w:lvl>
    <w:lvl w:ilvl="1">
      <w:start w:val="1"/>
      <w:numFmt w:val="decimal"/>
      <w:pStyle w:val="ListNumber2"/>
      <w:lvlText w:val="%2."/>
      <w:lvlJc w:val="left"/>
      <w:pPr>
        <w:ind w:left="714" w:hanging="357"/>
      </w:pPr>
      <w:rPr>
        <w:rFonts w:hint="default"/>
      </w:rPr>
    </w:lvl>
    <w:lvl w:ilvl="2">
      <w:start w:val="1"/>
      <w:numFmt w:val="decimal"/>
      <w:pStyle w:val="ListNumber3"/>
      <w:lvlText w:val="%3."/>
      <w:lvlJc w:val="left"/>
      <w:pPr>
        <w:ind w:left="1071" w:hanging="357"/>
      </w:pPr>
      <w:rPr>
        <w:rFonts w:hint="default"/>
      </w:rPr>
    </w:lvl>
    <w:lvl w:ilvl="3">
      <w:start w:val="1"/>
      <w:numFmt w:val="decimal"/>
      <w:pStyle w:val="ListNumber4"/>
      <w:lvlText w:val="%4."/>
      <w:lvlJc w:val="left"/>
      <w:pPr>
        <w:ind w:left="1428" w:hanging="357"/>
      </w:pPr>
      <w:rPr>
        <w:rFonts w:hint="default"/>
      </w:rPr>
    </w:lvl>
    <w:lvl w:ilvl="4">
      <w:start w:val="1"/>
      <w:numFmt w:val="decimal"/>
      <w:pStyle w:val="ListNumber5"/>
      <w:lvlText w:val="%5."/>
      <w:lvlJc w:val="left"/>
      <w:pPr>
        <w:ind w:left="1785" w:hanging="357"/>
      </w:pPr>
      <w:rPr>
        <w:rFonts w:hint="default"/>
      </w:rPr>
    </w:lvl>
    <w:lvl w:ilvl="5">
      <w:start w:val="1"/>
      <w:numFmt w:val="decimal"/>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decimal"/>
      <w:lvlText w:val="%8."/>
      <w:lvlJc w:val="left"/>
      <w:pPr>
        <w:ind w:left="2856" w:hanging="357"/>
      </w:pPr>
      <w:rPr>
        <w:rFonts w:hint="default"/>
      </w:rPr>
    </w:lvl>
    <w:lvl w:ilvl="8">
      <w:start w:val="1"/>
      <w:numFmt w:val="decimal"/>
      <w:lvlText w:val="%9."/>
      <w:lvlJc w:val="left"/>
      <w:pPr>
        <w:ind w:left="3213" w:hanging="357"/>
      </w:pPr>
      <w:rPr>
        <w:rFonts w:hint="default"/>
      </w:rPr>
    </w:lvl>
  </w:abstractNum>
  <w:abstractNum w:abstractNumId="10">
    <w:nsid w:val="22A41D18"/>
    <w:multiLevelType w:val="hybridMultilevel"/>
    <w:tmpl w:val="C658A2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D2969AA"/>
    <w:multiLevelType w:val="hybridMultilevel"/>
    <w:tmpl w:val="0A90B3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1C33609"/>
    <w:multiLevelType w:val="multilevel"/>
    <w:tmpl w:val="697A0DB0"/>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Symbol" w:hAnsi="Symbol" w:hint="default"/>
      </w:rPr>
    </w:lvl>
    <w:lvl w:ilvl="2">
      <w:start w:val="1"/>
      <w:numFmt w:val="bullet"/>
      <w:pStyle w:val="ListBullet3"/>
      <w:lvlText w:val=""/>
      <w:lvlJc w:val="left"/>
      <w:pPr>
        <w:ind w:left="1071" w:hanging="357"/>
      </w:pPr>
      <w:rPr>
        <w:rFonts w:ascii="Symbol" w:hAnsi="Symbol"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num w:numId="1">
    <w:abstractNumId w:val="9"/>
  </w:num>
  <w:num w:numId="2">
    <w:abstractNumId w:val="3"/>
  </w:num>
  <w:num w:numId="3">
    <w:abstractNumId w:val="2"/>
  </w:num>
  <w:num w:numId="4">
    <w:abstractNumId w:val="1"/>
  </w:num>
  <w:num w:numId="5">
    <w:abstractNumId w:val="0"/>
  </w:num>
  <w:num w:numId="6">
    <w:abstractNumId w:val="12"/>
  </w:num>
  <w:num w:numId="7">
    <w:abstractNumId w:val="7"/>
  </w:num>
  <w:num w:numId="8">
    <w:abstractNumId w:val="6"/>
  </w:num>
  <w:num w:numId="9">
    <w:abstractNumId w:val="5"/>
  </w:num>
  <w:num w:numId="10">
    <w:abstractNumId w:val="4"/>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defaultTabStop w:val="1304"/>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ar1" w:val="ˆ°©¸¸ÆÇ¡ µÆ®´°§´ÂÂÆeªÃÆ°ÃÀµ¨¸°§†”–t†ÈÈÃ²Â¶½±¸t¤¦ÅÈÇe”–tmœÂÈª¿À¹¨Ç"/>
    <w:docVar w:name="Var2" w:val="¦|°˜ª¿9Æ¸ÅµÄµÂÆÈe…„…x¯•Æ§¸ÈÇ²´ÄÄ¡§µ¶ª¿À¹·sÈ½±¿t¸ª¿9Æ¸ÅµÄµÂÆÈsËÀÇ½"/>
  </w:docVars>
  <w:rsids>
    <w:rsidRoot w:val="006B7A5F"/>
    <w:rsid w:val="000002E1"/>
    <w:rsid w:val="00000929"/>
    <w:rsid w:val="00000DEE"/>
    <w:rsid w:val="00002208"/>
    <w:rsid w:val="00002585"/>
    <w:rsid w:val="00002B50"/>
    <w:rsid w:val="00006968"/>
    <w:rsid w:val="00007454"/>
    <w:rsid w:val="00014AB9"/>
    <w:rsid w:val="0001596A"/>
    <w:rsid w:val="000179B9"/>
    <w:rsid w:val="000226C3"/>
    <w:rsid w:val="00022D50"/>
    <w:rsid w:val="00024ED3"/>
    <w:rsid w:val="000274D1"/>
    <w:rsid w:val="000323C4"/>
    <w:rsid w:val="00032CC4"/>
    <w:rsid w:val="00032D99"/>
    <w:rsid w:val="00034071"/>
    <w:rsid w:val="00034464"/>
    <w:rsid w:val="000362AC"/>
    <w:rsid w:val="00036EE7"/>
    <w:rsid w:val="00037598"/>
    <w:rsid w:val="00041259"/>
    <w:rsid w:val="000417B4"/>
    <w:rsid w:val="0004390A"/>
    <w:rsid w:val="00043BBF"/>
    <w:rsid w:val="0004444A"/>
    <w:rsid w:val="00044F49"/>
    <w:rsid w:val="00046CC6"/>
    <w:rsid w:val="00050F49"/>
    <w:rsid w:val="00052B57"/>
    <w:rsid w:val="00054C6C"/>
    <w:rsid w:val="00055EBE"/>
    <w:rsid w:val="0005793F"/>
    <w:rsid w:val="000631E9"/>
    <w:rsid w:val="00065918"/>
    <w:rsid w:val="000666D6"/>
    <w:rsid w:val="00067984"/>
    <w:rsid w:val="00067A31"/>
    <w:rsid w:val="00070806"/>
    <w:rsid w:val="00073EEE"/>
    <w:rsid w:val="00074746"/>
    <w:rsid w:val="00074DF4"/>
    <w:rsid w:val="00076173"/>
    <w:rsid w:val="000763AD"/>
    <w:rsid w:val="00080551"/>
    <w:rsid w:val="00080D7F"/>
    <w:rsid w:val="0008175E"/>
    <w:rsid w:val="00083752"/>
    <w:rsid w:val="000853EC"/>
    <w:rsid w:val="00086B07"/>
    <w:rsid w:val="00087BF3"/>
    <w:rsid w:val="00092BD2"/>
    <w:rsid w:val="00093FFF"/>
    <w:rsid w:val="000940D2"/>
    <w:rsid w:val="000A014C"/>
    <w:rsid w:val="000A052B"/>
    <w:rsid w:val="000A3EFF"/>
    <w:rsid w:val="000A56EC"/>
    <w:rsid w:val="000A5974"/>
    <w:rsid w:val="000A7366"/>
    <w:rsid w:val="000B0E35"/>
    <w:rsid w:val="000B328F"/>
    <w:rsid w:val="000B346A"/>
    <w:rsid w:val="000B3FBD"/>
    <w:rsid w:val="000B5939"/>
    <w:rsid w:val="000B7EB3"/>
    <w:rsid w:val="000C095B"/>
    <w:rsid w:val="000C1FA0"/>
    <w:rsid w:val="000C2A10"/>
    <w:rsid w:val="000C4063"/>
    <w:rsid w:val="000C41FB"/>
    <w:rsid w:val="000C54DA"/>
    <w:rsid w:val="000C5D7B"/>
    <w:rsid w:val="000C72AD"/>
    <w:rsid w:val="000D1056"/>
    <w:rsid w:val="000D15E1"/>
    <w:rsid w:val="000D4E48"/>
    <w:rsid w:val="000E00CF"/>
    <w:rsid w:val="000E078D"/>
    <w:rsid w:val="000E0E44"/>
    <w:rsid w:val="000E1184"/>
    <w:rsid w:val="000E1EA3"/>
    <w:rsid w:val="000E234E"/>
    <w:rsid w:val="000E3A4A"/>
    <w:rsid w:val="000E55CD"/>
    <w:rsid w:val="000F0EC7"/>
    <w:rsid w:val="000F1A8E"/>
    <w:rsid w:val="000F1BD0"/>
    <w:rsid w:val="000F52BD"/>
    <w:rsid w:val="000F6999"/>
    <w:rsid w:val="001002E7"/>
    <w:rsid w:val="00101558"/>
    <w:rsid w:val="001017D9"/>
    <w:rsid w:val="00101C8E"/>
    <w:rsid w:val="0010233F"/>
    <w:rsid w:val="001025E4"/>
    <w:rsid w:val="00102D84"/>
    <w:rsid w:val="00103225"/>
    <w:rsid w:val="001036F3"/>
    <w:rsid w:val="001049FA"/>
    <w:rsid w:val="00104BE9"/>
    <w:rsid w:val="00105109"/>
    <w:rsid w:val="00106232"/>
    <w:rsid w:val="001070B7"/>
    <w:rsid w:val="00107C2F"/>
    <w:rsid w:val="00113A21"/>
    <w:rsid w:val="00113BED"/>
    <w:rsid w:val="0011491A"/>
    <w:rsid w:val="0011711C"/>
    <w:rsid w:val="00117778"/>
    <w:rsid w:val="00120741"/>
    <w:rsid w:val="00121006"/>
    <w:rsid w:val="00121FAF"/>
    <w:rsid w:val="00122AB4"/>
    <w:rsid w:val="00122B69"/>
    <w:rsid w:val="00122E55"/>
    <w:rsid w:val="00122FE4"/>
    <w:rsid w:val="00124985"/>
    <w:rsid w:val="00124EB7"/>
    <w:rsid w:val="001263F6"/>
    <w:rsid w:val="001320C3"/>
    <w:rsid w:val="001322A7"/>
    <w:rsid w:val="00132435"/>
    <w:rsid w:val="00132F16"/>
    <w:rsid w:val="001335D7"/>
    <w:rsid w:val="0013369A"/>
    <w:rsid w:val="00133899"/>
    <w:rsid w:val="00135456"/>
    <w:rsid w:val="00135900"/>
    <w:rsid w:val="0013684F"/>
    <w:rsid w:val="0014111B"/>
    <w:rsid w:val="00141CDB"/>
    <w:rsid w:val="001433FD"/>
    <w:rsid w:val="00143853"/>
    <w:rsid w:val="001473AA"/>
    <w:rsid w:val="0014784C"/>
    <w:rsid w:val="00150151"/>
    <w:rsid w:val="00150776"/>
    <w:rsid w:val="001525A9"/>
    <w:rsid w:val="001525CB"/>
    <w:rsid w:val="00156CAE"/>
    <w:rsid w:val="00160F83"/>
    <w:rsid w:val="001612B2"/>
    <w:rsid w:val="001634A9"/>
    <w:rsid w:val="0016522E"/>
    <w:rsid w:val="001663E8"/>
    <w:rsid w:val="0016675C"/>
    <w:rsid w:val="00170171"/>
    <w:rsid w:val="00171E02"/>
    <w:rsid w:val="0017388B"/>
    <w:rsid w:val="0017543B"/>
    <w:rsid w:val="00176680"/>
    <w:rsid w:val="001768DE"/>
    <w:rsid w:val="00177111"/>
    <w:rsid w:val="001800BD"/>
    <w:rsid w:val="001815B0"/>
    <w:rsid w:val="00193703"/>
    <w:rsid w:val="00193D61"/>
    <w:rsid w:val="001953CA"/>
    <w:rsid w:val="00195B87"/>
    <w:rsid w:val="00196983"/>
    <w:rsid w:val="00196DF9"/>
    <w:rsid w:val="001976EC"/>
    <w:rsid w:val="001A0812"/>
    <w:rsid w:val="001A1490"/>
    <w:rsid w:val="001A2455"/>
    <w:rsid w:val="001A32C2"/>
    <w:rsid w:val="001A3B58"/>
    <w:rsid w:val="001A4BF2"/>
    <w:rsid w:val="001A4C8A"/>
    <w:rsid w:val="001A5993"/>
    <w:rsid w:val="001A5E1A"/>
    <w:rsid w:val="001A6A7F"/>
    <w:rsid w:val="001B082C"/>
    <w:rsid w:val="001B0F15"/>
    <w:rsid w:val="001B21BF"/>
    <w:rsid w:val="001B2678"/>
    <w:rsid w:val="001B2E9D"/>
    <w:rsid w:val="001B3A1B"/>
    <w:rsid w:val="001B488F"/>
    <w:rsid w:val="001B4A6F"/>
    <w:rsid w:val="001B75F8"/>
    <w:rsid w:val="001C1826"/>
    <w:rsid w:val="001C2316"/>
    <w:rsid w:val="001C28CC"/>
    <w:rsid w:val="001C46A9"/>
    <w:rsid w:val="001C4EC9"/>
    <w:rsid w:val="001C7405"/>
    <w:rsid w:val="001C786A"/>
    <w:rsid w:val="001D1B12"/>
    <w:rsid w:val="001D1E13"/>
    <w:rsid w:val="001D1F84"/>
    <w:rsid w:val="001D2D39"/>
    <w:rsid w:val="001D404A"/>
    <w:rsid w:val="001D58DF"/>
    <w:rsid w:val="001D734B"/>
    <w:rsid w:val="001E0752"/>
    <w:rsid w:val="001E2FCA"/>
    <w:rsid w:val="001E5A6D"/>
    <w:rsid w:val="001E6167"/>
    <w:rsid w:val="001E6255"/>
    <w:rsid w:val="001E65E4"/>
    <w:rsid w:val="001E6E92"/>
    <w:rsid w:val="001F2A01"/>
    <w:rsid w:val="001F331F"/>
    <w:rsid w:val="001F3526"/>
    <w:rsid w:val="001F4384"/>
    <w:rsid w:val="001F5224"/>
    <w:rsid w:val="001F56E9"/>
    <w:rsid w:val="001F6421"/>
    <w:rsid w:val="001F682E"/>
    <w:rsid w:val="001F6FF8"/>
    <w:rsid w:val="00201933"/>
    <w:rsid w:val="00201B16"/>
    <w:rsid w:val="002033D9"/>
    <w:rsid w:val="00203A77"/>
    <w:rsid w:val="00204C1B"/>
    <w:rsid w:val="00210B40"/>
    <w:rsid w:val="0021635D"/>
    <w:rsid w:val="00220A3A"/>
    <w:rsid w:val="00220D86"/>
    <w:rsid w:val="0022130A"/>
    <w:rsid w:val="0022189A"/>
    <w:rsid w:val="002232AA"/>
    <w:rsid w:val="00223FCE"/>
    <w:rsid w:val="002258D7"/>
    <w:rsid w:val="00226692"/>
    <w:rsid w:val="00226C27"/>
    <w:rsid w:val="002277EB"/>
    <w:rsid w:val="00230954"/>
    <w:rsid w:val="00230DCC"/>
    <w:rsid w:val="002313B1"/>
    <w:rsid w:val="00232457"/>
    <w:rsid w:val="0023263F"/>
    <w:rsid w:val="00234314"/>
    <w:rsid w:val="00237098"/>
    <w:rsid w:val="00237394"/>
    <w:rsid w:val="00237ABA"/>
    <w:rsid w:val="002402AD"/>
    <w:rsid w:val="00241139"/>
    <w:rsid w:val="0024175E"/>
    <w:rsid w:val="002420A0"/>
    <w:rsid w:val="0024622C"/>
    <w:rsid w:val="00246BED"/>
    <w:rsid w:val="00250C44"/>
    <w:rsid w:val="0025186D"/>
    <w:rsid w:val="002523B2"/>
    <w:rsid w:val="00253CB9"/>
    <w:rsid w:val="00253F0D"/>
    <w:rsid w:val="002543B0"/>
    <w:rsid w:val="00257A58"/>
    <w:rsid w:val="0026140C"/>
    <w:rsid w:val="00263623"/>
    <w:rsid w:val="00264397"/>
    <w:rsid w:val="002644A9"/>
    <w:rsid w:val="002649AE"/>
    <w:rsid w:val="00266B67"/>
    <w:rsid w:val="00267369"/>
    <w:rsid w:val="00271930"/>
    <w:rsid w:val="00272B14"/>
    <w:rsid w:val="00273153"/>
    <w:rsid w:val="002808E7"/>
    <w:rsid w:val="00281A31"/>
    <w:rsid w:val="002828FE"/>
    <w:rsid w:val="00283380"/>
    <w:rsid w:val="00284019"/>
    <w:rsid w:val="002852A2"/>
    <w:rsid w:val="00286DAA"/>
    <w:rsid w:val="00287D15"/>
    <w:rsid w:val="00290AE9"/>
    <w:rsid w:val="002919C4"/>
    <w:rsid w:val="00291D72"/>
    <w:rsid w:val="00292C6D"/>
    <w:rsid w:val="0029319F"/>
    <w:rsid w:val="0029382B"/>
    <w:rsid w:val="00295CBB"/>
    <w:rsid w:val="00295DBA"/>
    <w:rsid w:val="00296754"/>
    <w:rsid w:val="002A055F"/>
    <w:rsid w:val="002A1398"/>
    <w:rsid w:val="002A3DD5"/>
    <w:rsid w:val="002A4298"/>
    <w:rsid w:val="002A535D"/>
    <w:rsid w:val="002A7E81"/>
    <w:rsid w:val="002B0163"/>
    <w:rsid w:val="002B04DC"/>
    <w:rsid w:val="002B0D56"/>
    <w:rsid w:val="002B1988"/>
    <w:rsid w:val="002B34B1"/>
    <w:rsid w:val="002B64BA"/>
    <w:rsid w:val="002B661F"/>
    <w:rsid w:val="002B7341"/>
    <w:rsid w:val="002C0BB3"/>
    <w:rsid w:val="002C1910"/>
    <w:rsid w:val="002C27EF"/>
    <w:rsid w:val="002C4008"/>
    <w:rsid w:val="002C43F8"/>
    <w:rsid w:val="002C55B1"/>
    <w:rsid w:val="002C6BE0"/>
    <w:rsid w:val="002D0F16"/>
    <w:rsid w:val="002D13F5"/>
    <w:rsid w:val="002D19F5"/>
    <w:rsid w:val="002D1AEF"/>
    <w:rsid w:val="002D242D"/>
    <w:rsid w:val="002D3119"/>
    <w:rsid w:val="002D42B3"/>
    <w:rsid w:val="002D5C89"/>
    <w:rsid w:val="002D6182"/>
    <w:rsid w:val="002D7760"/>
    <w:rsid w:val="002E0A1B"/>
    <w:rsid w:val="002E16D8"/>
    <w:rsid w:val="002E3CD6"/>
    <w:rsid w:val="002E4D1A"/>
    <w:rsid w:val="002E6B59"/>
    <w:rsid w:val="002F3531"/>
    <w:rsid w:val="002F4D3C"/>
    <w:rsid w:val="002F4E58"/>
    <w:rsid w:val="002F5B30"/>
    <w:rsid w:val="002F66C6"/>
    <w:rsid w:val="002F75FC"/>
    <w:rsid w:val="00304C37"/>
    <w:rsid w:val="003058C5"/>
    <w:rsid w:val="00305A56"/>
    <w:rsid w:val="003060AC"/>
    <w:rsid w:val="00307B69"/>
    <w:rsid w:val="0031066C"/>
    <w:rsid w:val="00312FB2"/>
    <w:rsid w:val="00314654"/>
    <w:rsid w:val="00314CF4"/>
    <w:rsid w:val="00316EF8"/>
    <w:rsid w:val="00317182"/>
    <w:rsid w:val="00320EAC"/>
    <w:rsid w:val="0032217D"/>
    <w:rsid w:val="003237A2"/>
    <w:rsid w:val="00324215"/>
    <w:rsid w:val="00324672"/>
    <w:rsid w:val="00326243"/>
    <w:rsid w:val="00326FCF"/>
    <w:rsid w:val="0032710B"/>
    <w:rsid w:val="00330097"/>
    <w:rsid w:val="0033229E"/>
    <w:rsid w:val="00332885"/>
    <w:rsid w:val="00332C9F"/>
    <w:rsid w:val="003356F2"/>
    <w:rsid w:val="00335F79"/>
    <w:rsid w:val="00336563"/>
    <w:rsid w:val="0033788B"/>
    <w:rsid w:val="00337A9D"/>
    <w:rsid w:val="00341682"/>
    <w:rsid w:val="00342281"/>
    <w:rsid w:val="003454EC"/>
    <w:rsid w:val="00345692"/>
    <w:rsid w:val="00346559"/>
    <w:rsid w:val="00350973"/>
    <w:rsid w:val="00350A57"/>
    <w:rsid w:val="00351111"/>
    <w:rsid w:val="003514AA"/>
    <w:rsid w:val="00355CAC"/>
    <w:rsid w:val="003566DD"/>
    <w:rsid w:val="003575AD"/>
    <w:rsid w:val="00357B01"/>
    <w:rsid w:val="0036106A"/>
    <w:rsid w:val="00362A51"/>
    <w:rsid w:val="0036338C"/>
    <w:rsid w:val="003648BE"/>
    <w:rsid w:val="003668D0"/>
    <w:rsid w:val="00372265"/>
    <w:rsid w:val="00372F50"/>
    <w:rsid w:val="003732D4"/>
    <w:rsid w:val="003735F6"/>
    <w:rsid w:val="0037624C"/>
    <w:rsid w:val="00377B32"/>
    <w:rsid w:val="00377D59"/>
    <w:rsid w:val="00382496"/>
    <w:rsid w:val="003828AF"/>
    <w:rsid w:val="00382AC9"/>
    <w:rsid w:val="00383250"/>
    <w:rsid w:val="00383268"/>
    <w:rsid w:val="00384009"/>
    <w:rsid w:val="00384B16"/>
    <w:rsid w:val="00385423"/>
    <w:rsid w:val="00385C3A"/>
    <w:rsid w:val="00385F21"/>
    <w:rsid w:val="003860DF"/>
    <w:rsid w:val="00386F59"/>
    <w:rsid w:val="0038756B"/>
    <w:rsid w:val="00387CE9"/>
    <w:rsid w:val="00391769"/>
    <w:rsid w:val="00394068"/>
    <w:rsid w:val="00394196"/>
    <w:rsid w:val="003946F0"/>
    <w:rsid w:val="00395F07"/>
    <w:rsid w:val="003966B6"/>
    <w:rsid w:val="00397608"/>
    <w:rsid w:val="00397B28"/>
    <w:rsid w:val="00397DC7"/>
    <w:rsid w:val="003A02E4"/>
    <w:rsid w:val="003A1AD0"/>
    <w:rsid w:val="003A1DC5"/>
    <w:rsid w:val="003A2F39"/>
    <w:rsid w:val="003A59EE"/>
    <w:rsid w:val="003A6B7D"/>
    <w:rsid w:val="003A6C53"/>
    <w:rsid w:val="003A7040"/>
    <w:rsid w:val="003B0661"/>
    <w:rsid w:val="003B1AC0"/>
    <w:rsid w:val="003B53B0"/>
    <w:rsid w:val="003B6116"/>
    <w:rsid w:val="003B738D"/>
    <w:rsid w:val="003C0C3B"/>
    <w:rsid w:val="003C2EDA"/>
    <w:rsid w:val="003C3DCE"/>
    <w:rsid w:val="003C47DD"/>
    <w:rsid w:val="003C51AA"/>
    <w:rsid w:val="003C59EC"/>
    <w:rsid w:val="003C66D5"/>
    <w:rsid w:val="003C72F8"/>
    <w:rsid w:val="003C740C"/>
    <w:rsid w:val="003D0593"/>
    <w:rsid w:val="003D0FAB"/>
    <w:rsid w:val="003D5451"/>
    <w:rsid w:val="003D5DCB"/>
    <w:rsid w:val="003D727F"/>
    <w:rsid w:val="003D770E"/>
    <w:rsid w:val="003D7D09"/>
    <w:rsid w:val="003E0603"/>
    <w:rsid w:val="003E2DB3"/>
    <w:rsid w:val="003E3619"/>
    <w:rsid w:val="003E3EF8"/>
    <w:rsid w:val="003E4F83"/>
    <w:rsid w:val="003E71F6"/>
    <w:rsid w:val="003F080F"/>
    <w:rsid w:val="003F1AF9"/>
    <w:rsid w:val="003F28D4"/>
    <w:rsid w:val="003F2AA0"/>
    <w:rsid w:val="003F3B62"/>
    <w:rsid w:val="003F44C2"/>
    <w:rsid w:val="003F6F8A"/>
    <w:rsid w:val="00400168"/>
    <w:rsid w:val="00400483"/>
    <w:rsid w:val="0040138C"/>
    <w:rsid w:val="004035DE"/>
    <w:rsid w:val="00403A09"/>
    <w:rsid w:val="00404E9C"/>
    <w:rsid w:val="00406835"/>
    <w:rsid w:val="0040697F"/>
    <w:rsid w:val="00407607"/>
    <w:rsid w:val="0041001F"/>
    <w:rsid w:val="00410650"/>
    <w:rsid w:val="00410E5C"/>
    <w:rsid w:val="004110CA"/>
    <w:rsid w:val="004117A9"/>
    <w:rsid w:val="00412087"/>
    <w:rsid w:val="004129F5"/>
    <w:rsid w:val="0041438F"/>
    <w:rsid w:val="00414D0F"/>
    <w:rsid w:val="00415117"/>
    <w:rsid w:val="00417615"/>
    <w:rsid w:val="00417A87"/>
    <w:rsid w:val="00417E04"/>
    <w:rsid w:val="004200C8"/>
    <w:rsid w:val="0042029A"/>
    <w:rsid w:val="00420988"/>
    <w:rsid w:val="0042145F"/>
    <w:rsid w:val="004222DC"/>
    <w:rsid w:val="004232C2"/>
    <w:rsid w:val="00423CB4"/>
    <w:rsid w:val="004243D3"/>
    <w:rsid w:val="00425198"/>
    <w:rsid w:val="0042559E"/>
    <w:rsid w:val="00425CA4"/>
    <w:rsid w:val="0042636D"/>
    <w:rsid w:val="004271F7"/>
    <w:rsid w:val="00427C58"/>
    <w:rsid w:val="0043013B"/>
    <w:rsid w:val="004344AF"/>
    <w:rsid w:val="00435963"/>
    <w:rsid w:val="00437AE7"/>
    <w:rsid w:val="00442406"/>
    <w:rsid w:val="00442BD2"/>
    <w:rsid w:val="004451E5"/>
    <w:rsid w:val="004462BE"/>
    <w:rsid w:val="00446323"/>
    <w:rsid w:val="00450390"/>
    <w:rsid w:val="00450AC1"/>
    <w:rsid w:val="004530ED"/>
    <w:rsid w:val="00454C4C"/>
    <w:rsid w:val="00460F02"/>
    <w:rsid w:val="00463D07"/>
    <w:rsid w:val="00464E2B"/>
    <w:rsid w:val="0046576A"/>
    <w:rsid w:val="004668FB"/>
    <w:rsid w:val="00466DCF"/>
    <w:rsid w:val="004679FA"/>
    <w:rsid w:val="004712D0"/>
    <w:rsid w:val="00472D99"/>
    <w:rsid w:val="00473DAC"/>
    <w:rsid w:val="0047461B"/>
    <w:rsid w:val="00475B15"/>
    <w:rsid w:val="00475B94"/>
    <w:rsid w:val="00476602"/>
    <w:rsid w:val="00477FAD"/>
    <w:rsid w:val="00481291"/>
    <w:rsid w:val="00484608"/>
    <w:rsid w:val="004848F2"/>
    <w:rsid w:val="0048624A"/>
    <w:rsid w:val="00487958"/>
    <w:rsid w:val="00491780"/>
    <w:rsid w:val="00492D82"/>
    <w:rsid w:val="004949DA"/>
    <w:rsid w:val="00495B22"/>
    <w:rsid w:val="00495DCF"/>
    <w:rsid w:val="0049794B"/>
    <w:rsid w:val="004A0F4A"/>
    <w:rsid w:val="004A114B"/>
    <w:rsid w:val="004A4651"/>
    <w:rsid w:val="004B238B"/>
    <w:rsid w:val="004B2874"/>
    <w:rsid w:val="004B449E"/>
    <w:rsid w:val="004B5A6C"/>
    <w:rsid w:val="004B5E5E"/>
    <w:rsid w:val="004B5EFF"/>
    <w:rsid w:val="004B6604"/>
    <w:rsid w:val="004C01D3"/>
    <w:rsid w:val="004C0EB4"/>
    <w:rsid w:val="004C120B"/>
    <w:rsid w:val="004C1397"/>
    <w:rsid w:val="004C1BF1"/>
    <w:rsid w:val="004C2891"/>
    <w:rsid w:val="004C396A"/>
    <w:rsid w:val="004C413F"/>
    <w:rsid w:val="004C5746"/>
    <w:rsid w:val="004C58C9"/>
    <w:rsid w:val="004C59E7"/>
    <w:rsid w:val="004C6E0D"/>
    <w:rsid w:val="004C7656"/>
    <w:rsid w:val="004D075E"/>
    <w:rsid w:val="004D1BE6"/>
    <w:rsid w:val="004D285B"/>
    <w:rsid w:val="004D47EB"/>
    <w:rsid w:val="004D508D"/>
    <w:rsid w:val="004E0222"/>
    <w:rsid w:val="004E0447"/>
    <w:rsid w:val="004E1716"/>
    <w:rsid w:val="004E2F13"/>
    <w:rsid w:val="004E35A1"/>
    <w:rsid w:val="004E5543"/>
    <w:rsid w:val="004E632C"/>
    <w:rsid w:val="004E647C"/>
    <w:rsid w:val="004F0472"/>
    <w:rsid w:val="004F2AE5"/>
    <w:rsid w:val="004F4B28"/>
    <w:rsid w:val="004F54B0"/>
    <w:rsid w:val="004F5860"/>
    <w:rsid w:val="004F7733"/>
    <w:rsid w:val="00501341"/>
    <w:rsid w:val="005036DE"/>
    <w:rsid w:val="005038CD"/>
    <w:rsid w:val="0050564A"/>
    <w:rsid w:val="00505BA3"/>
    <w:rsid w:val="005062E4"/>
    <w:rsid w:val="00506A0C"/>
    <w:rsid w:val="00506B05"/>
    <w:rsid w:val="00507910"/>
    <w:rsid w:val="005111FD"/>
    <w:rsid w:val="00511616"/>
    <w:rsid w:val="00511E3A"/>
    <w:rsid w:val="00514509"/>
    <w:rsid w:val="005175EB"/>
    <w:rsid w:val="005175F0"/>
    <w:rsid w:val="005177EC"/>
    <w:rsid w:val="00520952"/>
    <w:rsid w:val="00520C7A"/>
    <w:rsid w:val="00520F91"/>
    <w:rsid w:val="0052170A"/>
    <w:rsid w:val="005240C2"/>
    <w:rsid w:val="00524316"/>
    <w:rsid w:val="005255BF"/>
    <w:rsid w:val="0052612C"/>
    <w:rsid w:val="00527710"/>
    <w:rsid w:val="005303A3"/>
    <w:rsid w:val="0053204D"/>
    <w:rsid w:val="005321B4"/>
    <w:rsid w:val="005325F9"/>
    <w:rsid w:val="00532AA9"/>
    <w:rsid w:val="00532B8D"/>
    <w:rsid w:val="00533284"/>
    <w:rsid w:val="00535069"/>
    <w:rsid w:val="00535E07"/>
    <w:rsid w:val="00536E37"/>
    <w:rsid w:val="00537290"/>
    <w:rsid w:val="00537EFF"/>
    <w:rsid w:val="0054017D"/>
    <w:rsid w:val="00541B73"/>
    <w:rsid w:val="00542417"/>
    <w:rsid w:val="00542763"/>
    <w:rsid w:val="00542B71"/>
    <w:rsid w:val="00542BE5"/>
    <w:rsid w:val="00542DD2"/>
    <w:rsid w:val="00542F4A"/>
    <w:rsid w:val="00543261"/>
    <w:rsid w:val="00551888"/>
    <w:rsid w:val="00551EC8"/>
    <w:rsid w:val="00554F39"/>
    <w:rsid w:val="005551CC"/>
    <w:rsid w:val="0055589B"/>
    <w:rsid w:val="00556336"/>
    <w:rsid w:val="00557107"/>
    <w:rsid w:val="005576DE"/>
    <w:rsid w:val="00560D73"/>
    <w:rsid w:val="00562578"/>
    <w:rsid w:val="00562722"/>
    <w:rsid w:val="00562EFE"/>
    <w:rsid w:val="00564411"/>
    <w:rsid w:val="005646D5"/>
    <w:rsid w:val="00564B64"/>
    <w:rsid w:val="00565EFD"/>
    <w:rsid w:val="00566EFE"/>
    <w:rsid w:val="00567425"/>
    <w:rsid w:val="00570E79"/>
    <w:rsid w:val="00572D11"/>
    <w:rsid w:val="00574BED"/>
    <w:rsid w:val="005801B0"/>
    <w:rsid w:val="00584426"/>
    <w:rsid w:val="0058465E"/>
    <w:rsid w:val="0058574A"/>
    <w:rsid w:val="00585F3A"/>
    <w:rsid w:val="00592828"/>
    <w:rsid w:val="00593438"/>
    <w:rsid w:val="0059415F"/>
    <w:rsid w:val="005947D7"/>
    <w:rsid w:val="00595502"/>
    <w:rsid w:val="005959C0"/>
    <w:rsid w:val="00595A9B"/>
    <w:rsid w:val="00596A70"/>
    <w:rsid w:val="005A073F"/>
    <w:rsid w:val="005A1EC7"/>
    <w:rsid w:val="005A26E2"/>
    <w:rsid w:val="005A27AD"/>
    <w:rsid w:val="005A37F8"/>
    <w:rsid w:val="005A7D5F"/>
    <w:rsid w:val="005B0966"/>
    <w:rsid w:val="005B7C87"/>
    <w:rsid w:val="005C05A2"/>
    <w:rsid w:val="005C2DDB"/>
    <w:rsid w:val="005C4573"/>
    <w:rsid w:val="005D0CD7"/>
    <w:rsid w:val="005D31DB"/>
    <w:rsid w:val="005D33A0"/>
    <w:rsid w:val="005D351D"/>
    <w:rsid w:val="005D3AE6"/>
    <w:rsid w:val="005D4BCB"/>
    <w:rsid w:val="005E1258"/>
    <w:rsid w:val="005E5B3B"/>
    <w:rsid w:val="005F0B6C"/>
    <w:rsid w:val="005F2728"/>
    <w:rsid w:val="005F3035"/>
    <w:rsid w:val="005F35F6"/>
    <w:rsid w:val="005F4742"/>
    <w:rsid w:val="005F4BE3"/>
    <w:rsid w:val="005F5379"/>
    <w:rsid w:val="005F6EE2"/>
    <w:rsid w:val="005F7309"/>
    <w:rsid w:val="005F7779"/>
    <w:rsid w:val="005F7B42"/>
    <w:rsid w:val="005F7B78"/>
    <w:rsid w:val="005F7F0C"/>
    <w:rsid w:val="00601614"/>
    <w:rsid w:val="0060594D"/>
    <w:rsid w:val="00605D0B"/>
    <w:rsid w:val="00606260"/>
    <w:rsid w:val="00606609"/>
    <w:rsid w:val="00607DB6"/>
    <w:rsid w:val="00611187"/>
    <w:rsid w:val="0061564B"/>
    <w:rsid w:val="00615915"/>
    <w:rsid w:val="00620C2C"/>
    <w:rsid w:val="006213F7"/>
    <w:rsid w:val="00622787"/>
    <w:rsid w:val="00623476"/>
    <w:rsid w:val="00623E91"/>
    <w:rsid w:val="006247D5"/>
    <w:rsid w:val="006248C3"/>
    <w:rsid w:val="0062664C"/>
    <w:rsid w:val="0062676D"/>
    <w:rsid w:val="00626859"/>
    <w:rsid w:val="006273D0"/>
    <w:rsid w:val="00630242"/>
    <w:rsid w:val="0063026B"/>
    <w:rsid w:val="006313A7"/>
    <w:rsid w:val="00631C90"/>
    <w:rsid w:val="00632089"/>
    <w:rsid w:val="006326B1"/>
    <w:rsid w:val="006338C2"/>
    <w:rsid w:val="00635164"/>
    <w:rsid w:val="0063531A"/>
    <w:rsid w:val="006354A3"/>
    <w:rsid w:val="00635F1D"/>
    <w:rsid w:val="006364AE"/>
    <w:rsid w:val="0063653E"/>
    <w:rsid w:val="0063664F"/>
    <w:rsid w:val="006406F7"/>
    <w:rsid w:val="006416E7"/>
    <w:rsid w:val="00642830"/>
    <w:rsid w:val="00644544"/>
    <w:rsid w:val="0064459A"/>
    <w:rsid w:val="00647152"/>
    <w:rsid w:val="00647BB7"/>
    <w:rsid w:val="0065276A"/>
    <w:rsid w:val="0065441D"/>
    <w:rsid w:val="0065650E"/>
    <w:rsid w:val="0065664F"/>
    <w:rsid w:val="006572BE"/>
    <w:rsid w:val="006601C8"/>
    <w:rsid w:val="006634A4"/>
    <w:rsid w:val="00664176"/>
    <w:rsid w:val="00664B18"/>
    <w:rsid w:val="00664F4B"/>
    <w:rsid w:val="006661DF"/>
    <w:rsid w:val="00666518"/>
    <w:rsid w:val="00666972"/>
    <w:rsid w:val="006703CC"/>
    <w:rsid w:val="00671B55"/>
    <w:rsid w:val="0067247C"/>
    <w:rsid w:val="006725EC"/>
    <w:rsid w:val="00673281"/>
    <w:rsid w:val="0067389C"/>
    <w:rsid w:val="00673CD5"/>
    <w:rsid w:val="00674B04"/>
    <w:rsid w:val="006752B6"/>
    <w:rsid w:val="0067575E"/>
    <w:rsid w:val="0067589C"/>
    <w:rsid w:val="00680064"/>
    <w:rsid w:val="00680F9F"/>
    <w:rsid w:val="0068102D"/>
    <w:rsid w:val="00681277"/>
    <w:rsid w:val="00681619"/>
    <w:rsid w:val="00684691"/>
    <w:rsid w:val="0068667B"/>
    <w:rsid w:val="0068796A"/>
    <w:rsid w:val="00687C86"/>
    <w:rsid w:val="006923A8"/>
    <w:rsid w:val="00693B1C"/>
    <w:rsid w:val="006951AC"/>
    <w:rsid w:val="006A2326"/>
    <w:rsid w:val="006A24C5"/>
    <w:rsid w:val="006A4212"/>
    <w:rsid w:val="006A4418"/>
    <w:rsid w:val="006A6D8F"/>
    <w:rsid w:val="006A7E7E"/>
    <w:rsid w:val="006B015B"/>
    <w:rsid w:val="006B0351"/>
    <w:rsid w:val="006B1714"/>
    <w:rsid w:val="006B2FD5"/>
    <w:rsid w:val="006B3524"/>
    <w:rsid w:val="006B4D85"/>
    <w:rsid w:val="006B715D"/>
    <w:rsid w:val="006B7A5F"/>
    <w:rsid w:val="006B7F0E"/>
    <w:rsid w:val="006C02AE"/>
    <w:rsid w:val="006C3853"/>
    <w:rsid w:val="006C3B8F"/>
    <w:rsid w:val="006C6F28"/>
    <w:rsid w:val="006D2AB5"/>
    <w:rsid w:val="006D2EA4"/>
    <w:rsid w:val="006D5142"/>
    <w:rsid w:val="006D54A2"/>
    <w:rsid w:val="006E215C"/>
    <w:rsid w:val="006E25A1"/>
    <w:rsid w:val="006E35AD"/>
    <w:rsid w:val="006E3C4F"/>
    <w:rsid w:val="006E5D46"/>
    <w:rsid w:val="006F03E1"/>
    <w:rsid w:val="006F1382"/>
    <w:rsid w:val="006F15C1"/>
    <w:rsid w:val="006F20B8"/>
    <w:rsid w:val="006F46B4"/>
    <w:rsid w:val="006F479F"/>
    <w:rsid w:val="006F574A"/>
    <w:rsid w:val="006F597E"/>
    <w:rsid w:val="006F6E1D"/>
    <w:rsid w:val="006F78A4"/>
    <w:rsid w:val="00702975"/>
    <w:rsid w:val="007032C3"/>
    <w:rsid w:val="00703845"/>
    <w:rsid w:val="0070418D"/>
    <w:rsid w:val="00704749"/>
    <w:rsid w:val="00704EEA"/>
    <w:rsid w:val="007057DF"/>
    <w:rsid w:val="00706723"/>
    <w:rsid w:val="007073AF"/>
    <w:rsid w:val="007127B4"/>
    <w:rsid w:val="007128A3"/>
    <w:rsid w:val="007178E3"/>
    <w:rsid w:val="00717DD1"/>
    <w:rsid w:val="00717F5F"/>
    <w:rsid w:val="00720258"/>
    <w:rsid w:val="00720F1C"/>
    <w:rsid w:val="00723C58"/>
    <w:rsid w:val="0072686D"/>
    <w:rsid w:val="00727A18"/>
    <w:rsid w:val="007318CB"/>
    <w:rsid w:val="00731F2C"/>
    <w:rsid w:val="00732287"/>
    <w:rsid w:val="007342DF"/>
    <w:rsid w:val="0073486A"/>
    <w:rsid w:val="0073654F"/>
    <w:rsid w:val="0073697E"/>
    <w:rsid w:val="0074056C"/>
    <w:rsid w:val="00742EA6"/>
    <w:rsid w:val="00743CC8"/>
    <w:rsid w:val="007445AE"/>
    <w:rsid w:val="00744EF2"/>
    <w:rsid w:val="00745407"/>
    <w:rsid w:val="007462C3"/>
    <w:rsid w:val="0074631D"/>
    <w:rsid w:val="0074731A"/>
    <w:rsid w:val="00752C66"/>
    <w:rsid w:val="00752FC6"/>
    <w:rsid w:val="007565E8"/>
    <w:rsid w:val="00756B6B"/>
    <w:rsid w:val="00761133"/>
    <w:rsid w:val="0076195A"/>
    <w:rsid w:val="00761D2D"/>
    <w:rsid w:val="00761EAF"/>
    <w:rsid w:val="00762145"/>
    <w:rsid w:val="0076295A"/>
    <w:rsid w:val="00762D06"/>
    <w:rsid w:val="00763735"/>
    <w:rsid w:val="00764025"/>
    <w:rsid w:val="007650FB"/>
    <w:rsid w:val="00765DC9"/>
    <w:rsid w:val="00766057"/>
    <w:rsid w:val="00766103"/>
    <w:rsid w:val="007677D9"/>
    <w:rsid w:val="007700D2"/>
    <w:rsid w:val="007702CB"/>
    <w:rsid w:val="0077397F"/>
    <w:rsid w:val="00774263"/>
    <w:rsid w:val="0077544C"/>
    <w:rsid w:val="007759EB"/>
    <w:rsid w:val="00776666"/>
    <w:rsid w:val="00777B93"/>
    <w:rsid w:val="007820DD"/>
    <w:rsid w:val="007852DE"/>
    <w:rsid w:val="00785FB9"/>
    <w:rsid w:val="0078713A"/>
    <w:rsid w:val="007879CF"/>
    <w:rsid w:val="00793B2D"/>
    <w:rsid w:val="00793E06"/>
    <w:rsid w:val="00794559"/>
    <w:rsid w:val="00794E3C"/>
    <w:rsid w:val="00795BA1"/>
    <w:rsid w:val="00795DD6"/>
    <w:rsid w:val="007A2204"/>
    <w:rsid w:val="007A28EB"/>
    <w:rsid w:val="007A5035"/>
    <w:rsid w:val="007A635A"/>
    <w:rsid w:val="007A6723"/>
    <w:rsid w:val="007A68AD"/>
    <w:rsid w:val="007A77D7"/>
    <w:rsid w:val="007B013E"/>
    <w:rsid w:val="007B169D"/>
    <w:rsid w:val="007B1DBD"/>
    <w:rsid w:val="007B2755"/>
    <w:rsid w:val="007B2ABA"/>
    <w:rsid w:val="007B4B77"/>
    <w:rsid w:val="007B5393"/>
    <w:rsid w:val="007B5ABF"/>
    <w:rsid w:val="007B635C"/>
    <w:rsid w:val="007C0703"/>
    <w:rsid w:val="007C13F1"/>
    <w:rsid w:val="007C2367"/>
    <w:rsid w:val="007C29DF"/>
    <w:rsid w:val="007C340A"/>
    <w:rsid w:val="007C3BFF"/>
    <w:rsid w:val="007C41CE"/>
    <w:rsid w:val="007C4298"/>
    <w:rsid w:val="007C52D3"/>
    <w:rsid w:val="007C6541"/>
    <w:rsid w:val="007C7856"/>
    <w:rsid w:val="007C7C2B"/>
    <w:rsid w:val="007D1338"/>
    <w:rsid w:val="007D31D8"/>
    <w:rsid w:val="007D3848"/>
    <w:rsid w:val="007D776B"/>
    <w:rsid w:val="007E1A85"/>
    <w:rsid w:val="007E2D25"/>
    <w:rsid w:val="007E39E3"/>
    <w:rsid w:val="007E4855"/>
    <w:rsid w:val="007E4925"/>
    <w:rsid w:val="007E6C4F"/>
    <w:rsid w:val="007E78D0"/>
    <w:rsid w:val="007E7A21"/>
    <w:rsid w:val="007F03A4"/>
    <w:rsid w:val="007F1E02"/>
    <w:rsid w:val="007F2969"/>
    <w:rsid w:val="007F4955"/>
    <w:rsid w:val="007F6478"/>
    <w:rsid w:val="00801145"/>
    <w:rsid w:val="0080125A"/>
    <w:rsid w:val="00802096"/>
    <w:rsid w:val="008022FD"/>
    <w:rsid w:val="00802326"/>
    <w:rsid w:val="00802D88"/>
    <w:rsid w:val="008034CD"/>
    <w:rsid w:val="0080567F"/>
    <w:rsid w:val="00806A35"/>
    <w:rsid w:val="00806EC5"/>
    <w:rsid w:val="008072A9"/>
    <w:rsid w:val="00810DA0"/>
    <w:rsid w:val="00811D62"/>
    <w:rsid w:val="00813833"/>
    <w:rsid w:val="008146DB"/>
    <w:rsid w:val="00815543"/>
    <w:rsid w:val="00817A64"/>
    <w:rsid w:val="00820D7D"/>
    <w:rsid w:val="00820DEB"/>
    <w:rsid w:val="00824391"/>
    <w:rsid w:val="00824E17"/>
    <w:rsid w:val="00825D7B"/>
    <w:rsid w:val="00827351"/>
    <w:rsid w:val="00831DF4"/>
    <w:rsid w:val="00832D68"/>
    <w:rsid w:val="008333B8"/>
    <w:rsid w:val="00833936"/>
    <w:rsid w:val="0083552A"/>
    <w:rsid w:val="008449CF"/>
    <w:rsid w:val="00847D06"/>
    <w:rsid w:val="00851342"/>
    <w:rsid w:val="0085178B"/>
    <w:rsid w:val="008535E0"/>
    <w:rsid w:val="00855687"/>
    <w:rsid w:val="00857DB7"/>
    <w:rsid w:val="00860C9F"/>
    <w:rsid w:val="008618A0"/>
    <w:rsid w:val="00863611"/>
    <w:rsid w:val="00864090"/>
    <w:rsid w:val="00864E9B"/>
    <w:rsid w:val="008701F5"/>
    <w:rsid w:val="00874C3A"/>
    <w:rsid w:val="0087610A"/>
    <w:rsid w:val="00876A0E"/>
    <w:rsid w:val="00876D36"/>
    <w:rsid w:val="008771C5"/>
    <w:rsid w:val="00877917"/>
    <w:rsid w:val="00882EF5"/>
    <w:rsid w:val="00883153"/>
    <w:rsid w:val="00883754"/>
    <w:rsid w:val="00885156"/>
    <w:rsid w:val="0088569C"/>
    <w:rsid w:val="00886CC9"/>
    <w:rsid w:val="00887227"/>
    <w:rsid w:val="00887A26"/>
    <w:rsid w:val="00891AD4"/>
    <w:rsid w:val="0089251F"/>
    <w:rsid w:val="0089269A"/>
    <w:rsid w:val="00892B72"/>
    <w:rsid w:val="00892D17"/>
    <w:rsid w:val="00893EB3"/>
    <w:rsid w:val="00894585"/>
    <w:rsid w:val="0089480D"/>
    <w:rsid w:val="00895958"/>
    <w:rsid w:val="008960A3"/>
    <w:rsid w:val="00896733"/>
    <w:rsid w:val="0089777E"/>
    <w:rsid w:val="00897940"/>
    <w:rsid w:val="008A11E7"/>
    <w:rsid w:val="008A1424"/>
    <w:rsid w:val="008A2049"/>
    <w:rsid w:val="008A27F5"/>
    <w:rsid w:val="008A44AD"/>
    <w:rsid w:val="008A471A"/>
    <w:rsid w:val="008A603B"/>
    <w:rsid w:val="008A64E7"/>
    <w:rsid w:val="008B2610"/>
    <w:rsid w:val="008B2616"/>
    <w:rsid w:val="008B4014"/>
    <w:rsid w:val="008B46D9"/>
    <w:rsid w:val="008B49ED"/>
    <w:rsid w:val="008B656E"/>
    <w:rsid w:val="008B6C63"/>
    <w:rsid w:val="008B78E1"/>
    <w:rsid w:val="008C018B"/>
    <w:rsid w:val="008C0807"/>
    <w:rsid w:val="008C2692"/>
    <w:rsid w:val="008C5C24"/>
    <w:rsid w:val="008C5D35"/>
    <w:rsid w:val="008C686B"/>
    <w:rsid w:val="008C7056"/>
    <w:rsid w:val="008C762E"/>
    <w:rsid w:val="008D0540"/>
    <w:rsid w:val="008D1666"/>
    <w:rsid w:val="008D27FC"/>
    <w:rsid w:val="008D34F0"/>
    <w:rsid w:val="008D7601"/>
    <w:rsid w:val="008D7BB6"/>
    <w:rsid w:val="008E1914"/>
    <w:rsid w:val="008E2A61"/>
    <w:rsid w:val="008E2E23"/>
    <w:rsid w:val="008E3499"/>
    <w:rsid w:val="008E3E26"/>
    <w:rsid w:val="008E40B8"/>
    <w:rsid w:val="008E5174"/>
    <w:rsid w:val="008E5A9E"/>
    <w:rsid w:val="008F2842"/>
    <w:rsid w:val="008F48C6"/>
    <w:rsid w:val="008F4F8D"/>
    <w:rsid w:val="008F551A"/>
    <w:rsid w:val="00900BDE"/>
    <w:rsid w:val="00900D89"/>
    <w:rsid w:val="00902521"/>
    <w:rsid w:val="00903516"/>
    <w:rsid w:val="00903C92"/>
    <w:rsid w:val="0090413A"/>
    <w:rsid w:val="0090465C"/>
    <w:rsid w:val="00905854"/>
    <w:rsid w:val="0090603B"/>
    <w:rsid w:val="009069BC"/>
    <w:rsid w:val="009114E6"/>
    <w:rsid w:val="00912D11"/>
    <w:rsid w:val="009134D9"/>
    <w:rsid w:val="00914397"/>
    <w:rsid w:val="00915BEC"/>
    <w:rsid w:val="009247A2"/>
    <w:rsid w:val="0092485C"/>
    <w:rsid w:val="00927C54"/>
    <w:rsid w:val="00931DEE"/>
    <w:rsid w:val="00932FF0"/>
    <w:rsid w:val="00934D62"/>
    <w:rsid w:val="0093536A"/>
    <w:rsid w:val="0093568C"/>
    <w:rsid w:val="00936298"/>
    <w:rsid w:val="00936334"/>
    <w:rsid w:val="00937FD3"/>
    <w:rsid w:val="0094003B"/>
    <w:rsid w:val="00941000"/>
    <w:rsid w:val="00941414"/>
    <w:rsid w:val="009426A1"/>
    <w:rsid w:val="00945966"/>
    <w:rsid w:val="00952B98"/>
    <w:rsid w:val="009542A7"/>
    <w:rsid w:val="00954FAC"/>
    <w:rsid w:val="009601B3"/>
    <w:rsid w:val="00960522"/>
    <w:rsid w:val="0096426B"/>
    <w:rsid w:val="00966451"/>
    <w:rsid w:val="009714DA"/>
    <w:rsid w:val="009726DA"/>
    <w:rsid w:val="009732D5"/>
    <w:rsid w:val="00973917"/>
    <w:rsid w:val="00973BB9"/>
    <w:rsid w:val="009756AA"/>
    <w:rsid w:val="00980A77"/>
    <w:rsid w:val="00980EB7"/>
    <w:rsid w:val="009815F4"/>
    <w:rsid w:val="0098211C"/>
    <w:rsid w:val="0098232D"/>
    <w:rsid w:val="009869D9"/>
    <w:rsid w:val="009872E5"/>
    <w:rsid w:val="0098730B"/>
    <w:rsid w:val="00987FE5"/>
    <w:rsid w:val="009911FD"/>
    <w:rsid w:val="00992844"/>
    <w:rsid w:val="009936E1"/>
    <w:rsid w:val="009962C8"/>
    <w:rsid w:val="009964B8"/>
    <w:rsid w:val="009970ED"/>
    <w:rsid w:val="009971DE"/>
    <w:rsid w:val="009A01F9"/>
    <w:rsid w:val="009A1E8B"/>
    <w:rsid w:val="009A2303"/>
    <w:rsid w:val="009A44FD"/>
    <w:rsid w:val="009A4B6F"/>
    <w:rsid w:val="009A6E92"/>
    <w:rsid w:val="009B0788"/>
    <w:rsid w:val="009B1E64"/>
    <w:rsid w:val="009B2494"/>
    <w:rsid w:val="009B3ED0"/>
    <w:rsid w:val="009B41AF"/>
    <w:rsid w:val="009B4ECC"/>
    <w:rsid w:val="009B5F7C"/>
    <w:rsid w:val="009B76DE"/>
    <w:rsid w:val="009C0EDA"/>
    <w:rsid w:val="009C1125"/>
    <w:rsid w:val="009C2BE6"/>
    <w:rsid w:val="009C301A"/>
    <w:rsid w:val="009D0485"/>
    <w:rsid w:val="009D0B33"/>
    <w:rsid w:val="009D1DAF"/>
    <w:rsid w:val="009D2CD5"/>
    <w:rsid w:val="009D2E69"/>
    <w:rsid w:val="009D367C"/>
    <w:rsid w:val="009D6816"/>
    <w:rsid w:val="009D7374"/>
    <w:rsid w:val="009E0911"/>
    <w:rsid w:val="009E097A"/>
    <w:rsid w:val="009E501F"/>
    <w:rsid w:val="009E5E71"/>
    <w:rsid w:val="009E66E4"/>
    <w:rsid w:val="009F0F47"/>
    <w:rsid w:val="009F3C08"/>
    <w:rsid w:val="009F4C6E"/>
    <w:rsid w:val="00A00102"/>
    <w:rsid w:val="00A0036B"/>
    <w:rsid w:val="00A06D4F"/>
    <w:rsid w:val="00A07EAB"/>
    <w:rsid w:val="00A203BE"/>
    <w:rsid w:val="00A21468"/>
    <w:rsid w:val="00A214C5"/>
    <w:rsid w:val="00A216D0"/>
    <w:rsid w:val="00A21A84"/>
    <w:rsid w:val="00A23760"/>
    <w:rsid w:val="00A24038"/>
    <w:rsid w:val="00A26080"/>
    <w:rsid w:val="00A2678B"/>
    <w:rsid w:val="00A30CF9"/>
    <w:rsid w:val="00A31217"/>
    <w:rsid w:val="00A338AF"/>
    <w:rsid w:val="00A3390B"/>
    <w:rsid w:val="00A347D0"/>
    <w:rsid w:val="00A350B7"/>
    <w:rsid w:val="00A363CA"/>
    <w:rsid w:val="00A40836"/>
    <w:rsid w:val="00A40907"/>
    <w:rsid w:val="00A4224A"/>
    <w:rsid w:val="00A433CF"/>
    <w:rsid w:val="00A45A47"/>
    <w:rsid w:val="00A46CB7"/>
    <w:rsid w:val="00A4701A"/>
    <w:rsid w:val="00A50703"/>
    <w:rsid w:val="00A541C5"/>
    <w:rsid w:val="00A54441"/>
    <w:rsid w:val="00A57170"/>
    <w:rsid w:val="00A64259"/>
    <w:rsid w:val="00A65734"/>
    <w:rsid w:val="00A65749"/>
    <w:rsid w:val="00A707C6"/>
    <w:rsid w:val="00A70F43"/>
    <w:rsid w:val="00A72D4C"/>
    <w:rsid w:val="00A74D61"/>
    <w:rsid w:val="00A80081"/>
    <w:rsid w:val="00A80606"/>
    <w:rsid w:val="00A807ED"/>
    <w:rsid w:val="00A82937"/>
    <w:rsid w:val="00A84195"/>
    <w:rsid w:val="00A875BF"/>
    <w:rsid w:val="00A91BE1"/>
    <w:rsid w:val="00A93653"/>
    <w:rsid w:val="00A9512E"/>
    <w:rsid w:val="00A97283"/>
    <w:rsid w:val="00A97F61"/>
    <w:rsid w:val="00AA12D4"/>
    <w:rsid w:val="00AA184B"/>
    <w:rsid w:val="00AA269F"/>
    <w:rsid w:val="00AA4461"/>
    <w:rsid w:val="00AA50CB"/>
    <w:rsid w:val="00AA545A"/>
    <w:rsid w:val="00AA661C"/>
    <w:rsid w:val="00AB1357"/>
    <w:rsid w:val="00AB14BB"/>
    <w:rsid w:val="00AB27C5"/>
    <w:rsid w:val="00AB3973"/>
    <w:rsid w:val="00AB3A2C"/>
    <w:rsid w:val="00AB505E"/>
    <w:rsid w:val="00AB5DAB"/>
    <w:rsid w:val="00AB6862"/>
    <w:rsid w:val="00AB6E50"/>
    <w:rsid w:val="00AC0165"/>
    <w:rsid w:val="00AC085B"/>
    <w:rsid w:val="00AC1453"/>
    <w:rsid w:val="00AC17B8"/>
    <w:rsid w:val="00AC277E"/>
    <w:rsid w:val="00AC3C04"/>
    <w:rsid w:val="00AC481C"/>
    <w:rsid w:val="00AC492C"/>
    <w:rsid w:val="00AC4D23"/>
    <w:rsid w:val="00AC620B"/>
    <w:rsid w:val="00AD1D0C"/>
    <w:rsid w:val="00AD620A"/>
    <w:rsid w:val="00AD7590"/>
    <w:rsid w:val="00AE0C6A"/>
    <w:rsid w:val="00AE782E"/>
    <w:rsid w:val="00AF1337"/>
    <w:rsid w:val="00AF2AFC"/>
    <w:rsid w:val="00AF2D00"/>
    <w:rsid w:val="00AF2FED"/>
    <w:rsid w:val="00AF3321"/>
    <w:rsid w:val="00AF5B77"/>
    <w:rsid w:val="00B01057"/>
    <w:rsid w:val="00B02A3B"/>
    <w:rsid w:val="00B036B4"/>
    <w:rsid w:val="00B048AD"/>
    <w:rsid w:val="00B11C52"/>
    <w:rsid w:val="00B12854"/>
    <w:rsid w:val="00B1416A"/>
    <w:rsid w:val="00B1612E"/>
    <w:rsid w:val="00B166F5"/>
    <w:rsid w:val="00B20118"/>
    <w:rsid w:val="00B2145D"/>
    <w:rsid w:val="00B23C25"/>
    <w:rsid w:val="00B25306"/>
    <w:rsid w:val="00B25B18"/>
    <w:rsid w:val="00B26F1F"/>
    <w:rsid w:val="00B34288"/>
    <w:rsid w:val="00B37B4C"/>
    <w:rsid w:val="00B37C6A"/>
    <w:rsid w:val="00B4171E"/>
    <w:rsid w:val="00B461F7"/>
    <w:rsid w:val="00B46BA1"/>
    <w:rsid w:val="00B47F89"/>
    <w:rsid w:val="00B533DF"/>
    <w:rsid w:val="00B5413F"/>
    <w:rsid w:val="00B56533"/>
    <w:rsid w:val="00B56A94"/>
    <w:rsid w:val="00B56C1C"/>
    <w:rsid w:val="00B56DBC"/>
    <w:rsid w:val="00B572BA"/>
    <w:rsid w:val="00B57690"/>
    <w:rsid w:val="00B60195"/>
    <w:rsid w:val="00B60BF8"/>
    <w:rsid w:val="00B61171"/>
    <w:rsid w:val="00B624F7"/>
    <w:rsid w:val="00B633EE"/>
    <w:rsid w:val="00B6350A"/>
    <w:rsid w:val="00B63830"/>
    <w:rsid w:val="00B6478F"/>
    <w:rsid w:val="00B648B8"/>
    <w:rsid w:val="00B66D0C"/>
    <w:rsid w:val="00B67591"/>
    <w:rsid w:val="00B701D3"/>
    <w:rsid w:val="00B70F22"/>
    <w:rsid w:val="00B715B2"/>
    <w:rsid w:val="00B7226F"/>
    <w:rsid w:val="00B830AD"/>
    <w:rsid w:val="00B832FE"/>
    <w:rsid w:val="00B833D0"/>
    <w:rsid w:val="00B840E9"/>
    <w:rsid w:val="00B84AB3"/>
    <w:rsid w:val="00B9005D"/>
    <w:rsid w:val="00B90271"/>
    <w:rsid w:val="00B9110E"/>
    <w:rsid w:val="00B91668"/>
    <w:rsid w:val="00B9209E"/>
    <w:rsid w:val="00B924CA"/>
    <w:rsid w:val="00B92DF7"/>
    <w:rsid w:val="00B94AD1"/>
    <w:rsid w:val="00B9546F"/>
    <w:rsid w:val="00BA0E0F"/>
    <w:rsid w:val="00BA2558"/>
    <w:rsid w:val="00BA32CE"/>
    <w:rsid w:val="00BA5A21"/>
    <w:rsid w:val="00BA5F27"/>
    <w:rsid w:val="00BB13D8"/>
    <w:rsid w:val="00BB169F"/>
    <w:rsid w:val="00BB22E5"/>
    <w:rsid w:val="00BB2528"/>
    <w:rsid w:val="00BB37B3"/>
    <w:rsid w:val="00BB3F9F"/>
    <w:rsid w:val="00BB46FE"/>
    <w:rsid w:val="00BB700C"/>
    <w:rsid w:val="00BC0088"/>
    <w:rsid w:val="00BC03F1"/>
    <w:rsid w:val="00BC0901"/>
    <w:rsid w:val="00BC09E8"/>
    <w:rsid w:val="00BC2828"/>
    <w:rsid w:val="00BC283B"/>
    <w:rsid w:val="00BC2A33"/>
    <w:rsid w:val="00BC59DE"/>
    <w:rsid w:val="00BC6A21"/>
    <w:rsid w:val="00BD1BB6"/>
    <w:rsid w:val="00BD3EA9"/>
    <w:rsid w:val="00BD47FB"/>
    <w:rsid w:val="00BD47FE"/>
    <w:rsid w:val="00BD4BA6"/>
    <w:rsid w:val="00BD4DC1"/>
    <w:rsid w:val="00BE1212"/>
    <w:rsid w:val="00BE1CE0"/>
    <w:rsid w:val="00BE2898"/>
    <w:rsid w:val="00BE2C27"/>
    <w:rsid w:val="00BE5F6C"/>
    <w:rsid w:val="00BE7DD5"/>
    <w:rsid w:val="00BF0682"/>
    <w:rsid w:val="00BF171C"/>
    <w:rsid w:val="00BF201B"/>
    <w:rsid w:val="00BF25AA"/>
    <w:rsid w:val="00BF2953"/>
    <w:rsid w:val="00BF4B0C"/>
    <w:rsid w:val="00C000E9"/>
    <w:rsid w:val="00C033A7"/>
    <w:rsid w:val="00C03ECA"/>
    <w:rsid w:val="00C0646B"/>
    <w:rsid w:val="00C1185C"/>
    <w:rsid w:val="00C12D1C"/>
    <w:rsid w:val="00C1349E"/>
    <w:rsid w:val="00C14634"/>
    <w:rsid w:val="00C14978"/>
    <w:rsid w:val="00C16905"/>
    <w:rsid w:val="00C16B25"/>
    <w:rsid w:val="00C17ECE"/>
    <w:rsid w:val="00C20881"/>
    <w:rsid w:val="00C2098F"/>
    <w:rsid w:val="00C20A25"/>
    <w:rsid w:val="00C23655"/>
    <w:rsid w:val="00C2554A"/>
    <w:rsid w:val="00C256F5"/>
    <w:rsid w:val="00C268F6"/>
    <w:rsid w:val="00C27761"/>
    <w:rsid w:val="00C30698"/>
    <w:rsid w:val="00C30F30"/>
    <w:rsid w:val="00C32787"/>
    <w:rsid w:val="00C336E7"/>
    <w:rsid w:val="00C34702"/>
    <w:rsid w:val="00C4060D"/>
    <w:rsid w:val="00C40EC8"/>
    <w:rsid w:val="00C440E8"/>
    <w:rsid w:val="00C441EA"/>
    <w:rsid w:val="00C44617"/>
    <w:rsid w:val="00C44D6F"/>
    <w:rsid w:val="00C46ABE"/>
    <w:rsid w:val="00C478E2"/>
    <w:rsid w:val="00C52812"/>
    <w:rsid w:val="00C54729"/>
    <w:rsid w:val="00C5490A"/>
    <w:rsid w:val="00C56226"/>
    <w:rsid w:val="00C629C7"/>
    <w:rsid w:val="00C62AE3"/>
    <w:rsid w:val="00C641FA"/>
    <w:rsid w:val="00C66AEF"/>
    <w:rsid w:val="00C70BEB"/>
    <w:rsid w:val="00C713D1"/>
    <w:rsid w:val="00C7493A"/>
    <w:rsid w:val="00C7675F"/>
    <w:rsid w:val="00C77967"/>
    <w:rsid w:val="00C77E05"/>
    <w:rsid w:val="00C83A06"/>
    <w:rsid w:val="00C83DEE"/>
    <w:rsid w:val="00C85450"/>
    <w:rsid w:val="00C85637"/>
    <w:rsid w:val="00C8798C"/>
    <w:rsid w:val="00C957D2"/>
    <w:rsid w:val="00C95FE1"/>
    <w:rsid w:val="00C9768B"/>
    <w:rsid w:val="00C97B82"/>
    <w:rsid w:val="00CA060B"/>
    <w:rsid w:val="00CA0650"/>
    <w:rsid w:val="00CA4543"/>
    <w:rsid w:val="00CA47AF"/>
    <w:rsid w:val="00CA4A53"/>
    <w:rsid w:val="00CA4FF7"/>
    <w:rsid w:val="00CB0193"/>
    <w:rsid w:val="00CB2215"/>
    <w:rsid w:val="00CB2CA7"/>
    <w:rsid w:val="00CB39BF"/>
    <w:rsid w:val="00CB3F10"/>
    <w:rsid w:val="00CB5B90"/>
    <w:rsid w:val="00CB792E"/>
    <w:rsid w:val="00CC160D"/>
    <w:rsid w:val="00CC1942"/>
    <w:rsid w:val="00CC2F17"/>
    <w:rsid w:val="00CC615C"/>
    <w:rsid w:val="00CD10E4"/>
    <w:rsid w:val="00CD508F"/>
    <w:rsid w:val="00CD76B2"/>
    <w:rsid w:val="00CD76FD"/>
    <w:rsid w:val="00CE008B"/>
    <w:rsid w:val="00CE4127"/>
    <w:rsid w:val="00CE66E7"/>
    <w:rsid w:val="00CE72CB"/>
    <w:rsid w:val="00CE7BA4"/>
    <w:rsid w:val="00CF0608"/>
    <w:rsid w:val="00CF1548"/>
    <w:rsid w:val="00CF1745"/>
    <w:rsid w:val="00CF28B1"/>
    <w:rsid w:val="00CF3E83"/>
    <w:rsid w:val="00CF6F99"/>
    <w:rsid w:val="00D01242"/>
    <w:rsid w:val="00D01FFD"/>
    <w:rsid w:val="00D02533"/>
    <w:rsid w:val="00D0459E"/>
    <w:rsid w:val="00D04637"/>
    <w:rsid w:val="00D06619"/>
    <w:rsid w:val="00D06EC9"/>
    <w:rsid w:val="00D10991"/>
    <w:rsid w:val="00D11292"/>
    <w:rsid w:val="00D123A5"/>
    <w:rsid w:val="00D12A98"/>
    <w:rsid w:val="00D14BC2"/>
    <w:rsid w:val="00D14EA7"/>
    <w:rsid w:val="00D15600"/>
    <w:rsid w:val="00D16090"/>
    <w:rsid w:val="00D163CE"/>
    <w:rsid w:val="00D209C3"/>
    <w:rsid w:val="00D20EFB"/>
    <w:rsid w:val="00D20F56"/>
    <w:rsid w:val="00D215E0"/>
    <w:rsid w:val="00D223E7"/>
    <w:rsid w:val="00D24206"/>
    <w:rsid w:val="00D24CB4"/>
    <w:rsid w:val="00D24DCF"/>
    <w:rsid w:val="00D31736"/>
    <w:rsid w:val="00D325BF"/>
    <w:rsid w:val="00D34239"/>
    <w:rsid w:val="00D37B05"/>
    <w:rsid w:val="00D401F2"/>
    <w:rsid w:val="00D4067D"/>
    <w:rsid w:val="00D4082D"/>
    <w:rsid w:val="00D42B49"/>
    <w:rsid w:val="00D43D4E"/>
    <w:rsid w:val="00D44A51"/>
    <w:rsid w:val="00D46519"/>
    <w:rsid w:val="00D47423"/>
    <w:rsid w:val="00D52A43"/>
    <w:rsid w:val="00D563EC"/>
    <w:rsid w:val="00D57C3B"/>
    <w:rsid w:val="00D60473"/>
    <w:rsid w:val="00D613A9"/>
    <w:rsid w:val="00D62852"/>
    <w:rsid w:val="00D63D96"/>
    <w:rsid w:val="00D64E47"/>
    <w:rsid w:val="00D6652E"/>
    <w:rsid w:val="00D71230"/>
    <w:rsid w:val="00D71459"/>
    <w:rsid w:val="00D72754"/>
    <w:rsid w:val="00D7335C"/>
    <w:rsid w:val="00D73E27"/>
    <w:rsid w:val="00D74F2B"/>
    <w:rsid w:val="00D751C7"/>
    <w:rsid w:val="00D756B5"/>
    <w:rsid w:val="00D77AF2"/>
    <w:rsid w:val="00D80E6B"/>
    <w:rsid w:val="00D81758"/>
    <w:rsid w:val="00D81E0A"/>
    <w:rsid w:val="00D829FA"/>
    <w:rsid w:val="00D84B70"/>
    <w:rsid w:val="00D84E43"/>
    <w:rsid w:val="00D87264"/>
    <w:rsid w:val="00D8764C"/>
    <w:rsid w:val="00D911BC"/>
    <w:rsid w:val="00D9174F"/>
    <w:rsid w:val="00D92B5A"/>
    <w:rsid w:val="00D93203"/>
    <w:rsid w:val="00D93B4F"/>
    <w:rsid w:val="00D93CD5"/>
    <w:rsid w:val="00D94B91"/>
    <w:rsid w:val="00D94CA1"/>
    <w:rsid w:val="00DA06A1"/>
    <w:rsid w:val="00DA0C77"/>
    <w:rsid w:val="00DA10CA"/>
    <w:rsid w:val="00DA12C9"/>
    <w:rsid w:val="00DA2799"/>
    <w:rsid w:val="00DA5172"/>
    <w:rsid w:val="00DA5F33"/>
    <w:rsid w:val="00DA74CF"/>
    <w:rsid w:val="00DB1176"/>
    <w:rsid w:val="00DB25D5"/>
    <w:rsid w:val="00DB56A6"/>
    <w:rsid w:val="00DB57E1"/>
    <w:rsid w:val="00DC3529"/>
    <w:rsid w:val="00DC3B03"/>
    <w:rsid w:val="00DC473D"/>
    <w:rsid w:val="00DC5929"/>
    <w:rsid w:val="00DD0B8F"/>
    <w:rsid w:val="00DD0C0D"/>
    <w:rsid w:val="00DD1B16"/>
    <w:rsid w:val="00DD3837"/>
    <w:rsid w:val="00DD4E84"/>
    <w:rsid w:val="00DD4F92"/>
    <w:rsid w:val="00DD5E97"/>
    <w:rsid w:val="00DD61EC"/>
    <w:rsid w:val="00DD732A"/>
    <w:rsid w:val="00DD7B04"/>
    <w:rsid w:val="00DE057C"/>
    <w:rsid w:val="00DE2196"/>
    <w:rsid w:val="00DE3202"/>
    <w:rsid w:val="00DE4DEA"/>
    <w:rsid w:val="00DE5189"/>
    <w:rsid w:val="00DE5777"/>
    <w:rsid w:val="00DE6DF1"/>
    <w:rsid w:val="00DF1887"/>
    <w:rsid w:val="00DF33FB"/>
    <w:rsid w:val="00DF3472"/>
    <w:rsid w:val="00DF4238"/>
    <w:rsid w:val="00DF73B0"/>
    <w:rsid w:val="00E006A6"/>
    <w:rsid w:val="00E00A3C"/>
    <w:rsid w:val="00E03252"/>
    <w:rsid w:val="00E03960"/>
    <w:rsid w:val="00E10BEB"/>
    <w:rsid w:val="00E20EE6"/>
    <w:rsid w:val="00E23AE0"/>
    <w:rsid w:val="00E24EFC"/>
    <w:rsid w:val="00E25E1E"/>
    <w:rsid w:val="00E26948"/>
    <w:rsid w:val="00E275DC"/>
    <w:rsid w:val="00E301DE"/>
    <w:rsid w:val="00E31E95"/>
    <w:rsid w:val="00E33E45"/>
    <w:rsid w:val="00E343DF"/>
    <w:rsid w:val="00E34CBE"/>
    <w:rsid w:val="00E34E2E"/>
    <w:rsid w:val="00E3709D"/>
    <w:rsid w:val="00E377C0"/>
    <w:rsid w:val="00E40800"/>
    <w:rsid w:val="00E43356"/>
    <w:rsid w:val="00E4381C"/>
    <w:rsid w:val="00E439C2"/>
    <w:rsid w:val="00E453E0"/>
    <w:rsid w:val="00E477FA"/>
    <w:rsid w:val="00E511ED"/>
    <w:rsid w:val="00E5174B"/>
    <w:rsid w:val="00E52620"/>
    <w:rsid w:val="00E55BDD"/>
    <w:rsid w:val="00E571AE"/>
    <w:rsid w:val="00E6247C"/>
    <w:rsid w:val="00E63894"/>
    <w:rsid w:val="00E649AB"/>
    <w:rsid w:val="00E64AFA"/>
    <w:rsid w:val="00E660EF"/>
    <w:rsid w:val="00E66C1C"/>
    <w:rsid w:val="00E67625"/>
    <w:rsid w:val="00E70793"/>
    <w:rsid w:val="00E73C8E"/>
    <w:rsid w:val="00E74049"/>
    <w:rsid w:val="00E745E2"/>
    <w:rsid w:val="00E747A7"/>
    <w:rsid w:val="00E76098"/>
    <w:rsid w:val="00E808A3"/>
    <w:rsid w:val="00E80A77"/>
    <w:rsid w:val="00E81550"/>
    <w:rsid w:val="00E82758"/>
    <w:rsid w:val="00E8425E"/>
    <w:rsid w:val="00E84677"/>
    <w:rsid w:val="00E86734"/>
    <w:rsid w:val="00E879EA"/>
    <w:rsid w:val="00E92E1F"/>
    <w:rsid w:val="00E932B8"/>
    <w:rsid w:val="00E933B7"/>
    <w:rsid w:val="00E95CF9"/>
    <w:rsid w:val="00E95F95"/>
    <w:rsid w:val="00E96438"/>
    <w:rsid w:val="00E976BD"/>
    <w:rsid w:val="00EA0E5F"/>
    <w:rsid w:val="00EA202E"/>
    <w:rsid w:val="00EA362E"/>
    <w:rsid w:val="00EA4710"/>
    <w:rsid w:val="00EA5102"/>
    <w:rsid w:val="00EA572F"/>
    <w:rsid w:val="00EA7461"/>
    <w:rsid w:val="00EA7558"/>
    <w:rsid w:val="00EA7802"/>
    <w:rsid w:val="00EA7965"/>
    <w:rsid w:val="00EA7FDE"/>
    <w:rsid w:val="00EB3255"/>
    <w:rsid w:val="00EB5144"/>
    <w:rsid w:val="00EB5631"/>
    <w:rsid w:val="00EC12EC"/>
    <w:rsid w:val="00EC1BE6"/>
    <w:rsid w:val="00EC366F"/>
    <w:rsid w:val="00EC44F6"/>
    <w:rsid w:val="00EC4C65"/>
    <w:rsid w:val="00ED0768"/>
    <w:rsid w:val="00ED106E"/>
    <w:rsid w:val="00ED14DD"/>
    <w:rsid w:val="00ED2990"/>
    <w:rsid w:val="00ED2E82"/>
    <w:rsid w:val="00ED37E2"/>
    <w:rsid w:val="00ED5ED3"/>
    <w:rsid w:val="00EE16D7"/>
    <w:rsid w:val="00EE2B3B"/>
    <w:rsid w:val="00EE30EE"/>
    <w:rsid w:val="00EE37D1"/>
    <w:rsid w:val="00EE472A"/>
    <w:rsid w:val="00EE499E"/>
    <w:rsid w:val="00EE540B"/>
    <w:rsid w:val="00EE57C9"/>
    <w:rsid w:val="00EE5D7A"/>
    <w:rsid w:val="00EE7917"/>
    <w:rsid w:val="00EF0C27"/>
    <w:rsid w:val="00EF5216"/>
    <w:rsid w:val="00EF6019"/>
    <w:rsid w:val="00EF62C1"/>
    <w:rsid w:val="00EF766A"/>
    <w:rsid w:val="00F0010B"/>
    <w:rsid w:val="00F02C70"/>
    <w:rsid w:val="00F02DCE"/>
    <w:rsid w:val="00F0429E"/>
    <w:rsid w:val="00F07989"/>
    <w:rsid w:val="00F1006F"/>
    <w:rsid w:val="00F10228"/>
    <w:rsid w:val="00F10B86"/>
    <w:rsid w:val="00F1504F"/>
    <w:rsid w:val="00F16958"/>
    <w:rsid w:val="00F16F6E"/>
    <w:rsid w:val="00F26075"/>
    <w:rsid w:val="00F321CD"/>
    <w:rsid w:val="00F32BD8"/>
    <w:rsid w:val="00F357D8"/>
    <w:rsid w:val="00F35A2B"/>
    <w:rsid w:val="00F367C9"/>
    <w:rsid w:val="00F40C5F"/>
    <w:rsid w:val="00F4175C"/>
    <w:rsid w:val="00F41E4A"/>
    <w:rsid w:val="00F4226C"/>
    <w:rsid w:val="00F44968"/>
    <w:rsid w:val="00F44A34"/>
    <w:rsid w:val="00F45AD8"/>
    <w:rsid w:val="00F4779D"/>
    <w:rsid w:val="00F5278E"/>
    <w:rsid w:val="00F537EC"/>
    <w:rsid w:val="00F547CB"/>
    <w:rsid w:val="00F54E08"/>
    <w:rsid w:val="00F551C8"/>
    <w:rsid w:val="00F55D3A"/>
    <w:rsid w:val="00F5630F"/>
    <w:rsid w:val="00F57866"/>
    <w:rsid w:val="00F60A85"/>
    <w:rsid w:val="00F60E6C"/>
    <w:rsid w:val="00F61233"/>
    <w:rsid w:val="00F618D0"/>
    <w:rsid w:val="00F63C82"/>
    <w:rsid w:val="00F643E3"/>
    <w:rsid w:val="00F6534E"/>
    <w:rsid w:val="00F66703"/>
    <w:rsid w:val="00F66FFC"/>
    <w:rsid w:val="00F6737B"/>
    <w:rsid w:val="00F673CF"/>
    <w:rsid w:val="00F70EB9"/>
    <w:rsid w:val="00F717B0"/>
    <w:rsid w:val="00F71D2C"/>
    <w:rsid w:val="00F72B00"/>
    <w:rsid w:val="00F737C4"/>
    <w:rsid w:val="00F74784"/>
    <w:rsid w:val="00F749E8"/>
    <w:rsid w:val="00F753C8"/>
    <w:rsid w:val="00F761B3"/>
    <w:rsid w:val="00F767EE"/>
    <w:rsid w:val="00F8661A"/>
    <w:rsid w:val="00F93980"/>
    <w:rsid w:val="00F93A2A"/>
    <w:rsid w:val="00F93AF1"/>
    <w:rsid w:val="00F94830"/>
    <w:rsid w:val="00F94FE8"/>
    <w:rsid w:val="00FA10E0"/>
    <w:rsid w:val="00FA2A7D"/>
    <w:rsid w:val="00FA30F8"/>
    <w:rsid w:val="00FA603E"/>
    <w:rsid w:val="00FA6535"/>
    <w:rsid w:val="00FA7803"/>
    <w:rsid w:val="00FB0451"/>
    <w:rsid w:val="00FB2D75"/>
    <w:rsid w:val="00FB2FCF"/>
    <w:rsid w:val="00FB34E8"/>
    <w:rsid w:val="00FB39E9"/>
    <w:rsid w:val="00FC1872"/>
    <w:rsid w:val="00FC1B12"/>
    <w:rsid w:val="00FC2E3C"/>
    <w:rsid w:val="00FC31D2"/>
    <w:rsid w:val="00FC3668"/>
    <w:rsid w:val="00FC424D"/>
    <w:rsid w:val="00FC5705"/>
    <w:rsid w:val="00FC65B5"/>
    <w:rsid w:val="00FD0B23"/>
    <w:rsid w:val="00FD26F1"/>
    <w:rsid w:val="00FD2945"/>
    <w:rsid w:val="00FD2F66"/>
    <w:rsid w:val="00FD402A"/>
    <w:rsid w:val="00FD4663"/>
    <w:rsid w:val="00FE04F3"/>
    <w:rsid w:val="00FE0E14"/>
    <w:rsid w:val="00FE1937"/>
    <w:rsid w:val="00FE1F8E"/>
    <w:rsid w:val="00FE20BE"/>
    <w:rsid w:val="00FE34CA"/>
    <w:rsid w:val="00FE45C6"/>
    <w:rsid w:val="00FE73B5"/>
    <w:rsid w:val="00FF052D"/>
    <w:rsid w:val="00FF1C6A"/>
    <w:rsid w:val="00FF236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18"/>
        <w:szCs w:val="18"/>
        <w:lang w:val="sv-SE"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List Number" w:semiHidden="0" w:unhideWhenUsed="0" w:qFormat="1"/>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semiHidden="0" w:unhideWhenUsed="0" w:qFormat="1"/>
    <w:lsdException w:name="Date" w:unhideWhenUsed="0"/>
    <w:lsdException w:name="Body Text First Indent" w:unhideWhenUsed="0"/>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A535D"/>
  </w:style>
  <w:style w:type="paragraph" w:styleId="Heading1">
    <w:name w:val="heading 1"/>
    <w:basedOn w:val="Normal"/>
    <w:next w:val="Normal"/>
    <w:link w:val="Heading1Char"/>
    <w:uiPriority w:val="9"/>
    <w:qFormat/>
    <w:rsid w:val="00AD620A"/>
    <w:pPr>
      <w:keepNext/>
      <w:spacing w:after="560" w:line="520" w:lineRule="atLeast"/>
      <w:contextualSpacing/>
      <w:outlineLvl w:val="0"/>
    </w:pPr>
    <w:rPr>
      <w:rFonts w:asciiTheme="majorHAnsi" w:eastAsiaTheme="majorEastAsia" w:hAnsiTheme="majorHAnsi" w:cstheme="majorBidi"/>
      <w:bCs/>
      <w:sz w:val="48"/>
      <w:szCs w:val="28"/>
    </w:rPr>
  </w:style>
  <w:style w:type="paragraph" w:styleId="Heading2">
    <w:name w:val="heading 2"/>
    <w:basedOn w:val="Normal"/>
    <w:next w:val="Normal"/>
    <w:link w:val="Heading2Char"/>
    <w:uiPriority w:val="9"/>
    <w:qFormat/>
    <w:rsid w:val="00AD620A"/>
    <w:pPr>
      <w:keepNext/>
      <w:spacing w:after="57" w:line="280" w:lineRule="atLeast"/>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uiPriority w:val="9"/>
    <w:qFormat/>
    <w:rsid w:val="00A97F61"/>
    <w:pPr>
      <w:keepNext/>
      <w:spacing w:after="28"/>
      <w:outlineLvl w:val="2"/>
    </w:pPr>
    <w:rPr>
      <w:rFonts w:eastAsiaTheme="majorEastAsia" w:cstheme="majorBidi"/>
      <w:b/>
      <w:bCs/>
    </w:rPr>
  </w:style>
  <w:style w:type="paragraph" w:styleId="Heading4">
    <w:name w:val="heading 4"/>
    <w:basedOn w:val="Normal"/>
    <w:next w:val="Normal"/>
    <w:link w:val="Heading4Char"/>
    <w:uiPriority w:val="9"/>
    <w:qFormat/>
    <w:rsid w:val="00B048AD"/>
    <w:pPr>
      <w:keepNext/>
      <w:outlineLvl w:val="3"/>
    </w:pPr>
    <w:rPr>
      <w:caps/>
      <w:sz w:val="13"/>
    </w:rPr>
  </w:style>
  <w:style w:type="paragraph" w:styleId="Heading5">
    <w:name w:val="heading 5"/>
    <w:basedOn w:val="Normal"/>
    <w:next w:val="Normal"/>
    <w:link w:val="Heading5Char"/>
    <w:uiPriority w:val="9"/>
    <w:rsid w:val="001070B7"/>
    <w:pPr>
      <w:keepNext/>
      <w:outlineLvl w:val="4"/>
    </w:pPr>
    <w:rPr>
      <w:rFonts w:asciiTheme="majorHAnsi" w:eastAsiaTheme="majorEastAsia" w:hAnsiTheme="majorHAnsi" w:cstheme="majorBidi"/>
      <w:bCs/>
      <w:color w:val="000000" w:themeColor="text1"/>
    </w:rPr>
  </w:style>
  <w:style w:type="paragraph" w:styleId="Heading6">
    <w:name w:val="heading 6"/>
    <w:basedOn w:val="Normal"/>
    <w:next w:val="Normal"/>
    <w:link w:val="Heading6Char"/>
    <w:uiPriority w:val="9"/>
    <w:rsid w:val="001070B7"/>
    <w:pPr>
      <w:keepNext/>
      <w:outlineLvl w:val="5"/>
    </w:pPr>
    <w:rPr>
      <w:rFonts w:asciiTheme="majorHAnsi" w:eastAsiaTheme="majorEastAsia" w:hAnsiTheme="majorHAnsi" w:cstheme="majorBidi"/>
      <w:bCs/>
      <w:iCs/>
      <w:color w:val="000000" w:themeColor="text1"/>
    </w:rPr>
  </w:style>
  <w:style w:type="paragraph" w:styleId="Heading7">
    <w:name w:val="heading 7"/>
    <w:basedOn w:val="Normal"/>
    <w:next w:val="Normal"/>
    <w:link w:val="Heading7Char"/>
    <w:uiPriority w:val="9"/>
    <w:rsid w:val="001070B7"/>
    <w:pPr>
      <w:keepNext/>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rsid w:val="00D9320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rsid w:val="001070B7"/>
    <w:pPr>
      <w:keepNext/>
      <w:outlineLvl w:val="8"/>
    </w:pPr>
    <w:rPr>
      <w:rFonts w:asciiTheme="majorHAnsi" w:eastAsiaTheme="majorEastAsia" w:hAnsiTheme="majorHAnsi" w:cstheme="majorBid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0A"/>
    <w:rPr>
      <w:rFonts w:asciiTheme="majorHAnsi" w:eastAsiaTheme="majorEastAsia" w:hAnsiTheme="majorHAnsi" w:cstheme="majorBidi"/>
      <w:bCs/>
      <w:color w:val="191919" w:themeColor="text2"/>
      <w:sz w:val="48"/>
      <w:szCs w:val="28"/>
    </w:rPr>
  </w:style>
  <w:style w:type="character" w:customStyle="1" w:styleId="Heading2Char">
    <w:name w:val="Heading 2 Char"/>
    <w:basedOn w:val="DefaultParagraphFont"/>
    <w:link w:val="Heading2"/>
    <w:uiPriority w:val="9"/>
    <w:rsid w:val="00AD620A"/>
    <w:rPr>
      <w:rFonts w:asciiTheme="majorHAnsi" w:eastAsiaTheme="majorEastAsia" w:hAnsiTheme="majorHAnsi" w:cstheme="majorBidi"/>
      <w:bCs/>
      <w:color w:val="191919" w:themeColor="text2"/>
      <w:sz w:val="26"/>
      <w:szCs w:val="26"/>
    </w:rPr>
  </w:style>
  <w:style w:type="character" w:customStyle="1" w:styleId="Heading3Char">
    <w:name w:val="Heading 3 Char"/>
    <w:basedOn w:val="DefaultParagraphFont"/>
    <w:link w:val="Heading3"/>
    <w:uiPriority w:val="9"/>
    <w:rsid w:val="00A97F61"/>
    <w:rPr>
      <w:rFonts w:eastAsiaTheme="majorEastAsia" w:cstheme="majorBidi"/>
      <w:b/>
      <w:bCs/>
    </w:rPr>
  </w:style>
  <w:style w:type="character" w:customStyle="1" w:styleId="Heading4Char">
    <w:name w:val="Heading 4 Char"/>
    <w:basedOn w:val="DefaultParagraphFont"/>
    <w:link w:val="Heading4"/>
    <w:uiPriority w:val="9"/>
    <w:rsid w:val="00B048AD"/>
    <w:rPr>
      <w:caps/>
      <w:sz w:val="13"/>
    </w:rPr>
  </w:style>
  <w:style w:type="character" w:customStyle="1" w:styleId="Heading5Char">
    <w:name w:val="Heading 5 Char"/>
    <w:basedOn w:val="DefaultParagraphFont"/>
    <w:link w:val="Heading5"/>
    <w:uiPriority w:val="9"/>
    <w:rsid w:val="001070B7"/>
    <w:rPr>
      <w:rFonts w:asciiTheme="majorHAnsi" w:eastAsiaTheme="majorEastAsia" w:hAnsiTheme="majorHAnsi" w:cstheme="majorBidi"/>
      <w:bCs/>
      <w:color w:val="000000" w:themeColor="text1"/>
    </w:rPr>
  </w:style>
  <w:style w:type="character" w:customStyle="1" w:styleId="Heading6Char">
    <w:name w:val="Heading 6 Char"/>
    <w:basedOn w:val="DefaultParagraphFont"/>
    <w:link w:val="Heading6"/>
    <w:uiPriority w:val="9"/>
    <w:rsid w:val="001070B7"/>
    <w:rPr>
      <w:rFonts w:asciiTheme="majorHAnsi" w:eastAsiaTheme="majorEastAsia" w:hAnsiTheme="majorHAnsi" w:cstheme="majorBidi"/>
      <w:bCs/>
      <w:iCs/>
      <w:color w:val="000000" w:themeColor="text1"/>
    </w:rPr>
  </w:style>
  <w:style w:type="character" w:customStyle="1" w:styleId="Heading7Char">
    <w:name w:val="Heading 7 Char"/>
    <w:basedOn w:val="DefaultParagraphFont"/>
    <w:link w:val="Heading7"/>
    <w:uiPriority w:val="9"/>
    <w:rsid w:val="001070B7"/>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D9320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070B7"/>
    <w:rPr>
      <w:rFonts w:asciiTheme="majorHAnsi" w:eastAsiaTheme="majorEastAsia" w:hAnsiTheme="majorHAnsi" w:cstheme="majorBidi"/>
      <w:iCs/>
      <w:spacing w:val="5"/>
      <w:sz w:val="20"/>
      <w:szCs w:val="20"/>
    </w:rPr>
  </w:style>
  <w:style w:type="paragraph" w:styleId="Title">
    <w:name w:val="Title"/>
    <w:basedOn w:val="Normal"/>
    <w:next w:val="Normal"/>
    <w:link w:val="TitleChar"/>
    <w:uiPriority w:val="10"/>
    <w:qFormat/>
    <w:rsid w:val="002A535D"/>
    <w:pPr>
      <w:keepNext/>
      <w:spacing w:before="1440" w:after="680" w:line="240" w:lineRule="auto"/>
      <w:ind w:left="425" w:right="-454"/>
      <w:contextualSpacing/>
    </w:pPr>
    <w:rPr>
      <w:rFonts w:asciiTheme="majorHAnsi" w:eastAsiaTheme="majorEastAsia" w:hAnsiTheme="majorHAnsi" w:cstheme="majorBidi"/>
      <w:color w:val="5F5F5F" w:themeColor="accent5"/>
      <w:spacing w:val="5"/>
      <w:sz w:val="88"/>
      <w:szCs w:val="52"/>
    </w:rPr>
  </w:style>
  <w:style w:type="character" w:customStyle="1" w:styleId="TitleChar">
    <w:name w:val="Title Char"/>
    <w:basedOn w:val="DefaultParagraphFont"/>
    <w:link w:val="Title"/>
    <w:uiPriority w:val="10"/>
    <w:rsid w:val="002A535D"/>
    <w:rPr>
      <w:rFonts w:asciiTheme="majorHAnsi" w:eastAsiaTheme="majorEastAsia" w:hAnsiTheme="majorHAnsi" w:cstheme="majorBidi"/>
      <w:color w:val="5F5F5F" w:themeColor="accent5"/>
      <w:spacing w:val="5"/>
      <w:sz w:val="88"/>
      <w:szCs w:val="52"/>
    </w:rPr>
  </w:style>
  <w:style w:type="paragraph" w:styleId="Subtitle">
    <w:name w:val="Subtitle"/>
    <w:basedOn w:val="Normal"/>
    <w:next w:val="Normal"/>
    <w:link w:val="SubtitleChar"/>
    <w:uiPriority w:val="11"/>
    <w:qFormat/>
    <w:rsid w:val="00D756B5"/>
    <w:pPr>
      <w:spacing w:line="240" w:lineRule="auto"/>
    </w:pPr>
    <w:rPr>
      <w:caps/>
      <w:color w:val="B2B2B2" w:themeColor="accent2"/>
      <w:sz w:val="17"/>
      <w:szCs w:val="17"/>
    </w:rPr>
  </w:style>
  <w:style w:type="character" w:customStyle="1" w:styleId="SubtitleChar">
    <w:name w:val="Subtitle Char"/>
    <w:basedOn w:val="DefaultParagraphFont"/>
    <w:link w:val="Subtitle"/>
    <w:uiPriority w:val="11"/>
    <w:rsid w:val="00D756B5"/>
    <w:rPr>
      <w:caps/>
      <w:color w:val="B2B2B2" w:themeColor="accent2"/>
      <w:sz w:val="17"/>
      <w:szCs w:val="17"/>
    </w:rPr>
  </w:style>
  <w:style w:type="character" w:styleId="Strong">
    <w:name w:val="Strong"/>
    <w:uiPriority w:val="22"/>
    <w:semiHidden/>
    <w:rsid w:val="00D93203"/>
    <w:rPr>
      <w:b/>
      <w:bCs/>
    </w:rPr>
  </w:style>
  <w:style w:type="character" w:styleId="Emphasis">
    <w:name w:val="Emphasis"/>
    <w:uiPriority w:val="20"/>
    <w:semiHidden/>
    <w:rsid w:val="00D93203"/>
    <w:rPr>
      <w:b/>
      <w:bCs/>
      <w:i/>
      <w:iCs/>
      <w:spacing w:val="10"/>
      <w:bdr w:val="none" w:sz="0" w:space="0" w:color="auto"/>
      <w:shd w:val="clear" w:color="auto" w:fill="auto"/>
    </w:rPr>
  </w:style>
  <w:style w:type="paragraph" w:styleId="NoSpacing">
    <w:name w:val="No Spacing"/>
    <w:basedOn w:val="Normal"/>
    <w:uiPriority w:val="1"/>
    <w:qFormat/>
    <w:rsid w:val="00D93203"/>
  </w:style>
  <w:style w:type="paragraph" w:styleId="ListParagraph">
    <w:name w:val="List Paragraph"/>
    <w:basedOn w:val="Normal"/>
    <w:uiPriority w:val="34"/>
    <w:qFormat/>
    <w:rsid w:val="00D93203"/>
    <w:pPr>
      <w:ind w:left="720"/>
      <w:contextualSpacing/>
    </w:pPr>
  </w:style>
  <w:style w:type="paragraph" w:styleId="Quote">
    <w:name w:val="Quote"/>
    <w:basedOn w:val="Normal"/>
    <w:next w:val="Normal"/>
    <w:link w:val="QuoteChar"/>
    <w:uiPriority w:val="29"/>
    <w:qFormat/>
    <w:rsid w:val="002A535D"/>
    <w:pPr>
      <w:framePr w:hSpace="142" w:wrap="around" w:vAnchor="text" w:hAnchor="page" w:x="833" w:y="1"/>
    </w:pPr>
    <w:rPr>
      <w:i/>
      <w:color w:val="808080" w:themeColor="accent4"/>
      <w:sz w:val="26"/>
      <w:szCs w:val="26"/>
    </w:rPr>
  </w:style>
  <w:style w:type="character" w:customStyle="1" w:styleId="QuoteChar">
    <w:name w:val="Quote Char"/>
    <w:basedOn w:val="DefaultParagraphFont"/>
    <w:link w:val="Quote"/>
    <w:uiPriority w:val="29"/>
    <w:rsid w:val="002A535D"/>
    <w:rPr>
      <w:i/>
      <w:color w:val="808080" w:themeColor="accent4"/>
      <w:sz w:val="26"/>
      <w:szCs w:val="26"/>
    </w:rPr>
  </w:style>
  <w:style w:type="paragraph" w:styleId="IntenseQuote">
    <w:name w:val="Intense Quote"/>
    <w:basedOn w:val="Normal"/>
    <w:next w:val="Normal"/>
    <w:link w:val="IntenseQuoteChar"/>
    <w:uiPriority w:val="30"/>
    <w:semiHidden/>
    <w:rsid w:val="00D9320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D93203"/>
    <w:rPr>
      <w:b/>
      <w:bCs/>
      <w:i/>
      <w:iCs/>
    </w:rPr>
  </w:style>
  <w:style w:type="character" w:styleId="SubtleEmphasis">
    <w:name w:val="Subtle Emphasis"/>
    <w:uiPriority w:val="19"/>
    <w:semiHidden/>
    <w:rsid w:val="00D93203"/>
    <w:rPr>
      <w:i/>
      <w:iCs/>
    </w:rPr>
  </w:style>
  <w:style w:type="character" w:styleId="IntenseEmphasis">
    <w:name w:val="Intense Emphasis"/>
    <w:uiPriority w:val="21"/>
    <w:semiHidden/>
    <w:rsid w:val="00D93203"/>
    <w:rPr>
      <w:b/>
      <w:bCs/>
    </w:rPr>
  </w:style>
  <w:style w:type="character" w:styleId="SubtleReference">
    <w:name w:val="Subtle Reference"/>
    <w:uiPriority w:val="31"/>
    <w:semiHidden/>
    <w:rsid w:val="00D93203"/>
    <w:rPr>
      <w:smallCaps/>
    </w:rPr>
  </w:style>
  <w:style w:type="character" w:styleId="IntenseReference">
    <w:name w:val="Intense Reference"/>
    <w:uiPriority w:val="32"/>
    <w:semiHidden/>
    <w:rsid w:val="00D93203"/>
    <w:rPr>
      <w:smallCaps/>
      <w:spacing w:val="5"/>
      <w:u w:val="single"/>
    </w:rPr>
  </w:style>
  <w:style w:type="character" w:styleId="BookTitle">
    <w:name w:val="Book Title"/>
    <w:uiPriority w:val="33"/>
    <w:semiHidden/>
    <w:rsid w:val="00D93203"/>
    <w:rPr>
      <w:i/>
      <w:iCs/>
      <w:smallCaps/>
      <w:spacing w:val="5"/>
    </w:rPr>
  </w:style>
  <w:style w:type="paragraph" w:styleId="TOCHeading">
    <w:name w:val="TOC Heading"/>
    <w:basedOn w:val="Heading1"/>
    <w:next w:val="Normal"/>
    <w:uiPriority w:val="39"/>
    <w:rsid w:val="00D93203"/>
    <w:pPr>
      <w:outlineLvl w:val="9"/>
    </w:pPr>
    <w:rPr>
      <w:lang w:bidi="en-US"/>
    </w:rPr>
  </w:style>
  <w:style w:type="paragraph" w:styleId="TOC1">
    <w:name w:val="toc 1"/>
    <w:basedOn w:val="Normal"/>
    <w:next w:val="Normal"/>
    <w:autoRedefine/>
    <w:uiPriority w:val="39"/>
    <w:rsid w:val="00D93203"/>
    <w:pPr>
      <w:spacing w:after="100"/>
    </w:pPr>
  </w:style>
  <w:style w:type="paragraph" w:styleId="ListBullet">
    <w:name w:val="List Bullet"/>
    <w:basedOn w:val="Normal"/>
    <w:uiPriority w:val="99"/>
    <w:qFormat/>
    <w:rsid w:val="0068102D"/>
    <w:pPr>
      <w:numPr>
        <w:numId w:val="6"/>
      </w:numPr>
      <w:contextualSpacing/>
    </w:pPr>
  </w:style>
  <w:style w:type="paragraph" w:styleId="ListBullet2">
    <w:name w:val="List Bullet 2"/>
    <w:basedOn w:val="Normal"/>
    <w:uiPriority w:val="99"/>
    <w:rsid w:val="0068102D"/>
    <w:pPr>
      <w:numPr>
        <w:ilvl w:val="1"/>
        <w:numId w:val="6"/>
      </w:numPr>
      <w:contextualSpacing/>
    </w:pPr>
  </w:style>
  <w:style w:type="paragraph" w:styleId="ListBullet3">
    <w:name w:val="List Bullet 3"/>
    <w:basedOn w:val="Normal"/>
    <w:uiPriority w:val="99"/>
    <w:rsid w:val="0068102D"/>
    <w:pPr>
      <w:numPr>
        <w:ilvl w:val="2"/>
        <w:numId w:val="6"/>
      </w:numPr>
      <w:contextualSpacing/>
    </w:pPr>
  </w:style>
  <w:style w:type="paragraph" w:styleId="ListBullet4">
    <w:name w:val="List Bullet 4"/>
    <w:basedOn w:val="Normal"/>
    <w:uiPriority w:val="99"/>
    <w:rsid w:val="0068102D"/>
    <w:pPr>
      <w:numPr>
        <w:ilvl w:val="3"/>
        <w:numId w:val="6"/>
      </w:numPr>
      <w:contextualSpacing/>
    </w:pPr>
  </w:style>
  <w:style w:type="paragraph" w:styleId="ListBullet5">
    <w:name w:val="List Bullet 5"/>
    <w:basedOn w:val="Normal"/>
    <w:uiPriority w:val="99"/>
    <w:rsid w:val="0068102D"/>
    <w:pPr>
      <w:numPr>
        <w:ilvl w:val="4"/>
        <w:numId w:val="6"/>
      </w:numPr>
      <w:contextualSpacing/>
    </w:pPr>
  </w:style>
  <w:style w:type="paragraph" w:styleId="ListNumber">
    <w:name w:val="List Number"/>
    <w:basedOn w:val="Normal"/>
    <w:uiPriority w:val="99"/>
    <w:qFormat/>
    <w:rsid w:val="0068102D"/>
    <w:pPr>
      <w:numPr>
        <w:numId w:val="1"/>
      </w:numPr>
      <w:contextualSpacing/>
    </w:pPr>
  </w:style>
  <w:style w:type="paragraph" w:styleId="ListNumber2">
    <w:name w:val="List Number 2"/>
    <w:basedOn w:val="Normal"/>
    <w:uiPriority w:val="99"/>
    <w:rsid w:val="0068102D"/>
    <w:pPr>
      <w:numPr>
        <w:ilvl w:val="1"/>
        <w:numId w:val="1"/>
      </w:numPr>
      <w:contextualSpacing/>
    </w:pPr>
  </w:style>
  <w:style w:type="paragraph" w:styleId="ListNumber3">
    <w:name w:val="List Number 3"/>
    <w:basedOn w:val="Normal"/>
    <w:uiPriority w:val="99"/>
    <w:rsid w:val="0068102D"/>
    <w:pPr>
      <w:numPr>
        <w:ilvl w:val="2"/>
        <w:numId w:val="1"/>
      </w:numPr>
      <w:contextualSpacing/>
    </w:pPr>
  </w:style>
  <w:style w:type="paragraph" w:styleId="ListNumber4">
    <w:name w:val="List Number 4"/>
    <w:basedOn w:val="Normal"/>
    <w:uiPriority w:val="99"/>
    <w:rsid w:val="0068102D"/>
    <w:pPr>
      <w:numPr>
        <w:ilvl w:val="3"/>
        <w:numId w:val="1"/>
      </w:numPr>
      <w:contextualSpacing/>
    </w:pPr>
  </w:style>
  <w:style w:type="paragraph" w:styleId="ListNumber5">
    <w:name w:val="List Number 5"/>
    <w:basedOn w:val="Normal"/>
    <w:uiPriority w:val="99"/>
    <w:rsid w:val="0068102D"/>
    <w:pPr>
      <w:numPr>
        <w:ilvl w:val="4"/>
        <w:numId w:val="1"/>
      </w:numPr>
      <w:contextualSpacing/>
    </w:pPr>
  </w:style>
  <w:style w:type="paragraph" w:styleId="Salutation">
    <w:name w:val="Salutation"/>
    <w:basedOn w:val="ListParagraph"/>
    <w:next w:val="Normal"/>
    <w:link w:val="SalutationChar"/>
    <w:uiPriority w:val="99"/>
    <w:qFormat/>
    <w:rsid w:val="00177111"/>
    <w:pPr>
      <w:spacing w:after="170" w:line="280" w:lineRule="atLeast"/>
      <w:ind w:left="0"/>
      <w:contextualSpacing w:val="0"/>
    </w:pPr>
    <w:rPr>
      <w:sz w:val="24"/>
    </w:rPr>
  </w:style>
  <w:style w:type="character" w:customStyle="1" w:styleId="SalutationChar">
    <w:name w:val="Salutation Char"/>
    <w:basedOn w:val="DefaultParagraphFont"/>
    <w:link w:val="Salutation"/>
    <w:uiPriority w:val="99"/>
    <w:rsid w:val="00177111"/>
    <w:rPr>
      <w:sz w:val="24"/>
    </w:rPr>
  </w:style>
  <w:style w:type="paragraph" w:styleId="Header">
    <w:name w:val="header"/>
    <w:basedOn w:val="Normal"/>
    <w:link w:val="HeaderChar"/>
    <w:uiPriority w:val="99"/>
    <w:rsid w:val="00B56533"/>
    <w:pPr>
      <w:tabs>
        <w:tab w:val="center" w:pos="4536"/>
        <w:tab w:val="right" w:pos="9072"/>
      </w:tabs>
      <w:spacing w:line="240" w:lineRule="auto"/>
    </w:pPr>
  </w:style>
  <w:style w:type="character" w:customStyle="1" w:styleId="HeaderChar">
    <w:name w:val="Header Char"/>
    <w:basedOn w:val="DefaultParagraphFont"/>
    <w:link w:val="Header"/>
    <w:uiPriority w:val="99"/>
    <w:rsid w:val="00B56533"/>
  </w:style>
  <w:style w:type="paragraph" w:styleId="Footer">
    <w:name w:val="footer"/>
    <w:basedOn w:val="Normal"/>
    <w:link w:val="FooterChar"/>
    <w:uiPriority w:val="99"/>
    <w:rsid w:val="005C2DDB"/>
    <w:pPr>
      <w:tabs>
        <w:tab w:val="left" w:pos="1064"/>
        <w:tab w:val="center" w:pos="3828"/>
        <w:tab w:val="right" w:pos="7209"/>
      </w:tabs>
      <w:spacing w:line="240" w:lineRule="auto"/>
    </w:pPr>
  </w:style>
  <w:style w:type="character" w:customStyle="1" w:styleId="FooterChar">
    <w:name w:val="Footer Char"/>
    <w:basedOn w:val="DefaultParagraphFont"/>
    <w:link w:val="Footer"/>
    <w:uiPriority w:val="99"/>
    <w:rsid w:val="005C2DDB"/>
    <w:rPr>
      <w:color w:val="191919" w:themeColor="text2"/>
      <w:sz w:val="18"/>
    </w:rPr>
  </w:style>
  <w:style w:type="table" w:styleId="TableGrid">
    <w:name w:val="Table Grid"/>
    <w:basedOn w:val="TableNormal"/>
    <w:uiPriority w:val="59"/>
    <w:rsid w:val="00410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B34B1"/>
    <w:pPr>
      <w:spacing w:line="240" w:lineRule="auto"/>
    </w:pPr>
    <w:rPr>
      <w:rFonts w:ascii="Tahoma" w:hAnsi="Tahoma" w:cs="Tahoma"/>
    </w:rPr>
  </w:style>
  <w:style w:type="character" w:customStyle="1" w:styleId="BalloonTextChar">
    <w:name w:val="Balloon Text Char"/>
    <w:basedOn w:val="DefaultParagraphFont"/>
    <w:link w:val="BalloonText"/>
    <w:uiPriority w:val="99"/>
    <w:semiHidden/>
    <w:rsid w:val="002B34B1"/>
    <w:rPr>
      <w:rFonts w:ascii="Tahoma" w:hAnsi="Tahoma" w:cs="Tahoma"/>
    </w:rPr>
  </w:style>
  <w:style w:type="character" w:styleId="Hyperlink">
    <w:name w:val="Hyperlink"/>
    <w:basedOn w:val="DefaultParagraphFont"/>
    <w:uiPriority w:val="99"/>
    <w:rsid w:val="002A535D"/>
    <w:rPr>
      <w:color w:val="808080" w:themeColor="accent4"/>
      <w:u w:val="none"/>
    </w:rPr>
  </w:style>
  <w:style w:type="paragraph" w:styleId="Caption">
    <w:name w:val="caption"/>
    <w:basedOn w:val="Normal"/>
    <w:next w:val="Normal"/>
    <w:uiPriority w:val="35"/>
    <w:rsid w:val="00F6534E"/>
    <w:pPr>
      <w:spacing w:after="200" w:line="240" w:lineRule="auto"/>
    </w:pPr>
    <w:rPr>
      <w:rFonts w:ascii="Arial Narrow" w:hAnsi="Arial Narrow"/>
      <w:bCs/>
      <w:sz w:val="12"/>
    </w:rPr>
  </w:style>
  <w:style w:type="character" w:styleId="FollowedHyperlink">
    <w:name w:val="FollowedHyperlink"/>
    <w:basedOn w:val="DefaultParagraphFont"/>
    <w:uiPriority w:val="99"/>
    <w:rsid w:val="002A535D"/>
    <w:rPr>
      <w:color w:val="B2B2B2" w:themeColor="accent2"/>
      <w:u w:val="none"/>
    </w:rPr>
  </w:style>
  <w:style w:type="paragraph" w:styleId="BlockText">
    <w:name w:val="Block Text"/>
    <w:basedOn w:val="Salutation"/>
    <w:uiPriority w:val="99"/>
    <w:qFormat/>
    <w:rsid w:val="00AD620A"/>
    <w:pPr>
      <w:spacing w:after="260"/>
      <w:ind w:left="1077"/>
    </w:pPr>
    <w:rPr>
      <w:sz w:val="20"/>
    </w:rPr>
  </w:style>
  <w:style w:type="paragraph" w:customStyle="1" w:styleId="Default">
    <w:name w:val="Default"/>
    <w:rsid w:val="00D15600"/>
    <w:pPr>
      <w:widowControl w:val="0"/>
      <w:autoSpaceDE w:val="0"/>
      <w:autoSpaceDN w:val="0"/>
      <w:adjustRightInd w:val="0"/>
      <w:spacing w:line="240" w:lineRule="auto"/>
    </w:pPr>
    <w:rPr>
      <w:rFonts w:ascii="Times New Roman" w:hAnsi="Times New Roman" w:cs="Times New Roman"/>
      <w:color w:val="000000"/>
      <w:sz w:val="24"/>
      <w:szCs w:val="24"/>
      <w:lang w:eastAsia="sv-SE"/>
    </w:rPr>
  </w:style>
  <w:style w:type="character" w:styleId="CommentReference">
    <w:name w:val="annotation reference"/>
    <w:basedOn w:val="DefaultParagraphFont"/>
    <w:uiPriority w:val="99"/>
    <w:semiHidden/>
    <w:rsid w:val="00122FE4"/>
    <w:rPr>
      <w:sz w:val="16"/>
      <w:szCs w:val="16"/>
    </w:rPr>
  </w:style>
  <w:style w:type="paragraph" w:styleId="CommentText">
    <w:name w:val="annotation text"/>
    <w:basedOn w:val="Normal"/>
    <w:link w:val="CommentTextChar"/>
    <w:uiPriority w:val="99"/>
    <w:semiHidden/>
    <w:rsid w:val="00122FE4"/>
    <w:pPr>
      <w:spacing w:line="240" w:lineRule="auto"/>
    </w:pPr>
    <w:rPr>
      <w:sz w:val="20"/>
      <w:szCs w:val="20"/>
    </w:rPr>
  </w:style>
  <w:style w:type="character" w:customStyle="1" w:styleId="CommentTextChar">
    <w:name w:val="Comment Text Char"/>
    <w:basedOn w:val="DefaultParagraphFont"/>
    <w:link w:val="CommentText"/>
    <w:uiPriority w:val="99"/>
    <w:semiHidden/>
    <w:rsid w:val="00122FE4"/>
    <w:rPr>
      <w:sz w:val="20"/>
      <w:szCs w:val="20"/>
    </w:rPr>
  </w:style>
  <w:style w:type="paragraph" w:styleId="CommentSubject">
    <w:name w:val="annotation subject"/>
    <w:basedOn w:val="CommentText"/>
    <w:next w:val="CommentText"/>
    <w:link w:val="CommentSubjectChar"/>
    <w:uiPriority w:val="99"/>
    <w:semiHidden/>
    <w:rsid w:val="00122FE4"/>
    <w:rPr>
      <w:b/>
      <w:bCs/>
    </w:rPr>
  </w:style>
  <w:style w:type="character" w:customStyle="1" w:styleId="CommentSubjectChar">
    <w:name w:val="Comment Subject Char"/>
    <w:basedOn w:val="CommentTextChar"/>
    <w:link w:val="CommentSubject"/>
    <w:uiPriority w:val="99"/>
    <w:semiHidden/>
    <w:rsid w:val="00122FE4"/>
    <w:rPr>
      <w:b/>
      <w:bCs/>
      <w:sz w:val="20"/>
      <w:szCs w:val="20"/>
    </w:rPr>
  </w:style>
  <w:style w:type="paragraph" w:styleId="Revision">
    <w:name w:val="Revision"/>
    <w:hidden/>
    <w:uiPriority w:val="99"/>
    <w:semiHidden/>
    <w:rsid w:val="00022D50"/>
    <w:pPr>
      <w:spacing w:line="240" w:lineRule="auto"/>
    </w:pPr>
  </w:style>
  <w:style w:type="paragraph" w:styleId="EndnoteText">
    <w:name w:val="endnote text"/>
    <w:basedOn w:val="Normal"/>
    <w:link w:val="EndnoteTextChar"/>
    <w:uiPriority w:val="99"/>
    <w:semiHidden/>
    <w:rsid w:val="0062664C"/>
    <w:pPr>
      <w:spacing w:line="240" w:lineRule="auto"/>
    </w:pPr>
    <w:rPr>
      <w:sz w:val="20"/>
      <w:szCs w:val="20"/>
    </w:rPr>
  </w:style>
  <w:style w:type="character" w:customStyle="1" w:styleId="EndnoteTextChar">
    <w:name w:val="Endnote Text Char"/>
    <w:basedOn w:val="DefaultParagraphFont"/>
    <w:link w:val="EndnoteText"/>
    <w:uiPriority w:val="99"/>
    <w:semiHidden/>
    <w:rsid w:val="0062664C"/>
    <w:rPr>
      <w:sz w:val="20"/>
      <w:szCs w:val="20"/>
    </w:rPr>
  </w:style>
  <w:style w:type="character" w:styleId="EndnoteReference">
    <w:name w:val="endnote reference"/>
    <w:basedOn w:val="DefaultParagraphFont"/>
    <w:uiPriority w:val="99"/>
    <w:semiHidden/>
    <w:rsid w:val="0062664C"/>
    <w:rPr>
      <w:vertAlign w:val="superscript"/>
    </w:rPr>
  </w:style>
  <w:style w:type="paragraph" w:styleId="FootnoteText">
    <w:name w:val="footnote text"/>
    <w:basedOn w:val="Normal"/>
    <w:link w:val="FootnoteTextChar"/>
    <w:uiPriority w:val="99"/>
    <w:semiHidden/>
    <w:rsid w:val="0062664C"/>
    <w:pPr>
      <w:spacing w:line="240" w:lineRule="auto"/>
    </w:pPr>
    <w:rPr>
      <w:sz w:val="20"/>
      <w:szCs w:val="20"/>
    </w:rPr>
  </w:style>
  <w:style w:type="character" w:customStyle="1" w:styleId="FootnoteTextChar">
    <w:name w:val="Footnote Text Char"/>
    <w:basedOn w:val="DefaultParagraphFont"/>
    <w:link w:val="FootnoteText"/>
    <w:uiPriority w:val="99"/>
    <w:semiHidden/>
    <w:rsid w:val="0062664C"/>
    <w:rPr>
      <w:sz w:val="20"/>
      <w:szCs w:val="20"/>
    </w:rPr>
  </w:style>
  <w:style w:type="character" w:styleId="FootnoteReference">
    <w:name w:val="footnote reference"/>
    <w:basedOn w:val="DefaultParagraphFont"/>
    <w:uiPriority w:val="99"/>
    <w:semiHidden/>
    <w:rsid w:val="0062664C"/>
    <w:rPr>
      <w:vertAlign w:val="superscript"/>
    </w:rPr>
  </w:style>
  <w:style w:type="paragraph" w:styleId="PlainText">
    <w:name w:val="Plain Text"/>
    <w:basedOn w:val="Normal"/>
    <w:link w:val="PlainTextChar"/>
    <w:uiPriority w:val="99"/>
    <w:unhideWhenUsed/>
    <w:rsid w:val="00B1612E"/>
    <w:pPr>
      <w:spacing w:line="240" w:lineRule="auto"/>
    </w:pPr>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rsid w:val="00B1612E"/>
    <w:rPr>
      <w:rFonts w:ascii="Calibri" w:eastAsia="Times New Roman" w:hAnsi="Calibri" w:cs="Times New Roman"/>
      <w:sz w:val="22"/>
      <w:szCs w:val="21"/>
    </w:rPr>
  </w:style>
  <w:style w:type="paragraph" w:styleId="BodyText">
    <w:name w:val="Body Text"/>
    <w:basedOn w:val="Normal"/>
    <w:link w:val="BodyTextChar"/>
    <w:unhideWhenUsed/>
    <w:rsid w:val="00514509"/>
    <w:pPr>
      <w:spacing w:after="240" w:line="29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14509"/>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18"/>
        <w:szCs w:val="18"/>
        <w:lang w:val="sv-SE" w:eastAsia="en-US"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Bullet" w:qFormat="1"/>
    <w:lsdException w:name="List Number" w:semiHidden="0" w:unhideWhenUsed="0" w:qFormat="1"/>
    <w:lsdException w:name="List 4" w:unhideWhenUsed="0"/>
    <w:lsdException w:name="List 5" w:unhideWhenUsed="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semiHidden="0" w:unhideWhenUsed="0" w:qFormat="1"/>
    <w:lsdException w:name="Date" w:unhideWhenUsed="0"/>
    <w:lsdException w:name="Body Text First Indent" w:unhideWhenUsed="0"/>
    <w:lsdException w:name="Block Text"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A535D"/>
  </w:style>
  <w:style w:type="paragraph" w:styleId="Heading1">
    <w:name w:val="heading 1"/>
    <w:basedOn w:val="Normal"/>
    <w:next w:val="Normal"/>
    <w:link w:val="Heading1Char"/>
    <w:uiPriority w:val="9"/>
    <w:qFormat/>
    <w:rsid w:val="00AD620A"/>
    <w:pPr>
      <w:keepNext/>
      <w:spacing w:after="560" w:line="520" w:lineRule="atLeast"/>
      <w:contextualSpacing/>
      <w:outlineLvl w:val="0"/>
    </w:pPr>
    <w:rPr>
      <w:rFonts w:asciiTheme="majorHAnsi" w:eastAsiaTheme="majorEastAsia" w:hAnsiTheme="majorHAnsi" w:cstheme="majorBidi"/>
      <w:bCs/>
      <w:sz w:val="48"/>
      <w:szCs w:val="28"/>
    </w:rPr>
  </w:style>
  <w:style w:type="paragraph" w:styleId="Heading2">
    <w:name w:val="heading 2"/>
    <w:basedOn w:val="Normal"/>
    <w:next w:val="Normal"/>
    <w:link w:val="Heading2Char"/>
    <w:uiPriority w:val="9"/>
    <w:qFormat/>
    <w:rsid w:val="00AD620A"/>
    <w:pPr>
      <w:keepNext/>
      <w:spacing w:after="57" w:line="280" w:lineRule="atLeast"/>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uiPriority w:val="9"/>
    <w:qFormat/>
    <w:rsid w:val="00A97F61"/>
    <w:pPr>
      <w:keepNext/>
      <w:spacing w:after="28"/>
      <w:outlineLvl w:val="2"/>
    </w:pPr>
    <w:rPr>
      <w:rFonts w:eastAsiaTheme="majorEastAsia" w:cstheme="majorBidi"/>
      <w:b/>
      <w:bCs/>
    </w:rPr>
  </w:style>
  <w:style w:type="paragraph" w:styleId="Heading4">
    <w:name w:val="heading 4"/>
    <w:basedOn w:val="Normal"/>
    <w:next w:val="Normal"/>
    <w:link w:val="Heading4Char"/>
    <w:uiPriority w:val="9"/>
    <w:qFormat/>
    <w:rsid w:val="00B048AD"/>
    <w:pPr>
      <w:keepNext/>
      <w:outlineLvl w:val="3"/>
    </w:pPr>
    <w:rPr>
      <w:caps/>
      <w:sz w:val="13"/>
    </w:rPr>
  </w:style>
  <w:style w:type="paragraph" w:styleId="Heading5">
    <w:name w:val="heading 5"/>
    <w:basedOn w:val="Normal"/>
    <w:next w:val="Normal"/>
    <w:link w:val="Heading5Char"/>
    <w:uiPriority w:val="9"/>
    <w:rsid w:val="001070B7"/>
    <w:pPr>
      <w:keepNext/>
      <w:outlineLvl w:val="4"/>
    </w:pPr>
    <w:rPr>
      <w:rFonts w:asciiTheme="majorHAnsi" w:eastAsiaTheme="majorEastAsia" w:hAnsiTheme="majorHAnsi" w:cstheme="majorBidi"/>
      <w:bCs/>
      <w:color w:val="000000" w:themeColor="text1"/>
    </w:rPr>
  </w:style>
  <w:style w:type="paragraph" w:styleId="Heading6">
    <w:name w:val="heading 6"/>
    <w:basedOn w:val="Normal"/>
    <w:next w:val="Normal"/>
    <w:link w:val="Heading6Char"/>
    <w:uiPriority w:val="9"/>
    <w:rsid w:val="001070B7"/>
    <w:pPr>
      <w:keepNext/>
      <w:outlineLvl w:val="5"/>
    </w:pPr>
    <w:rPr>
      <w:rFonts w:asciiTheme="majorHAnsi" w:eastAsiaTheme="majorEastAsia" w:hAnsiTheme="majorHAnsi" w:cstheme="majorBidi"/>
      <w:bCs/>
      <w:iCs/>
      <w:color w:val="000000" w:themeColor="text1"/>
    </w:rPr>
  </w:style>
  <w:style w:type="paragraph" w:styleId="Heading7">
    <w:name w:val="heading 7"/>
    <w:basedOn w:val="Normal"/>
    <w:next w:val="Normal"/>
    <w:link w:val="Heading7Char"/>
    <w:uiPriority w:val="9"/>
    <w:rsid w:val="001070B7"/>
    <w:pPr>
      <w:keepNext/>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rsid w:val="00D9320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rsid w:val="001070B7"/>
    <w:pPr>
      <w:keepNext/>
      <w:outlineLvl w:val="8"/>
    </w:pPr>
    <w:rPr>
      <w:rFonts w:asciiTheme="majorHAnsi" w:eastAsiaTheme="majorEastAsia" w:hAnsiTheme="majorHAnsi" w:cstheme="majorBid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20A"/>
    <w:rPr>
      <w:rFonts w:asciiTheme="majorHAnsi" w:eastAsiaTheme="majorEastAsia" w:hAnsiTheme="majorHAnsi" w:cstheme="majorBidi"/>
      <w:bCs/>
      <w:color w:val="191919" w:themeColor="text2"/>
      <w:sz w:val="48"/>
      <w:szCs w:val="28"/>
    </w:rPr>
  </w:style>
  <w:style w:type="character" w:customStyle="1" w:styleId="Heading2Char">
    <w:name w:val="Heading 2 Char"/>
    <w:basedOn w:val="DefaultParagraphFont"/>
    <w:link w:val="Heading2"/>
    <w:uiPriority w:val="9"/>
    <w:rsid w:val="00AD620A"/>
    <w:rPr>
      <w:rFonts w:asciiTheme="majorHAnsi" w:eastAsiaTheme="majorEastAsia" w:hAnsiTheme="majorHAnsi" w:cstheme="majorBidi"/>
      <w:bCs/>
      <w:color w:val="191919" w:themeColor="text2"/>
      <w:sz w:val="26"/>
      <w:szCs w:val="26"/>
    </w:rPr>
  </w:style>
  <w:style w:type="character" w:customStyle="1" w:styleId="Heading3Char">
    <w:name w:val="Heading 3 Char"/>
    <w:basedOn w:val="DefaultParagraphFont"/>
    <w:link w:val="Heading3"/>
    <w:uiPriority w:val="9"/>
    <w:rsid w:val="00A97F61"/>
    <w:rPr>
      <w:rFonts w:eastAsiaTheme="majorEastAsia" w:cstheme="majorBidi"/>
      <w:b/>
      <w:bCs/>
    </w:rPr>
  </w:style>
  <w:style w:type="character" w:customStyle="1" w:styleId="Heading4Char">
    <w:name w:val="Heading 4 Char"/>
    <w:basedOn w:val="DefaultParagraphFont"/>
    <w:link w:val="Heading4"/>
    <w:uiPriority w:val="9"/>
    <w:rsid w:val="00B048AD"/>
    <w:rPr>
      <w:caps/>
      <w:sz w:val="13"/>
    </w:rPr>
  </w:style>
  <w:style w:type="character" w:customStyle="1" w:styleId="Heading5Char">
    <w:name w:val="Heading 5 Char"/>
    <w:basedOn w:val="DefaultParagraphFont"/>
    <w:link w:val="Heading5"/>
    <w:uiPriority w:val="9"/>
    <w:rsid w:val="001070B7"/>
    <w:rPr>
      <w:rFonts w:asciiTheme="majorHAnsi" w:eastAsiaTheme="majorEastAsia" w:hAnsiTheme="majorHAnsi" w:cstheme="majorBidi"/>
      <w:bCs/>
      <w:color w:val="000000" w:themeColor="text1"/>
    </w:rPr>
  </w:style>
  <w:style w:type="character" w:customStyle="1" w:styleId="Heading6Char">
    <w:name w:val="Heading 6 Char"/>
    <w:basedOn w:val="DefaultParagraphFont"/>
    <w:link w:val="Heading6"/>
    <w:uiPriority w:val="9"/>
    <w:rsid w:val="001070B7"/>
    <w:rPr>
      <w:rFonts w:asciiTheme="majorHAnsi" w:eastAsiaTheme="majorEastAsia" w:hAnsiTheme="majorHAnsi" w:cstheme="majorBidi"/>
      <w:bCs/>
      <w:iCs/>
      <w:color w:val="000000" w:themeColor="text1"/>
    </w:rPr>
  </w:style>
  <w:style w:type="character" w:customStyle="1" w:styleId="Heading7Char">
    <w:name w:val="Heading 7 Char"/>
    <w:basedOn w:val="DefaultParagraphFont"/>
    <w:link w:val="Heading7"/>
    <w:uiPriority w:val="9"/>
    <w:rsid w:val="001070B7"/>
    <w:rPr>
      <w:rFonts w:asciiTheme="majorHAnsi" w:eastAsiaTheme="majorEastAsia" w:hAnsiTheme="majorHAnsi" w:cstheme="majorBidi"/>
      <w:iCs/>
    </w:rPr>
  </w:style>
  <w:style w:type="character" w:customStyle="1" w:styleId="Heading8Char">
    <w:name w:val="Heading 8 Char"/>
    <w:basedOn w:val="DefaultParagraphFont"/>
    <w:link w:val="Heading8"/>
    <w:uiPriority w:val="9"/>
    <w:rsid w:val="00D9320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1070B7"/>
    <w:rPr>
      <w:rFonts w:asciiTheme="majorHAnsi" w:eastAsiaTheme="majorEastAsia" w:hAnsiTheme="majorHAnsi" w:cstheme="majorBidi"/>
      <w:iCs/>
      <w:spacing w:val="5"/>
      <w:sz w:val="20"/>
      <w:szCs w:val="20"/>
    </w:rPr>
  </w:style>
  <w:style w:type="paragraph" w:styleId="Title">
    <w:name w:val="Title"/>
    <w:basedOn w:val="Normal"/>
    <w:next w:val="Normal"/>
    <w:link w:val="TitleChar"/>
    <w:uiPriority w:val="10"/>
    <w:qFormat/>
    <w:rsid w:val="002A535D"/>
    <w:pPr>
      <w:keepNext/>
      <w:spacing w:before="1440" w:after="680" w:line="240" w:lineRule="auto"/>
      <w:ind w:left="425" w:right="-454"/>
      <w:contextualSpacing/>
    </w:pPr>
    <w:rPr>
      <w:rFonts w:asciiTheme="majorHAnsi" w:eastAsiaTheme="majorEastAsia" w:hAnsiTheme="majorHAnsi" w:cstheme="majorBidi"/>
      <w:color w:val="5F5F5F" w:themeColor="accent5"/>
      <w:spacing w:val="5"/>
      <w:sz w:val="88"/>
      <w:szCs w:val="52"/>
    </w:rPr>
  </w:style>
  <w:style w:type="character" w:customStyle="1" w:styleId="TitleChar">
    <w:name w:val="Title Char"/>
    <w:basedOn w:val="DefaultParagraphFont"/>
    <w:link w:val="Title"/>
    <w:uiPriority w:val="10"/>
    <w:rsid w:val="002A535D"/>
    <w:rPr>
      <w:rFonts w:asciiTheme="majorHAnsi" w:eastAsiaTheme="majorEastAsia" w:hAnsiTheme="majorHAnsi" w:cstheme="majorBidi"/>
      <w:color w:val="5F5F5F" w:themeColor="accent5"/>
      <w:spacing w:val="5"/>
      <w:sz w:val="88"/>
      <w:szCs w:val="52"/>
    </w:rPr>
  </w:style>
  <w:style w:type="paragraph" w:styleId="Subtitle">
    <w:name w:val="Subtitle"/>
    <w:basedOn w:val="Normal"/>
    <w:next w:val="Normal"/>
    <w:link w:val="SubtitleChar"/>
    <w:uiPriority w:val="11"/>
    <w:qFormat/>
    <w:rsid w:val="00D756B5"/>
    <w:pPr>
      <w:spacing w:line="240" w:lineRule="auto"/>
    </w:pPr>
    <w:rPr>
      <w:caps/>
      <w:color w:val="B2B2B2" w:themeColor="accent2"/>
      <w:sz w:val="17"/>
      <w:szCs w:val="17"/>
    </w:rPr>
  </w:style>
  <w:style w:type="character" w:customStyle="1" w:styleId="SubtitleChar">
    <w:name w:val="Subtitle Char"/>
    <w:basedOn w:val="DefaultParagraphFont"/>
    <w:link w:val="Subtitle"/>
    <w:uiPriority w:val="11"/>
    <w:rsid w:val="00D756B5"/>
    <w:rPr>
      <w:caps/>
      <w:color w:val="B2B2B2" w:themeColor="accent2"/>
      <w:sz w:val="17"/>
      <w:szCs w:val="17"/>
    </w:rPr>
  </w:style>
  <w:style w:type="character" w:styleId="Strong">
    <w:name w:val="Strong"/>
    <w:uiPriority w:val="22"/>
    <w:semiHidden/>
    <w:rsid w:val="00D93203"/>
    <w:rPr>
      <w:b/>
      <w:bCs/>
    </w:rPr>
  </w:style>
  <w:style w:type="character" w:styleId="Emphasis">
    <w:name w:val="Emphasis"/>
    <w:uiPriority w:val="20"/>
    <w:semiHidden/>
    <w:rsid w:val="00D93203"/>
    <w:rPr>
      <w:b/>
      <w:bCs/>
      <w:i/>
      <w:iCs/>
      <w:spacing w:val="10"/>
      <w:bdr w:val="none" w:sz="0" w:space="0" w:color="auto"/>
      <w:shd w:val="clear" w:color="auto" w:fill="auto"/>
    </w:rPr>
  </w:style>
  <w:style w:type="paragraph" w:styleId="NoSpacing">
    <w:name w:val="No Spacing"/>
    <w:basedOn w:val="Normal"/>
    <w:uiPriority w:val="1"/>
    <w:qFormat/>
    <w:rsid w:val="00D93203"/>
  </w:style>
  <w:style w:type="paragraph" w:styleId="ListParagraph">
    <w:name w:val="List Paragraph"/>
    <w:basedOn w:val="Normal"/>
    <w:uiPriority w:val="34"/>
    <w:qFormat/>
    <w:rsid w:val="00D93203"/>
    <w:pPr>
      <w:ind w:left="720"/>
      <w:contextualSpacing/>
    </w:pPr>
  </w:style>
  <w:style w:type="paragraph" w:styleId="Quote">
    <w:name w:val="Quote"/>
    <w:basedOn w:val="Normal"/>
    <w:next w:val="Normal"/>
    <w:link w:val="QuoteChar"/>
    <w:uiPriority w:val="29"/>
    <w:qFormat/>
    <w:rsid w:val="002A535D"/>
    <w:pPr>
      <w:framePr w:hSpace="142" w:wrap="around" w:vAnchor="text" w:hAnchor="page" w:x="833" w:y="1"/>
    </w:pPr>
    <w:rPr>
      <w:i/>
      <w:color w:val="808080" w:themeColor="accent4"/>
      <w:sz w:val="26"/>
      <w:szCs w:val="26"/>
    </w:rPr>
  </w:style>
  <w:style w:type="character" w:customStyle="1" w:styleId="QuoteChar">
    <w:name w:val="Quote Char"/>
    <w:basedOn w:val="DefaultParagraphFont"/>
    <w:link w:val="Quote"/>
    <w:uiPriority w:val="29"/>
    <w:rsid w:val="002A535D"/>
    <w:rPr>
      <w:i/>
      <w:color w:val="808080" w:themeColor="accent4"/>
      <w:sz w:val="26"/>
      <w:szCs w:val="26"/>
    </w:rPr>
  </w:style>
  <w:style w:type="paragraph" w:styleId="IntenseQuote">
    <w:name w:val="Intense Quote"/>
    <w:basedOn w:val="Normal"/>
    <w:next w:val="Normal"/>
    <w:link w:val="IntenseQuoteChar"/>
    <w:uiPriority w:val="30"/>
    <w:semiHidden/>
    <w:rsid w:val="00D9320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D93203"/>
    <w:rPr>
      <w:b/>
      <w:bCs/>
      <w:i/>
      <w:iCs/>
    </w:rPr>
  </w:style>
  <w:style w:type="character" w:styleId="SubtleEmphasis">
    <w:name w:val="Subtle Emphasis"/>
    <w:uiPriority w:val="19"/>
    <w:semiHidden/>
    <w:rsid w:val="00D93203"/>
    <w:rPr>
      <w:i/>
      <w:iCs/>
    </w:rPr>
  </w:style>
  <w:style w:type="character" w:styleId="IntenseEmphasis">
    <w:name w:val="Intense Emphasis"/>
    <w:uiPriority w:val="21"/>
    <w:semiHidden/>
    <w:rsid w:val="00D93203"/>
    <w:rPr>
      <w:b/>
      <w:bCs/>
    </w:rPr>
  </w:style>
  <w:style w:type="character" w:styleId="SubtleReference">
    <w:name w:val="Subtle Reference"/>
    <w:uiPriority w:val="31"/>
    <w:semiHidden/>
    <w:rsid w:val="00D93203"/>
    <w:rPr>
      <w:smallCaps/>
    </w:rPr>
  </w:style>
  <w:style w:type="character" w:styleId="IntenseReference">
    <w:name w:val="Intense Reference"/>
    <w:uiPriority w:val="32"/>
    <w:semiHidden/>
    <w:rsid w:val="00D93203"/>
    <w:rPr>
      <w:smallCaps/>
      <w:spacing w:val="5"/>
      <w:u w:val="single"/>
    </w:rPr>
  </w:style>
  <w:style w:type="character" w:styleId="BookTitle">
    <w:name w:val="Book Title"/>
    <w:uiPriority w:val="33"/>
    <w:semiHidden/>
    <w:rsid w:val="00D93203"/>
    <w:rPr>
      <w:i/>
      <w:iCs/>
      <w:smallCaps/>
      <w:spacing w:val="5"/>
    </w:rPr>
  </w:style>
  <w:style w:type="paragraph" w:styleId="TOCHeading">
    <w:name w:val="TOC Heading"/>
    <w:basedOn w:val="Heading1"/>
    <w:next w:val="Normal"/>
    <w:uiPriority w:val="39"/>
    <w:rsid w:val="00D93203"/>
    <w:pPr>
      <w:outlineLvl w:val="9"/>
    </w:pPr>
    <w:rPr>
      <w:lang w:bidi="en-US"/>
    </w:rPr>
  </w:style>
  <w:style w:type="paragraph" w:styleId="TOC1">
    <w:name w:val="toc 1"/>
    <w:basedOn w:val="Normal"/>
    <w:next w:val="Normal"/>
    <w:autoRedefine/>
    <w:uiPriority w:val="39"/>
    <w:rsid w:val="00D93203"/>
    <w:pPr>
      <w:spacing w:after="100"/>
    </w:pPr>
  </w:style>
  <w:style w:type="paragraph" w:styleId="ListBullet">
    <w:name w:val="List Bullet"/>
    <w:basedOn w:val="Normal"/>
    <w:uiPriority w:val="99"/>
    <w:qFormat/>
    <w:rsid w:val="0068102D"/>
    <w:pPr>
      <w:numPr>
        <w:numId w:val="6"/>
      </w:numPr>
      <w:contextualSpacing/>
    </w:pPr>
  </w:style>
  <w:style w:type="paragraph" w:styleId="ListBullet2">
    <w:name w:val="List Bullet 2"/>
    <w:basedOn w:val="Normal"/>
    <w:uiPriority w:val="99"/>
    <w:rsid w:val="0068102D"/>
    <w:pPr>
      <w:numPr>
        <w:ilvl w:val="1"/>
        <w:numId w:val="6"/>
      </w:numPr>
      <w:contextualSpacing/>
    </w:pPr>
  </w:style>
  <w:style w:type="paragraph" w:styleId="ListBullet3">
    <w:name w:val="List Bullet 3"/>
    <w:basedOn w:val="Normal"/>
    <w:uiPriority w:val="99"/>
    <w:rsid w:val="0068102D"/>
    <w:pPr>
      <w:numPr>
        <w:ilvl w:val="2"/>
        <w:numId w:val="6"/>
      </w:numPr>
      <w:contextualSpacing/>
    </w:pPr>
  </w:style>
  <w:style w:type="paragraph" w:styleId="ListBullet4">
    <w:name w:val="List Bullet 4"/>
    <w:basedOn w:val="Normal"/>
    <w:uiPriority w:val="99"/>
    <w:rsid w:val="0068102D"/>
    <w:pPr>
      <w:numPr>
        <w:ilvl w:val="3"/>
        <w:numId w:val="6"/>
      </w:numPr>
      <w:contextualSpacing/>
    </w:pPr>
  </w:style>
  <w:style w:type="paragraph" w:styleId="ListBullet5">
    <w:name w:val="List Bullet 5"/>
    <w:basedOn w:val="Normal"/>
    <w:uiPriority w:val="99"/>
    <w:rsid w:val="0068102D"/>
    <w:pPr>
      <w:numPr>
        <w:ilvl w:val="4"/>
        <w:numId w:val="6"/>
      </w:numPr>
      <w:contextualSpacing/>
    </w:pPr>
  </w:style>
  <w:style w:type="paragraph" w:styleId="ListNumber">
    <w:name w:val="List Number"/>
    <w:basedOn w:val="Normal"/>
    <w:uiPriority w:val="99"/>
    <w:qFormat/>
    <w:rsid w:val="0068102D"/>
    <w:pPr>
      <w:numPr>
        <w:numId w:val="1"/>
      </w:numPr>
      <w:contextualSpacing/>
    </w:pPr>
  </w:style>
  <w:style w:type="paragraph" w:styleId="ListNumber2">
    <w:name w:val="List Number 2"/>
    <w:basedOn w:val="Normal"/>
    <w:uiPriority w:val="99"/>
    <w:rsid w:val="0068102D"/>
    <w:pPr>
      <w:numPr>
        <w:ilvl w:val="1"/>
        <w:numId w:val="1"/>
      </w:numPr>
      <w:contextualSpacing/>
    </w:pPr>
  </w:style>
  <w:style w:type="paragraph" w:styleId="ListNumber3">
    <w:name w:val="List Number 3"/>
    <w:basedOn w:val="Normal"/>
    <w:uiPriority w:val="99"/>
    <w:rsid w:val="0068102D"/>
    <w:pPr>
      <w:numPr>
        <w:ilvl w:val="2"/>
        <w:numId w:val="1"/>
      </w:numPr>
      <w:contextualSpacing/>
    </w:pPr>
  </w:style>
  <w:style w:type="paragraph" w:styleId="ListNumber4">
    <w:name w:val="List Number 4"/>
    <w:basedOn w:val="Normal"/>
    <w:uiPriority w:val="99"/>
    <w:rsid w:val="0068102D"/>
    <w:pPr>
      <w:numPr>
        <w:ilvl w:val="3"/>
        <w:numId w:val="1"/>
      </w:numPr>
      <w:contextualSpacing/>
    </w:pPr>
  </w:style>
  <w:style w:type="paragraph" w:styleId="ListNumber5">
    <w:name w:val="List Number 5"/>
    <w:basedOn w:val="Normal"/>
    <w:uiPriority w:val="99"/>
    <w:rsid w:val="0068102D"/>
    <w:pPr>
      <w:numPr>
        <w:ilvl w:val="4"/>
        <w:numId w:val="1"/>
      </w:numPr>
      <w:contextualSpacing/>
    </w:pPr>
  </w:style>
  <w:style w:type="paragraph" w:styleId="Salutation">
    <w:name w:val="Salutation"/>
    <w:basedOn w:val="ListParagraph"/>
    <w:next w:val="Normal"/>
    <w:link w:val="SalutationChar"/>
    <w:uiPriority w:val="99"/>
    <w:qFormat/>
    <w:rsid w:val="00177111"/>
    <w:pPr>
      <w:spacing w:after="170" w:line="280" w:lineRule="atLeast"/>
      <w:ind w:left="0"/>
      <w:contextualSpacing w:val="0"/>
    </w:pPr>
    <w:rPr>
      <w:sz w:val="24"/>
    </w:rPr>
  </w:style>
  <w:style w:type="character" w:customStyle="1" w:styleId="SalutationChar">
    <w:name w:val="Salutation Char"/>
    <w:basedOn w:val="DefaultParagraphFont"/>
    <w:link w:val="Salutation"/>
    <w:uiPriority w:val="99"/>
    <w:rsid w:val="00177111"/>
    <w:rPr>
      <w:sz w:val="24"/>
    </w:rPr>
  </w:style>
  <w:style w:type="paragraph" w:styleId="Header">
    <w:name w:val="header"/>
    <w:basedOn w:val="Normal"/>
    <w:link w:val="HeaderChar"/>
    <w:uiPriority w:val="99"/>
    <w:rsid w:val="00B56533"/>
    <w:pPr>
      <w:tabs>
        <w:tab w:val="center" w:pos="4536"/>
        <w:tab w:val="right" w:pos="9072"/>
      </w:tabs>
      <w:spacing w:line="240" w:lineRule="auto"/>
    </w:pPr>
  </w:style>
  <w:style w:type="character" w:customStyle="1" w:styleId="HeaderChar">
    <w:name w:val="Header Char"/>
    <w:basedOn w:val="DefaultParagraphFont"/>
    <w:link w:val="Header"/>
    <w:uiPriority w:val="99"/>
    <w:rsid w:val="00B56533"/>
  </w:style>
  <w:style w:type="paragraph" w:styleId="Footer">
    <w:name w:val="footer"/>
    <w:basedOn w:val="Normal"/>
    <w:link w:val="FooterChar"/>
    <w:uiPriority w:val="99"/>
    <w:rsid w:val="005C2DDB"/>
    <w:pPr>
      <w:tabs>
        <w:tab w:val="left" w:pos="1064"/>
        <w:tab w:val="center" w:pos="3828"/>
        <w:tab w:val="right" w:pos="7209"/>
      </w:tabs>
      <w:spacing w:line="240" w:lineRule="auto"/>
    </w:pPr>
  </w:style>
  <w:style w:type="character" w:customStyle="1" w:styleId="FooterChar">
    <w:name w:val="Footer Char"/>
    <w:basedOn w:val="DefaultParagraphFont"/>
    <w:link w:val="Footer"/>
    <w:uiPriority w:val="99"/>
    <w:rsid w:val="005C2DDB"/>
    <w:rPr>
      <w:color w:val="191919" w:themeColor="text2"/>
      <w:sz w:val="18"/>
    </w:rPr>
  </w:style>
  <w:style w:type="table" w:styleId="TableGrid">
    <w:name w:val="Table Grid"/>
    <w:basedOn w:val="TableNormal"/>
    <w:uiPriority w:val="59"/>
    <w:rsid w:val="00410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B34B1"/>
    <w:pPr>
      <w:spacing w:line="240" w:lineRule="auto"/>
    </w:pPr>
    <w:rPr>
      <w:rFonts w:ascii="Tahoma" w:hAnsi="Tahoma" w:cs="Tahoma"/>
    </w:rPr>
  </w:style>
  <w:style w:type="character" w:customStyle="1" w:styleId="BalloonTextChar">
    <w:name w:val="Balloon Text Char"/>
    <w:basedOn w:val="DefaultParagraphFont"/>
    <w:link w:val="BalloonText"/>
    <w:uiPriority w:val="99"/>
    <w:semiHidden/>
    <w:rsid w:val="002B34B1"/>
    <w:rPr>
      <w:rFonts w:ascii="Tahoma" w:hAnsi="Tahoma" w:cs="Tahoma"/>
    </w:rPr>
  </w:style>
  <w:style w:type="character" w:styleId="Hyperlink">
    <w:name w:val="Hyperlink"/>
    <w:basedOn w:val="DefaultParagraphFont"/>
    <w:uiPriority w:val="99"/>
    <w:rsid w:val="002A535D"/>
    <w:rPr>
      <w:color w:val="808080" w:themeColor="accent4"/>
      <w:u w:val="none"/>
    </w:rPr>
  </w:style>
  <w:style w:type="paragraph" w:styleId="Caption">
    <w:name w:val="caption"/>
    <w:basedOn w:val="Normal"/>
    <w:next w:val="Normal"/>
    <w:uiPriority w:val="35"/>
    <w:rsid w:val="00F6534E"/>
    <w:pPr>
      <w:spacing w:after="200" w:line="240" w:lineRule="auto"/>
    </w:pPr>
    <w:rPr>
      <w:rFonts w:ascii="Arial Narrow" w:hAnsi="Arial Narrow"/>
      <w:bCs/>
      <w:sz w:val="12"/>
    </w:rPr>
  </w:style>
  <w:style w:type="character" w:styleId="FollowedHyperlink">
    <w:name w:val="FollowedHyperlink"/>
    <w:basedOn w:val="DefaultParagraphFont"/>
    <w:uiPriority w:val="99"/>
    <w:rsid w:val="002A535D"/>
    <w:rPr>
      <w:color w:val="B2B2B2" w:themeColor="accent2"/>
      <w:u w:val="none"/>
    </w:rPr>
  </w:style>
  <w:style w:type="paragraph" w:styleId="BlockText">
    <w:name w:val="Block Text"/>
    <w:basedOn w:val="Salutation"/>
    <w:uiPriority w:val="99"/>
    <w:qFormat/>
    <w:rsid w:val="00AD620A"/>
    <w:pPr>
      <w:spacing w:after="260"/>
      <w:ind w:left="1077"/>
    </w:pPr>
    <w:rPr>
      <w:sz w:val="20"/>
    </w:rPr>
  </w:style>
  <w:style w:type="paragraph" w:customStyle="1" w:styleId="Default">
    <w:name w:val="Default"/>
    <w:rsid w:val="00D15600"/>
    <w:pPr>
      <w:widowControl w:val="0"/>
      <w:autoSpaceDE w:val="0"/>
      <w:autoSpaceDN w:val="0"/>
      <w:adjustRightInd w:val="0"/>
      <w:spacing w:line="240" w:lineRule="auto"/>
    </w:pPr>
    <w:rPr>
      <w:rFonts w:ascii="Times New Roman" w:hAnsi="Times New Roman" w:cs="Times New Roman"/>
      <w:color w:val="000000"/>
      <w:sz w:val="24"/>
      <w:szCs w:val="24"/>
      <w:lang w:eastAsia="sv-SE"/>
    </w:rPr>
  </w:style>
  <w:style w:type="character" w:styleId="CommentReference">
    <w:name w:val="annotation reference"/>
    <w:basedOn w:val="DefaultParagraphFont"/>
    <w:uiPriority w:val="99"/>
    <w:semiHidden/>
    <w:rsid w:val="00122FE4"/>
    <w:rPr>
      <w:sz w:val="16"/>
      <w:szCs w:val="16"/>
    </w:rPr>
  </w:style>
  <w:style w:type="paragraph" w:styleId="CommentText">
    <w:name w:val="annotation text"/>
    <w:basedOn w:val="Normal"/>
    <w:link w:val="CommentTextChar"/>
    <w:uiPriority w:val="99"/>
    <w:semiHidden/>
    <w:rsid w:val="00122FE4"/>
    <w:pPr>
      <w:spacing w:line="240" w:lineRule="auto"/>
    </w:pPr>
    <w:rPr>
      <w:sz w:val="20"/>
      <w:szCs w:val="20"/>
    </w:rPr>
  </w:style>
  <w:style w:type="character" w:customStyle="1" w:styleId="CommentTextChar">
    <w:name w:val="Comment Text Char"/>
    <w:basedOn w:val="DefaultParagraphFont"/>
    <w:link w:val="CommentText"/>
    <w:uiPriority w:val="99"/>
    <w:semiHidden/>
    <w:rsid w:val="00122FE4"/>
    <w:rPr>
      <w:sz w:val="20"/>
      <w:szCs w:val="20"/>
    </w:rPr>
  </w:style>
  <w:style w:type="paragraph" w:styleId="CommentSubject">
    <w:name w:val="annotation subject"/>
    <w:basedOn w:val="CommentText"/>
    <w:next w:val="CommentText"/>
    <w:link w:val="CommentSubjectChar"/>
    <w:uiPriority w:val="99"/>
    <w:semiHidden/>
    <w:rsid w:val="00122FE4"/>
    <w:rPr>
      <w:b/>
      <w:bCs/>
    </w:rPr>
  </w:style>
  <w:style w:type="character" w:customStyle="1" w:styleId="CommentSubjectChar">
    <w:name w:val="Comment Subject Char"/>
    <w:basedOn w:val="CommentTextChar"/>
    <w:link w:val="CommentSubject"/>
    <w:uiPriority w:val="99"/>
    <w:semiHidden/>
    <w:rsid w:val="00122FE4"/>
    <w:rPr>
      <w:b/>
      <w:bCs/>
      <w:sz w:val="20"/>
      <w:szCs w:val="20"/>
    </w:rPr>
  </w:style>
  <w:style w:type="paragraph" w:styleId="Revision">
    <w:name w:val="Revision"/>
    <w:hidden/>
    <w:uiPriority w:val="99"/>
    <w:semiHidden/>
    <w:rsid w:val="00022D50"/>
    <w:pPr>
      <w:spacing w:line="240" w:lineRule="auto"/>
    </w:pPr>
  </w:style>
  <w:style w:type="paragraph" w:styleId="EndnoteText">
    <w:name w:val="endnote text"/>
    <w:basedOn w:val="Normal"/>
    <w:link w:val="EndnoteTextChar"/>
    <w:uiPriority w:val="99"/>
    <w:semiHidden/>
    <w:rsid w:val="0062664C"/>
    <w:pPr>
      <w:spacing w:line="240" w:lineRule="auto"/>
    </w:pPr>
    <w:rPr>
      <w:sz w:val="20"/>
      <w:szCs w:val="20"/>
    </w:rPr>
  </w:style>
  <w:style w:type="character" w:customStyle="1" w:styleId="EndnoteTextChar">
    <w:name w:val="Endnote Text Char"/>
    <w:basedOn w:val="DefaultParagraphFont"/>
    <w:link w:val="EndnoteText"/>
    <w:uiPriority w:val="99"/>
    <w:semiHidden/>
    <w:rsid w:val="0062664C"/>
    <w:rPr>
      <w:sz w:val="20"/>
      <w:szCs w:val="20"/>
    </w:rPr>
  </w:style>
  <w:style w:type="character" w:styleId="EndnoteReference">
    <w:name w:val="endnote reference"/>
    <w:basedOn w:val="DefaultParagraphFont"/>
    <w:uiPriority w:val="99"/>
    <w:semiHidden/>
    <w:rsid w:val="0062664C"/>
    <w:rPr>
      <w:vertAlign w:val="superscript"/>
    </w:rPr>
  </w:style>
  <w:style w:type="paragraph" w:styleId="FootnoteText">
    <w:name w:val="footnote text"/>
    <w:basedOn w:val="Normal"/>
    <w:link w:val="FootnoteTextChar"/>
    <w:uiPriority w:val="99"/>
    <w:semiHidden/>
    <w:rsid w:val="0062664C"/>
    <w:pPr>
      <w:spacing w:line="240" w:lineRule="auto"/>
    </w:pPr>
    <w:rPr>
      <w:sz w:val="20"/>
      <w:szCs w:val="20"/>
    </w:rPr>
  </w:style>
  <w:style w:type="character" w:customStyle="1" w:styleId="FootnoteTextChar">
    <w:name w:val="Footnote Text Char"/>
    <w:basedOn w:val="DefaultParagraphFont"/>
    <w:link w:val="FootnoteText"/>
    <w:uiPriority w:val="99"/>
    <w:semiHidden/>
    <w:rsid w:val="0062664C"/>
    <w:rPr>
      <w:sz w:val="20"/>
      <w:szCs w:val="20"/>
    </w:rPr>
  </w:style>
  <w:style w:type="character" w:styleId="FootnoteReference">
    <w:name w:val="footnote reference"/>
    <w:basedOn w:val="DefaultParagraphFont"/>
    <w:uiPriority w:val="99"/>
    <w:semiHidden/>
    <w:rsid w:val="0062664C"/>
    <w:rPr>
      <w:vertAlign w:val="superscript"/>
    </w:rPr>
  </w:style>
  <w:style w:type="paragraph" w:styleId="PlainText">
    <w:name w:val="Plain Text"/>
    <w:basedOn w:val="Normal"/>
    <w:link w:val="PlainTextChar"/>
    <w:uiPriority w:val="99"/>
    <w:unhideWhenUsed/>
    <w:rsid w:val="00B1612E"/>
    <w:pPr>
      <w:spacing w:line="240" w:lineRule="auto"/>
    </w:pPr>
    <w:rPr>
      <w:rFonts w:ascii="Calibri" w:eastAsia="Times New Roman" w:hAnsi="Calibri" w:cs="Times New Roman"/>
      <w:sz w:val="22"/>
      <w:szCs w:val="21"/>
    </w:rPr>
  </w:style>
  <w:style w:type="character" w:customStyle="1" w:styleId="PlainTextChar">
    <w:name w:val="Plain Text Char"/>
    <w:basedOn w:val="DefaultParagraphFont"/>
    <w:link w:val="PlainText"/>
    <w:uiPriority w:val="99"/>
    <w:rsid w:val="00B1612E"/>
    <w:rPr>
      <w:rFonts w:ascii="Calibri" w:eastAsia="Times New Roman" w:hAnsi="Calibri" w:cs="Times New Roman"/>
      <w:sz w:val="22"/>
      <w:szCs w:val="21"/>
    </w:rPr>
  </w:style>
  <w:style w:type="paragraph" w:styleId="BodyText">
    <w:name w:val="Body Text"/>
    <w:basedOn w:val="Normal"/>
    <w:link w:val="BodyTextChar"/>
    <w:unhideWhenUsed/>
    <w:rsid w:val="00514509"/>
    <w:pPr>
      <w:spacing w:after="240" w:line="290" w:lineRule="atLeast"/>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51450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4916">
      <w:bodyDiv w:val="1"/>
      <w:marLeft w:val="0"/>
      <w:marRight w:val="0"/>
      <w:marTop w:val="0"/>
      <w:marBottom w:val="0"/>
      <w:divBdr>
        <w:top w:val="none" w:sz="0" w:space="0" w:color="auto"/>
        <w:left w:val="none" w:sz="0" w:space="0" w:color="auto"/>
        <w:bottom w:val="none" w:sz="0" w:space="0" w:color="auto"/>
        <w:right w:val="none" w:sz="0" w:space="0" w:color="auto"/>
      </w:divBdr>
    </w:div>
    <w:div w:id="83378626">
      <w:bodyDiv w:val="1"/>
      <w:marLeft w:val="0"/>
      <w:marRight w:val="0"/>
      <w:marTop w:val="0"/>
      <w:marBottom w:val="0"/>
      <w:divBdr>
        <w:top w:val="none" w:sz="0" w:space="0" w:color="auto"/>
        <w:left w:val="none" w:sz="0" w:space="0" w:color="auto"/>
        <w:bottom w:val="none" w:sz="0" w:space="0" w:color="auto"/>
        <w:right w:val="none" w:sz="0" w:space="0" w:color="auto"/>
      </w:divBdr>
    </w:div>
    <w:div w:id="159926611">
      <w:bodyDiv w:val="1"/>
      <w:marLeft w:val="0"/>
      <w:marRight w:val="0"/>
      <w:marTop w:val="0"/>
      <w:marBottom w:val="0"/>
      <w:divBdr>
        <w:top w:val="none" w:sz="0" w:space="0" w:color="auto"/>
        <w:left w:val="none" w:sz="0" w:space="0" w:color="auto"/>
        <w:bottom w:val="none" w:sz="0" w:space="0" w:color="auto"/>
        <w:right w:val="none" w:sz="0" w:space="0" w:color="auto"/>
      </w:divBdr>
    </w:div>
    <w:div w:id="294530791">
      <w:bodyDiv w:val="1"/>
      <w:marLeft w:val="0"/>
      <w:marRight w:val="0"/>
      <w:marTop w:val="0"/>
      <w:marBottom w:val="0"/>
      <w:divBdr>
        <w:top w:val="none" w:sz="0" w:space="0" w:color="auto"/>
        <w:left w:val="none" w:sz="0" w:space="0" w:color="auto"/>
        <w:bottom w:val="none" w:sz="0" w:space="0" w:color="auto"/>
        <w:right w:val="none" w:sz="0" w:space="0" w:color="auto"/>
      </w:divBdr>
    </w:div>
    <w:div w:id="336033646">
      <w:bodyDiv w:val="1"/>
      <w:marLeft w:val="0"/>
      <w:marRight w:val="0"/>
      <w:marTop w:val="0"/>
      <w:marBottom w:val="0"/>
      <w:divBdr>
        <w:top w:val="none" w:sz="0" w:space="0" w:color="auto"/>
        <w:left w:val="none" w:sz="0" w:space="0" w:color="auto"/>
        <w:bottom w:val="none" w:sz="0" w:space="0" w:color="auto"/>
        <w:right w:val="none" w:sz="0" w:space="0" w:color="auto"/>
      </w:divBdr>
    </w:div>
    <w:div w:id="346490703">
      <w:bodyDiv w:val="1"/>
      <w:marLeft w:val="0"/>
      <w:marRight w:val="0"/>
      <w:marTop w:val="0"/>
      <w:marBottom w:val="0"/>
      <w:divBdr>
        <w:top w:val="none" w:sz="0" w:space="0" w:color="auto"/>
        <w:left w:val="none" w:sz="0" w:space="0" w:color="auto"/>
        <w:bottom w:val="none" w:sz="0" w:space="0" w:color="auto"/>
        <w:right w:val="none" w:sz="0" w:space="0" w:color="auto"/>
      </w:divBdr>
    </w:div>
    <w:div w:id="348602879">
      <w:bodyDiv w:val="1"/>
      <w:marLeft w:val="0"/>
      <w:marRight w:val="0"/>
      <w:marTop w:val="0"/>
      <w:marBottom w:val="0"/>
      <w:divBdr>
        <w:top w:val="none" w:sz="0" w:space="0" w:color="auto"/>
        <w:left w:val="none" w:sz="0" w:space="0" w:color="auto"/>
        <w:bottom w:val="none" w:sz="0" w:space="0" w:color="auto"/>
        <w:right w:val="none" w:sz="0" w:space="0" w:color="auto"/>
      </w:divBdr>
    </w:div>
    <w:div w:id="413554431">
      <w:bodyDiv w:val="1"/>
      <w:marLeft w:val="0"/>
      <w:marRight w:val="0"/>
      <w:marTop w:val="0"/>
      <w:marBottom w:val="0"/>
      <w:divBdr>
        <w:top w:val="none" w:sz="0" w:space="0" w:color="auto"/>
        <w:left w:val="none" w:sz="0" w:space="0" w:color="auto"/>
        <w:bottom w:val="none" w:sz="0" w:space="0" w:color="auto"/>
        <w:right w:val="none" w:sz="0" w:space="0" w:color="auto"/>
      </w:divBdr>
    </w:div>
    <w:div w:id="414594878">
      <w:bodyDiv w:val="1"/>
      <w:marLeft w:val="0"/>
      <w:marRight w:val="0"/>
      <w:marTop w:val="0"/>
      <w:marBottom w:val="0"/>
      <w:divBdr>
        <w:top w:val="none" w:sz="0" w:space="0" w:color="auto"/>
        <w:left w:val="none" w:sz="0" w:space="0" w:color="auto"/>
        <w:bottom w:val="none" w:sz="0" w:space="0" w:color="auto"/>
        <w:right w:val="none" w:sz="0" w:space="0" w:color="auto"/>
      </w:divBdr>
    </w:div>
    <w:div w:id="590088051">
      <w:bodyDiv w:val="1"/>
      <w:marLeft w:val="0"/>
      <w:marRight w:val="0"/>
      <w:marTop w:val="0"/>
      <w:marBottom w:val="0"/>
      <w:divBdr>
        <w:top w:val="none" w:sz="0" w:space="0" w:color="auto"/>
        <w:left w:val="none" w:sz="0" w:space="0" w:color="auto"/>
        <w:bottom w:val="none" w:sz="0" w:space="0" w:color="auto"/>
        <w:right w:val="none" w:sz="0" w:space="0" w:color="auto"/>
      </w:divBdr>
    </w:div>
    <w:div w:id="664825555">
      <w:bodyDiv w:val="1"/>
      <w:marLeft w:val="0"/>
      <w:marRight w:val="0"/>
      <w:marTop w:val="0"/>
      <w:marBottom w:val="0"/>
      <w:divBdr>
        <w:top w:val="none" w:sz="0" w:space="0" w:color="auto"/>
        <w:left w:val="none" w:sz="0" w:space="0" w:color="auto"/>
        <w:bottom w:val="none" w:sz="0" w:space="0" w:color="auto"/>
        <w:right w:val="none" w:sz="0" w:space="0" w:color="auto"/>
      </w:divBdr>
    </w:div>
    <w:div w:id="667632895">
      <w:bodyDiv w:val="1"/>
      <w:marLeft w:val="0"/>
      <w:marRight w:val="0"/>
      <w:marTop w:val="0"/>
      <w:marBottom w:val="0"/>
      <w:divBdr>
        <w:top w:val="none" w:sz="0" w:space="0" w:color="auto"/>
        <w:left w:val="none" w:sz="0" w:space="0" w:color="auto"/>
        <w:bottom w:val="none" w:sz="0" w:space="0" w:color="auto"/>
        <w:right w:val="none" w:sz="0" w:space="0" w:color="auto"/>
      </w:divBdr>
    </w:div>
    <w:div w:id="669068807">
      <w:bodyDiv w:val="1"/>
      <w:marLeft w:val="0"/>
      <w:marRight w:val="0"/>
      <w:marTop w:val="0"/>
      <w:marBottom w:val="0"/>
      <w:divBdr>
        <w:top w:val="none" w:sz="0" w:space="0" w:color="auto"/>
        <w:left w:val="none" w:sz="0" w:space="0" w:color="auto"/>
        <w:bottom w:val="none" w:sz="0" w:space="0" w:color="auto"/>
        <w:right w:val="none" w:sz="0" w:space="0" w:color="auto"/>
      </w:divBdr>
    </w:div>
    <w:div w:id="723145050">
      <w:bodyDiv w:val="1"/>
      <w:marLeft w:val="0"/>
      <w:marRight w:val="0"/>
      <w:marTop w:val="0"/>
      <w:marBottom w:val="0"/>
      <w:divBdr>
        <w:top w:val="none" w:sz="0" w:space="0" w:color="auto"/>
        <w:left w:val="none" w:sz="0" w:space="0" w:color="auto"/>
        <w:bottom w:val="none" w:sz="0" w:space="0" w:color="auto"/>
        <w:right w:val="none" w:sz="0" w:space="0" w:color="auto"/>
      </w:divBdr>
    </w:div>
    <w:div w:id="763309636">
      <w:bodyDiv w:val="1"/>
      <w:marLeft w:val="0"/>
      <w:marRight w:val="0"/>
      <w:marTop w:val="0"/>
      <w:marBottom w:val="0"/>
      <w:divBdr>
        <w:top w:val="none" w:sz="0" w:space="0" w:color="auto"/>
        <w:left w:val="none" w:sz="0" w:space="0" w:color="auto"/>
        <w:bottom w:val="none" w:sz="0" w:space="0" w:color="auto"/>
        <w:right w:val="none" w:sz="0" w:space="0" w:color="auto"/>
      </w:divBdr>
    </w:div>
    <w:div w:id="774978557">
      <w:bodyDiv w:val="1"/>
      <w:marLeft w:val="0"/>
      <w:marRight w:val="0"/>
      <w:marTop w:val="0"/>
      <w:marBottom w:val="0"/>
      <w:divBdr>
        <w:top w:val="none" w:sz="0" w:space="0" w:color="auto"/>
        <w:left w:val="none" w:sz="0" w:space="0" w:color="auto"/>
        <w:bottom w:val="none" w:sz="0" w:space="0" w:color="auto"/>
        <w:right w:val="none" w:sz="0" w:space="0" w:color="auto"/>
      </w:divBdr>
    </w:div>
    <w:div w:id="937523298">
      <w:bodyDiv w:val="1"/>
      <w:marLeft w:val="0"/>
      <w:marRight w:val="0"/>
      <w:marTop w:val="0"/>
      <w:marBottom w:val="0"/>
      <w:divBdr>
        <w:top w:val="none" w:sz="0" w:space="0" w:color="auto"/>
        <w:left w:val="none" w:sz="0" w:space="0" w:color="auto"/>
        <w:bottom w:val="none" w:sz="0" w:space="0" w:color="auto"/>
        <w:right w:val="none" w:sz="0" w:space="0" w:color="auto"/>
      </w:divBdr>
    </w:div>
    <w:div w:id="1037658990">
      <w:bodyDiv w:val="1"/>
      <w:marLeft w:val="0"/>
      <w:marRight w:val="0"/>
      <w:marTop w:val="0"/>
      <w:marBottom w:val="0"/>
      <w:divBdr>
        <w:top w:val="none" w:sz="0" w:space="0" w:color="auto"/>
        <w:left w:val="none" w:sz="0" w:space="0" w:color="auto"/>
        <w:bottom w:val="none" w:sz="0" w:space="0" w:color="auto"/>
        <w:right w:val="none" w:sz="0" w:space="0" w:color="auto"/>
      </w:divBdr>
    </w:div>
    <w:div w:id="1110853826">
      <w:bodyDiv w:val="1"/>
      <w:marLeft w:val="0"/>
      <w:marRight w:val="0"/>
      <w:marTop w:val="0"/>
      <w:marBottom w:val="0"/>
      <w:divBdr>
        <w:top w:val="none" w:sz="0" w:space="0" w:color="auto"/>
        <w:left w:val="none" w:sz="0" w:space="0" w:color="auto"/>
        <w:bottom w:val="none" w:sz="0" w:space="0" w:color="auto"/>
        <w:right w:val="none" w:sz="0" w:space="0" w:color="auto"/>
      </w:divBdr>
    </w:div>
    <w:div w:id="1494488143">
      <w:bodyDiv w:val="1"/>
      <w:marLeft w:val="0"/>
      <w:marRight w:val="0"/>
      <w:marTop w:val="0"/>
      <w:marBottom w:val="0"/>
      <w:divBdr>
        <w:top w:val="none" w:sz="0" w:space="0" w:color="auto"/>
        <w:left w:val="none" w:sz="0" w:space="0" w:color="auto"/>
        <w:bottom w:val="none" w:sz="0" w:space="0" w:color="auto"/>
        <w:right w:val="none" w:sz="0" w:space="0" w:color="auto"/>
      </w:divBdr>
    </w:div>
    <w:div w:id="1681617785">
      <w:bodyDiv w:val="1"/>
      <w:marLeft w:val="0"/>
      <w:marRight w:val="0"/>
      <w:marTop w:val="0"/>
      <w:marBottom w:val="0"/>
      <w:divBdr>
        <w:top w:val="none" w:sz="0" w:space="0" w:color="auto"/>
        <w:left w:val="none" w:sz="0" w:space="0" w:color="auto"/>
        <w:bottom w:val="none" w:sz="0" w:space="0" w:color="auto"/>
        <w:right w:val="none" w:sz="0" w:space="0" w:color="auto"/>
      </w:divBdr>
    </w:div>
    <w:div w:id="1713340399">
      <w:bodyDiv w:val="1"/>
      <w:marLeft w:val="0"/>
      <w:marRight w:val="0"/>
      <w:marTop w:val="0"/>
      <w:marBottom w:val="0"/>
      <w:divBdr>
        <w:top w:val="none" w:sz="0" w:space="0" w:color="auto"/>
        <w:left w:val="none" w:sz="0" w:space="0" w:color="auto"/>
        <w:bottom w:val="none" w:sz="0" w:space="0" w:color="auto"/>
        <w:right w:val="none" w:sz="0" w:space="0" w:color="auto"/>
      </w:divBdr>
    </w:div>
    <w:div w:id="1737968194">
      <w:bodyDiv w:val="1"/>
      <w:marLeft w:val="0"/>
      <w:marRight w:val="0"/>
      <w:marTop w:val="0"/>
      <w:marBottom w:val="0"/>
      <w:divBdr>
        <w:top w:val="none" w:sz="0" w:space="0" w:color="auto"/>
        <w:left w:val="none" w:sz="0" w:space="0" w:color="auto"/>
        <w:bottom w:val="none" w:sz="0" w:space="0" w:color="auto"/>
        <w:right w:val="none" w:sz="0" w:space="0" w:color="auto"/>
      </w:divBdr>
    </w:div>
    <w:div w:id="1806897312">
      <w:bodyDiv w:val="1"/>
      <w:marLeft w:val="0"/>
      <w:marRight w:val="0"/>
      <w:marTop w:val="0"/>
      <w:marBottom w:val="0"/>
      <w:divBdr>
        <w:top w:val="none" w:sz="0" w:space="0" w:color="auto"/>
        <w:left w:val="none" w:sz="0" w:space="0" w:color="auto"/>
        <w:bottom w:val="none" w:sz="0" w:space="0" w:color="auto"/>
        <w:right w:val="none" w:sz="0" w:space="0" w:color="auto"/>
      </w:divBdr>
    </w:div>
    <w:div w:id="1840538834">
      <w:bodyDiv w:val="1"/>
      <w:marLeft w:val="0"/>
      <w:marRight w:val="0"/>
      <w:marTop w:val="0"/>
      <w:marBottom w:val="0"/>
      <w:divBdr>
        <w:top w:val="none" w:sz="0" w:space="0" w:color="auto"/>
        <w:left w:val="none" w:sz="0" w:space="0" w:color="auto"/>
        <w:bottom w:val="none" w:sz="0" w:space="0" w:color="auto"/>
        <w:right w:val="none" w:sz="0" w:space="0" w:color="auto"/>
      </w:divBdr>
    </w:div>
    <w:div w:id="185645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hyperlink" Target="http://www.orio.com" TargetMode="Externa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fontTable" Target="fontTable.xm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SAAB Automobile Parts">
      <a:dk1>
        <a:sysClr val="windowText" lastClr="000000"/>
      </a:dk1>
      <a:lt1>
        <a:sysClr val="window" lastClr="FFFFFF"/>
      </a:lt1>
      <a:dk2>
        <a:srgbClr val="191919"/>
      </a:dk2>
      <a:lt2>
        <a:srgbClr val="F8F8F8"/>
      </a:lt2>
      <a:accent1>
        <a:srgbClr val="C8C8C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AAB Automobile Parts">
      <a:majorFont>
        <a:latin typeface="Gill Sans for Saab"/>
        <a:ea typeface=""/>
        <a:cs typeface=""/>
      </a:majorFont>
      <a:minorFont>
        <a:latin typeface="Gill Sans for Saab"/>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D1D90-2EE7-4D41-9D5C-6A5C0151E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3097</Words>
  <Characters>16420</Characters>
  <Application>Microsoft Office Word</Application>
  <DocSecurity>0</DocSecurity>
  <Lines>136</Lines>
  <Paragraphs>38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19479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Anders Sjöberg</cp:lastModifiedBy>
  <cp:revision>2</cp:revision>
  <cp:lastPrinted>2015-10-28T06:40:00Z</cp:lastPrinted>
  <dcterms:created xsi:type="dcterms:W3CDTF">2015-10-28T07:58:00Z</dcterms:created>
  <dcterms:modified xsi:type="dcterms:W3CDTF">2015-10-28T07:58:00Z</dcterms:modified>
</cp:coreProperties>
</file>