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93C4"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4FC39195" w14:textId="77777777" w:rsidR="007A3A2F" w:rsidRDefault="007A3A2F" w:rsidP="007A3A2F">
      <w:pPr>
        <w:pStyle w:val="titel"/>
        <w:jc w:val="right"/>
        <w:rPr>
          <w:sz w:val="22"/>
          <w:szCs w:val="22"/>
        </w:rPr>
      </w:pPr>
    </w:p>
    <w:p w14:paraId="7E42A979" w14:textId="77777777" w:rsidR="002E7283" w:rsidRDefault="004B27AB" w:rsidP="002E7283">
      <w:pPr>
        <w:pStyle w:val="titel"/>
        <w:jc w:val="right"/>
        <w:rPr>
          <w:rFonts w:ascii="Titillium Lt" w:hAnsi="Titillium Lt" w:cs="Titillium Lt"/>
          <w:sz w:val="22"/>
          <w:szCs w:val="22"/>
        </w:rPr>
      </w:pPr>
      <w:r>
        <w:rPr>
          <w:sz w:val="22"/>
          <w:szCs w:val="22"/>
        </w:rPr>
        <w:tab/>
      </w:r>
      <w:r w:rsidR="002E7283">
        <w:rPr>
          <w:sz w:val="22"/>
          <w:szCs w:val="22"/>
        </w:rPr>
        <w:tab/>
        <w:t>Goetheanum, Dornach, Schweiz, 10. Juni 2026</w:t>
      </w:r>
    </w:p>
    <w:p w14:paraId="5E6C7F97" w14:textId="77777777" w:rsidR="002E7283" w:rsidRDefault="002E7283" w:rsidP="002E7283">
      <w:pPr>
        <w:pStyle w:val="titel"/>
        <w:rPr>
          <w:sz w:val="28"/>
          <w:szCs w:val="28"/>
        </w:rPr>
      </w:pPr>
    </w:p>
    <w:p w14:paraId="0367AEA2" w14:textId="77777777" w:rsidR="002E7283" w:rsidRPr="002E7283" w:rsidRDefault="002E7283" w:rsidP="002E7283">
      <w:pPr>
        <w:pStyle w:val="titel"/>
        <w:spacing w:before="57"/>
        <w:rPr>
          <w:b/>
          <w:bCs/>
          <w:sz w:val="28"/>
          <w:szCs w:val="28"/>
        </w:rPr>
      </w:pPr>
      <w:r w:rsidRPr="002E7283">
        <w:rPr>
          <w:b/>
          <w:bCs/>
          <w:sz w:val="28"/>
          <w:szCs w:val="28"/>
        </w:rPr>
        <w:t>«Gerade im Austausch entsteht Innovation»</w:t>
      </w:r>
    </w:p>
    <w:p w14:paraId="3BA32A1C" w14:textId="77777777" w:rsidR="002E7283" w:rsidRPr="002E7283" w:rsidRDefault="002E7283" w:rsidP="002E7283">
      <w:pPr>
        <w:pStyle w:val="titel"/>
        <w:spacing w:before="57"/>
        <w:rPr>
          <w:b/>
          <w:bCs/>
          <w:sz w:val="24"/>
          <w:szCs w:val="24"/>
        </w:rPr>
      </w:pPr>
      <w:r w:rsidRPr="002E7283">
        <w:rPr>
          <w:b/>
          <w:bCs/>
          <w:sz w:val="24"/>
          <w:szCs w:val="24"/>
        </w:rPr>
        <w:t>Neue Staffel des Podcasts ‹Living Farms› der Sektion für Landwirtschaft am Goetheanum</w:t>
      </w:r>
    </w:p>
    <w:p w14:paraId="7D9342EB" w14:textId="77777777" w:rsidR="002E7283" w:rsidRPr="002E7283" w:rsidRDefault="002E7283" w:rsidP="002E7283">
      <w:pPr>
        <w:pStyle w:val="body"/>
        <w:rPr>
          <w:b/>
          <w:bCs/>
        </w:rPr>
      </w:pPr>
    </w:p>
    <w:p w14:paraId="157B2DE8" w14:textId="77777777" w:rsidR="002E7283" w:rsidRPr="002E7283" w:rsidRDefault="002E7283" w:rsidP="002E7283">
      <w:pPr>
        <w:pStyle w:val="body"/>
        <w:rPr>
          <w:rFonts w:ascii="Titillium" w:hAnsi="Titillium" w:cs="Titillium"/>
          <w:b/>
          <w:bCs/>
          <w:spacing w:val="-1"/>
          <w:sz w:val="20"/>
          <w:szCs w:val="20"/>
        </w:rPr>
      </w:pPr>
      <w:r w:rsidRPr="002E7283">
        <w:rPr>
          <w:rFonts w:ascii="Titillium" w:hAnsi="Titillium" w:cs="Titillium"/>
          <w:b/>
          <w:bCs/>
          <w:spacing w:val="-1"/>
          <w:sz w:val="20"/>
          <w:szCs w:val="20"/>
        </w:rPr>
        <w:t>Eduardo Rincón, Co-Leiter der Sektion für Landwirtschaft, spricht im Podcast ‹Living Farms› monatlich mit internationalen Gästen. Im Dialog hinterfragen sie bestehende Paradigmen und denken neue Wege, um Landwirtschaft so weiterzuentwickeln, dass sie Leben – in all seinen Formen – fördert.</w:t>
      </w:r>
    </w:p>
    <w:p w14:paraId="319CCC6A" w14:textId="77777777" w:rsidR="002E7283" w:rsidRDefault="002E7283" w:rsidP="002E7283">
      <w:pPr>
        <w:pStyle w:val="body"/>
        <w:rPr>
          <w:rFonts w:ascii="Titillium" w:hAnsi="Titillium" w:cs="Titillium"/>
          <w:spacing w:val="1"/>
          <w:sz w:val="20"/>
          <w:szCs w:val="20"/>
        </w:rPr>
      </w:pPr>
    </w:p>
    <w:p w14:paraId="675ABBA6" w14:textId="77777777" w:rsidR="002E7283" w:rsidRDefault="002E7283" w:rsidP="002E7283">
      <w:pPr>
        <w:pStyle w:val="body"/>
        <w:rPr>
          <w:rFonts w:ascii="Titillium" w:hAnsi="Titillium" w:cs="Titillium"/>
          <w:spacing w:val="1"/>
          <w:sz w:val="20"/>
          <w:szCs w:val="20"/>
        </w:rPr>
      </w:pPr>
      <w:r>
        <w:rPr>
          <w:rFonts w:ascii="Titillium" w:hAnsi="Titillium" w:cs="Titillium"/>
          <w:spacing w:val="1"/>
          <w:sz w:val="20"/>
          <w:szCs w:val="20"/>
        </w:rPr>
        <w:t xml:space="preserve">Waldsterben und Waldrodungen im großen Stil sind das düstre Bild der Situation des Waldes. Die brasilianische Agronomin Natalia Muguet, Gast der ersten Folge der neuen Staffel ‹Biodynamik und ganzheitliche Agrarökologie› des Podcasts ‹Living Farms›, regeniert dagegen degradierte Landschaften und schafft produktive, vielfältige und stabile Systeme. Sie arbeitet mit mehrschichtigen Pflanzungen, gezieltem Schnitt und Aufbau von Biomasse. Dadurch werden Energieflüsse gelenkt und Bodenfruchtbarkeit aktiv gefördert. </w:t>
      </w:r>
    </w:p>
    <w:p w14:paraId="1EDDB18A" w14:textId="77777777" w:rsidR="002E7283" w:rsidRDefault="002E7283" w:rsidP="002E7283">
      <w:pPr>
        <w:pStyle w:val="body"/>
        <w:spacing w:before="113"/>
        <w:rPr>
          <w:rFonts w:ascii="Titillium" w:hAnsi="Titillium" w:cs="Titillium"/>
          <w:spacing w:val="1"/>
          <w:sz w:val="20"/>
          <w:szCs w:val="20"/>
        </w:rPr>
      </w:pPr>
      <w:r>
        <w:rPr>
          <w:rFonts w:ascii="Titillium" w:hAnsi="Titillium" w:cs="Titillium"/>
          <w:spacing w:val="1"/>
          <w:sz w:val="20"/>
          <w:szCs w:val="20"/>
        </w:rPr>
        <w:t xml:space="preserve">Durch gezielten Rückschnitt und das Belassen organischen Materials im System wird der Boden kontinuierlich aufgebaut. Statt Ressourcen zu entziehen, entstehen Kreisläufe, die sich selbst nähren und langfristig an Produktivität gewinnen. Dabei kommt Heil- und Nutzpflanzen eine besondere Aufgabe zu. Heilpflanzen fördern das Bodenleben, stabilisieren ökologische Prozesse und tragen zur Regeneration geschädigter Flächen bei. Pflanzen werden so nicht nur als Ertragsfaktor gesehen, sondern als aktive Mitgestalter eines lebendigen Systems. </w:t>
      </w:r>
    </w:p>
    <w:p w14:paraId="39F0B3A1" w14:textId="77777777" w:rsidR="002E7283" w:rsidRDefault="002E7283" w:rsidP="002E7283">
      <w:pPr>
        <w:pStyle w:val="body"/>
        <w:spacing w:before="113"/>
        <w:rPr>
          <w:rFonts w:ascii="Titillium" w:hAnsi="Titillium" w:cs="Titillium"/>
          <w:spacing w:val="1"/>
          <w:sz w:val="20"/>
          <w:szCs w:val="20"/>
        </w:rPr>
      </w:pPr>
      <w:r>
        <w:rPr>
          <w:rFonts w:ascii="Titillium" w:hAnsi="Titillium" w:cs="Titillium"/>
          <w:spacing w:val="1"/>
          <w:sz w:val="20"/>
          <w:szCs w:val="20"/>
        </w:rPr>
        <w:t>Eduardo Rincón sieht «ein wesentliches Zukunftspotenzial in der Verbindung biodynamischer Landwirtschaft mit anderen ganzheitlichen Ansätzen wie ökologischer Landbau, Permakultur und syntropische Landwirtschaft». Er ergänzt: «Innovation entsteht gerade im Austausch, durch gemeinsame Forschung, praktische Versuche und interdisziplinäre Zusammenarbeit. Unterschiedliche Perspektiven auf Boden, Pflanzen, Ökosysteme und den Menschen eröffnen neue Antworten auf die drängenden Herausforderungen unserer Zeit – von Klimawandel und Biodiversitätsverlust bis hin zu ökonomischem Druck.» In der zweiten Folge der neuen Staffel veranschaulicht der Gemüseanbauer Tom Saat von Stadsboerderij im niederländischen Almere, wie biodynamische Anbaumethoden regionale Herausforderungen in Chancen verwandeln kann.</w:t>
      </w:r>
    </w:p>
    <w:p w14:paraId="6227FFAD" w14:textId="77777777" w:rsidR="002E7283" w:rsidRDefault="002E7283" w:rsidP="002E7283">
      <w:pPr>
        <w:pStyle w:val="body"/>
        <w:spacing w:before="113"/>
        <w:rPr>
          <w:rFonts w:ascii="Titillium" w:hAnsi="Titillium" w:cs="Titillium"/>
          <w:spacing w:val="1"/>
          <w:sz w:val="20"/>
          <w:szCs w:val="20"/>
        </w:rPr>
      </w:pPr>
      <w:r>
        <w:rPr>
          <w:rFonts w:ascii="Titillium" w:hAnsi="Titillium" w:cs="Titillium"/>
          <w:spacing w:val="1"/>
          <w:sz w:val="20"/>
          <w:szCs w:val="20"/>
        </w:rPr>
        <w:t>Die Staffel ‹Biodynamik und ganzheitliche Agrarökologie› richtet sich an Fachleute und alle, die sich für ganzheitliche Agroökologie und zukunftsfähige Ernährungssysteme interessieren. Wer eine Vertiefung wünscht, kann sich beim ‹Biodynamic Network› anmelden und dort die Inhalte mit anderen reflektieren und weiterdenken.</w:t>
      </w:r>
    </w:p>
    <w:p w14:paraId="33888809" w14:textId="2B5FB500" w:rsidR="002E7283" w:rsidRDefault="002E7283" w:rsidP="002E7283">
      <w:pPr>
        <w:pStyle w:val="body"/>
        <w:jc w:val="right"/>
        <w:rPr>
          <w:rFonts w:ascii="Titillium" w:hAnsi="Titillium" w:cs="Titillium"/>
          <w:sz w:val="20"/>
          <w:szCs w:val="20"/>
        </w:rPr>
      </w:pPr>
      <w:r>
        <w:rPr>
          <w:rFonts w:ascii="Titillium" w:hAnsi="Titillium" w:cs="Titillium"/>
          <w:sz w:val="20"/>
          <w:szCs w:val="20"/>
        </w:rPr>
        <w:t>(246</w:t>
      </w:r>
      <w:r w:rsidR="00CE7203">
        <w:rPr>
          <w:rFonts w:ascii="Titillium" w:hAnsi="Titillium" w:cs="Titillium"/>
          <w:sz w:val="20"/>
          <w:szCs w:val="20"/>
        </w:rPr>
        <w:t>5</w:t>
      </w:r>
      <w:r>
        <w:rPr>
          <w:rFonts w:ascii="Titillium" w:hAnsi="Titillium" w:cs="Titillium"/>
          <w:sz w:val="20"/>
          <w:szCs w:val="20"/>
        </w:rPr>
        <w:t xml:space="preserve"> Zeichen/Sebastian Jüngel)</w:t>
      </w:r>
    </w:p>
    <w:p w14:paraId="17D7823C" w14:textId="77777777" w:rsidR="002E7283" w:rsidRDefault="002E7283" w:rsidP="002E7283">
      <w:pPr>
        <w:pStyle w:val="body"/>
        <w:spacing w:before="57"/>
        <w:rPr>
          <w:rFonts w:ascii="Titillium" w:hAnsi="Titillium" w:cs="Titillium"/>
          <w:spacing w:val="1"/>
          <w:sz w:val="20"/>
          <w:szCs w:val="20"/>
        </w:rPr>
      </w:pPr>
      <w:r>
        <w:rPr>
          <w:rFonts w:ascii="Titillium Bd" w:hAnsi="Titillium Bd" w:cs="Titillium Bd"/>
          <w:b/>
          <w:bCs/>
          <w:spacing w:val="1"/>
          <w:sz w:val="20"/>
          <w:szCs w:val="20"/>
        </w:rPr>
        <w:t xml:space="preserve">Podcast ‹Living Farms› (Englisch) </w:t>
      </w:r>
      <w:r>
        <w:rPr>
          <w:rFonts w:ascii="Titillium Bd" w:hAnsi="Titillium Bd" w:cs="Titillium Bd"/>
          <w:b/>
          <w:bCs/>
          <w:spacing w:val="1"/>
          <w:sz w:val="20"/>
          <w:szCs w:val="20"/>
        </w:rPr>
        <w:br/>
      </w:r>
      <w:r>
        <w:rPr>
          <w:rFonts w:ascii="Titillium" w:hAnsi="Titillium" w:cs="Titillium"/>
          <w:spacing w:val="1"/>
          <w:sz w:val="20"/>
          <w:szCs w:val="20"/>
        </w:rPr>
        <w:t>www.sektion-landwirtschaft.org/en/living-farms/podcasts</w:t>
      </w:r>
    </w:p>
    <w:p w14:paraId="41ABFDC8" w14:textId="77777777" w:rsidR="002E7283" w:rsidRDefault="002E7283" w:rsidP="002E7283">
      <w:pPr>
        <w:pStyle w:val="body"/>
        <w:spacing w:before="57"/>
        <w:rPr>
          <w:rFonts w:ascii="Titillium Bd" w:hAnsi="Titillium Bd" w:cs="Titillium Bd"/>
          <w:b/>
          <w:bCs/>
          <w:sz w:val="20"/>
          <w:szCs w:val="20"/>
        </w:rPr>
      </w:pPr>
      <w:r>
        <w:rPr>
          <w:rFonts w:ascii="Titillium Bd" w:hAnsi="Titillium Bd" w:cs="Titillium Bd"/>
          <w:b/>
          <w:bCs/>
          <w:spacing w:val="1"/>
          <w:sz w:val="20"/>
          <w:szCs w:val="20"/>
        </w:rPr>
        <w:t>Biodynamic Network für Mitglieder der biodynamischen Bewegung</w:t>
      </w:r>
      <w:r>
        <w:rPr>
          <w:rFonts w:ascii="Titillium" w:hAnsi="Titillium" w:cs="Titillium"/>
          <w:spacing w:val="1"/>
          <w:sz w:val="20"/>
          <w:szCs w:val="20"/>
        </w:rPr>
        <w:t xml:space="preserve"> </w:t>
      </w:r>
      <w:r>
        <w:rPr>
          <w:rFonts w:ascii="Titillium" w:hAnsi="Titillium" w:cs="Titillium"/>
          <w:spacing w:val="1"/>
          <w:sz w:val="20"/>
          <w:szCs w:val="20"/>
        </w:rPr>
        <w:br/>
        <w:t>community.sektion-landwirtschaft.org</w:t>
      </w:r>
    </w:p>
    <w:p w14:paraId="7E33AE28" w14:textId="77777777" w:rsidR="002E7283" w:rsidRDefault="002E7283" w:rsidP="002E7283">
      <w:pPr>
        <w:pStyle w:val="body"/>
        <w:spacing w:before="113"/>
        <w:rPr>
          <w:rFonts w:ascii="Titillium" w:hAnsi="Titillium" w:cs="Titillium"/>
          <w:spacing w:val="1"/>
          <w:sz w:val="20"/>
          <w:szCs w:val="20"/>
        </w:rPr>
      </w:pPr>
      <w:r>
        <w:rPr>
          <w:rFonts w:ascii="Titillium Bd" w:hAnsi="Titillium Bd" w:cs="Titillium Bd"/>
          <w:b/>
          <w:bCs/>
          <w:sz w:val="20"/>
          <w:szCs w:val="20"/>
        </w:rPr>
        <w:t xml:space="preserve">Ansprechpartnerin </w:t>
      </w:r>
      <w:r>
        <w:rPr>
          <w:rFonts w:ascii="Titillium" w:hAnsi="Titillium" w:cs="Titillium"/>
          <w:spacing w:val="1"/>
          <w:sz w:val="20"/>
          <w:szCs w:val="20"/>
        </w:rPr>
        <w:t>Anna Storchenegger, anna.storchenegger@goetheanum.ch</w:t>
      </w:r>
    </w:p>
    <w:p w14:paraId="1CB4D0A1" w14:textId="1FAD1FD5" w:rsidR="006E7E7B" w:rsidRDefault="006E7E7B" w:rsidP="002E7283">
      <w:pPr>
        <w:pStyle w:val="titel"/>
        <w:jc w:val="right"/>
      </w:pP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E7283"/>
    <w:rsid w:val="004B27AB"/>
    <w:rsid w:val="006E7E7B"/>
    <w:rsid w:val="006F57DB"/>
    <w:rsid w:val="007A3A2F"/>
    <w:rsid w:val="00B90BB3"/>
    <w:rsid w:val="00CE7203"/>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C60C23E"/>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2563</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2026-06-10T15:18:00Z</dcterms:modified>
</cp:coreProperties>
</file>