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F6D12" w14:textId="3E901224" w:rsidR="00605748" w:rsidRPr="00311FFF" w:rsidRDefault="00766A1F" w:rsidP="00605748">
      <w:pPr>
        <w:pStyle w:val="TableHeading"/>
        <w:rPr>
          <w:rFonts w:ascii="Open Sans" w:hAnsi="Open Sans" w:hint="eastAsia"/>
          <w:b/>
          <w:bCs w:val="0"/>
          <w:color w:val="auto"/>
          <w:szCs w:val="24"/>
          <w:lang w:val="en-SG"/>
        </w:rPr>
      </w:pPr>
      <w:r w:rsidRPr="00311FFF">
        <w:rPr>
          <w:rFonts w:ascii="Open Sans" w:hAnsi="Open Sans"/>
          <w:b/>
          <w:bCs w:val="0"/>
          <w:color w:val="auto"/>
          <w:szCs w:val="24"/>
          <w:lang w:val="en-SG"/>
        </w:rPr>
        <w:t xml:space="preserve">Explore Southeast Asia’s nutraceuticals market at </w:t>
      </w:r>
      <w:r w:rsidR="00605748" w:rsidRPr="00311FFF">
        <w:rPr>
          <w:rFonts w:ascii="Open Sans" w:hAnsi="Open Sans"/>
          <w:b/>
          <w:bCs w:val="0"/>
          <w:color w:val="auto"/>
          <w:szCs w:val="24"/>
          <w:lang w:val="en-SG"/>
        </w:rPr>
        <w:t xml:space="preserve">Vitafoods Asia 2019 </w:t>
      </w:r>
    </w:p>
    <w:p w14:paraId="46710D31" w14:textId="77777777" w:rsidR="00605748" w:rsidRPr="00311FFF" w:rsidRDefault="00605748" w:rsidP="00605748">
      <w:pPr>
        <w:spacing w:after="0"/>
        <w:rPr>
          <w:rFonts w:ascii="Open Sans" w:hAnsi="Open Sans" w:hint="eastAsia"/>
          <w:sz w:val="22"/>
          <w:szCs w:val="22"/>
          <w:lang w:val="en-SG"/>
        </w:rPr>
      </w:pPr>
    </w:p>
    <w:p w14:paraId="00781D95" w14:textId="348F52FE" w:rsidR="008F53C9" w:rsidRPr="00311FFF" w:rsidRDefault="00856133" w:rsidP="00766A1F">
      <w:pPr>
        <w:spacing w:after="0"/>
        <w:rPr>
          <w:rFonts w:ascii="Open Sans" w:hAnsi="Open Sans" w:hint="eastAsia"/>
          <w:sz w:val="22"/>
          <w:szCs w:val="22"/>
          <w:lang w:val="en-SG"/>
        </w:rPr>
      </w:pPr>
      <w:r>
        <w:rPr>
          <w:rFonts w:ascii="Open Sans" w:hAnsi="Open Sans"/>
          <w:b/>
          <w:bCs/>
          <w:sz w:val="22"/>
          <w:szCs w:val="22"/>
          <w:lang w:val="en-SG"/>
        </w:rPr>
        <w:t>1</w:t>
      </w:r>
      <w:r w:rsidR="00D40D43">
        <w:rPr>
          <w:rFonts w:ascii="Open Sans" w:hAnsi="Open Sans"/>
          <w:b/>
          <w:bCs/>
          <w:sz w:val="22"/>
          <w:szCs w:val="22"/>
          <w:lang w:val="en-SG"/>
        </w:rPr>
        <w:t>6</w:t>
      </w:r>
      <w:r w:rsidR="00311FFF">
        <w:rPr>
          <w:rFonts w:ascii="Open Sans" w:hAnsi="Open Sans"/>
          <w:b/>
          <w:bCs/>
          <w:sz w:val="22"/>
          <w:szCs w:val="22"/>
          <w:lang w:val="en-SG"/>
        </w:rPr>
        <w:t xml:space="preserve"> September</w:t>
      </w:r>
      <w:r w:rsidR="00605748" w:rsidRPr="00311FFF">
        <w:rPr>
          <w:rFonts w:ascii="Open Sans" w:hAnsi="Open Sans"/>
          <w:b/>
          <w:bCs/>
          <w:sz w:val="22"/>
          <w:szCs w:val="22"/>
          <w:lang w:val="en-SG"/>
        </w:rPr>
        <w:t xml:space="preserve"> 2019, SINGAPORE</w:t>
      </w:r>
      <w:r w:rsidR="00605748" w:rsidRPr="00311FFF">
        <w:rPr>
          <w:rFonts w:ascii="Open Sans" w:hAnsi="Open Sans"/>
          <w:sz w:val="22"/>
          <w:szCs w:val="22"/>
          <w:lang w:val="en-SG"/>
        </w:rPr>
        <w:t xml:space="preserve"> –</w:t>
      </w:r>
      <w:r w:rsidR="000263C3" w:rsidRPr="00311FFF">
        <w:rPr>
          <w:rFonts w:ascii="Open Sans" w:hAnsi="Open Sans"/>
          <w:sz w:val="22"/>
          <w:szCs w:val="22"/>
          <w:lang w:val="en-SG"/>
        </w:rPr>
        <w:t xml:space="preserve"> B</w:t>
      </w:r>
      <w:r w:rsidR="00766A1F" w:rsidRPr="00311FFF">
        <w:rPr>
          <w:rFonts w:ascii="Open Sans" w:hAnsi="Open Sans"/>
          <w:sz w:val="22"/>
          <w:szCs w:val="22"/>
          <w:lang w:val="en-SG"/>
        </w:rPr>
        <w:t xml:space="preserve">uyers and </w:t>
      </w:r>
      <w:r w:rsidR="000263C3" w:rsidRPr="00311FFF">
        <w:rPr>
          <w:rFonts w:ascii="Open Sans" w:hAnsi="Open Sans"/>
          <w:sz w:val="22"/>
          <w:szCs w:val="22"/>
          <w:lang w:val="en-SG"/>
        </w:rPr>
        <w:t>distributors of</w:t>
      </w:r>
      <w:r w:rsidR="00766A1F" w:rsidRPr="00311FFF">
        <w:rPr>
          <w:rFonts w:ascii="Open Sans" w:hAnsi="Open Sans"/>
          <w:sz w:val="22"/>
          <w:szCs w:val="22"/>
          <w:lang w:val="en-SG"/>
        </w:rPr>
        <w:t xml:space="preserve"> nutraceuticals </w:t>
      </w:r>
      <w:r w:rsidR="000263C3" w:rsidRPr="00311FFF">
        <w:rPr>
          <w:rFonts w:ascii="Open Sans" w:hAnsi="Open Sans"/>
          <w:sz w:val="22"/>
          <w:szCs w:val="22"/>
          <w:lang w:val="en-SG"/>
        </w:rPr>
        <w:t xml:space="preserve">interested in Southeast Asian markets, should </w:t>
      </w:r>
      <w:r w:rsidR="00766A1F" w:rsidRPr="00311FFF">
        <w:rPr>
          <w:rFonts w:ascii="Open Sans" w:hAnsi="Open Sans"/>
          <w:sz w:val="22"/>
          <w:szCs w:val="22"/>
          <w:lang w:val="en-SG"/>
        </w:rPr>
        <w:t xml:space="preserve">attend </w:t>
      </w:r>
      <w:hyperlink r:id="rId8" w:history="1">
        <w:r w:rsidR="000263C3" w:rsidRPr="00311FFF">
          <w:rPr>
            <w:rStyle w:val="Hyperlink"/>
            <w:rFonts w:ascii="Open Sans" w:hAnsi="Open Sans"/>
            <w:sz w:val="22"/>
            <w:szCs w:val="22"/>
            <w:lang w:val="en-SG"/>
          </w:rPr>
          <w:t>Vitafoods Asia 2019</w:t>
        </w:r>
      </w:hyperlink>
      <w:r w:rsidR="000263C3" w:rsidRPr="00311FFF">
        <w:rPr>
          <w:rFonts w:ascii="Open Sans" w:hAnsi="Open Sans"/>
          <w:sz w:val="22"/>
          <w:szCs w:val="22"/>
          <w:lang w:val="en-SG"/>
        </w:rPr>
        <w:t xml:space="preserve"> </w:t>
      </w:r>
      <w:r w:rsidR="00766A1F" w:rsidRPr="00311FFF">
        <w:rPr>
          <w:rFonts w:ascii="Open Sans" w:hAnsi="Open Sans"/>
          <w:sz w:val="22"/>
          <w:szCs w:val="22"/>
          <w:lang w:val="en-SG"/>
        </w:rPr>
        <w:t xml:space="preserve">to </w:t>
      </w:r>
      <w:r w:rsidR="000263C3" w:rsidRPr="00311FFF">
        <w:rPr>
          <w:rFonts w:ascii="Open Sans" w:hAnsi="Open Sans"/>
          <w:sz w:val="22"/>
          <w:szCs w:val="22"/>
          <w:lang w:val="en-SG"/>
        </w:rPr>
        <w:t xml:space="preserve">obtain </w:t>
      </w:r>
      <w:r w:rsidR="00766A1F" w:rsidRPr="00311FFF">
        <w:rPr>
          <w:rFonts w:ascii="Open Sans" w:hAnsi="Open Sans"/>
          <w:sz w:val="22"/>
          <w:szCs w:val="22"/>
          <w:lang w:val="en-SG"/>
        </w:rPr>
        <w:t>formative insights into the</w:t>
      </w:r>
      <w:r w:rsidR="000263C3" w:rsidRPr="00311FFF">
        <w:rPr>
          <w:rFonts w:ascii="Open Sans" w:hAnsi="Open Sans"/>
          <w:sz w:val="22"/>
          <w:szCs w:val="22"/>
          <w:lang w:val="en-SG"/>
        </w:rPr>
        <w:t xml:space="preserve"> trends, regulations, and market entry requirements of the region’s </w:t>
      </w:r>
      <w:r w:rsidR="00766A1F" w:rsidRPr="00311FFF">
        <w:rPr>
          <w:rFonts w:ascii="Open Sans" w:hAnsi="Open Sans"/>
          <w:sz w:val="22"/>
          <w:szCs w:val="22"/>
          <w:lang w:val="en-SG"/>
        </w:rPr>
        <w:t>market</w:t>
      </w:r>
      <w:r w:rsidR="000263C3" w:rsidRPr="00311FFF">
        <w:rPr>
          <w:rFonts w:ascii="Open Sans" w:hAnsi="Open Sans"/>
          <w:sz w:val="22"/>
          <w:szCs w:val="22"/>
          <w:lang w:val="en-SG"/>
        </w:rPr>
        <w:t>s</w:t>
      </w:r>
      <w:r w:rsidR="00766A1F" w:rsidRPr="00311FFF">
        <w:rPr>
          <w:rFonts w:ascii="Open Sans" w:hAnsi="Open Sans"/>
          <w:sz w:val="22"/>
          <w:szCs w:val="22"/>
          <w:lang w:val="en-SG"/>
        </w:rPr>
        <w:t xml:space="preserve">. </w:t>
      </w:r>
      <w:r w:rsidR="000263C3" w:rsidRPr="00311FFF">
        <w:rPr>
          <w:rFonts w:ascii="Open Sans" w:hAnsi="Open Sans"/>
          <w:sz w:val="22"/>
          <w:szCs w:val="22"/>
          <w:lang w:val="en-SG"/>
        </w:rPr>
        <w:t>An</w:t>
      </w:r>
      <w:r w:rsidR="008F53C9" w:rsidRPr="00311FFF">
        <w:rPr>
          <w:rFonts w:ascii="Open Sans" w:hAnsi="Open Sans"/>
          <w:sz w:val="22"/>
          <w:szCs w:val="22"/>
          <w:lang w:val="en-SG"/>
        </w:rPr>
        <w:t xml:space="preserve"> </w:t>
      </w:r>
      <w:r w:rsidR="008F3161" w:rsidRPr="00311FFF">
        <w:rPr>
          <w:rFonts w:ascii="Open Sans" w:hAnsi="Open Sans"/>
          <w:sz w:val="22"/>
          <w:szCs w:val="22"/>
          <w:lang w:val="en-SG"/>
        </w:rPr>
        <w:t>event</w:t>
      </w:r>
      <w:r w:rsidR="008F53C9" w:rsidRPr="00311FFF">
        <w:rPr>
          <w:rFonts w:ascii="Open Sans" w:hAnsi="Open Sans"/>
          <w:sz w:val="22"/>
          <w:szCs w:val="22"/>
          <w:lang w:val="en-SG"/>
        </w:rPr>
        <w:t xml:space="preserve"> partner</w:t>
      </w:r>
      <w:r w:rsidR="000263C3" w:rsidRPr="00311FFF">
        <w:rPr>
          <w:rFonts w:ascii="Open Sans" w:hAnsi="Open Sans"/>
          <w:sz w:val="22"/>
          <w:szCs w:val="22"/>
          <w:lang w:val="en-SG"/>
        </w:rPr>
        <w:t xml:space="preserve"> for </w:t>
      </w:r>
      <w:hyperlink r:id="rId9" w:history="1">
        <w:r w:rsidR="000263C3" w:rsidRPr="00311FFF">
          <w:rPr>
            <w:rStyle w:val="Hyperlink"/>
            <w:rFonts w:ascii="Open Sans" w:hAnsi="Open Sans"/>
            <w:sz w:val="22"/>
            <w:szCs w:val="22"/>
            <w:lang w:val="en-SG"/>
          </w:rPr>
          <w:t>Vitafoods Asia 2019</w:t>
        </w:r>
      </w:hyperlink>
      <w:r w:rsidR="008F53C9" w:rsidRPr="00311FFF">
        <w:rPr>
          <w:rFonts w:ascii="Open Sans" w:hAnsi="Open Sans"/>
          <w:sz w:val="22"/>
          <w:szCs w:val="22"/>
          <w:lang w:val="en-SG"/>
        </w:rPr>
        <w:t xml:space="preserve"> is </w:t>
      </w:r>
      <w:r w:rsidR="00766A1F" w:rsidRPr="00311FFF">
        <w:rPr>
          <w:rFonts w:ascii="Open Sans" w:hAnsi="Open Sans"/>
          <w:sz w:val="22"/>
          <w:szCs w:val="22"/>
          <w:lang w:val="en-SG"/>
        </w:rPr>
        <w:t xml:space="preserve">Mintel, </w:t>
      </w:r>
      <w:r w:rsidR="008F53C9" w:rsidRPr="00311FFF">
        <w:rPr>
          <w:rFonts w:ascii="Open Sans" w:hAnsi="Open Sans"/>
          <w:sz w:val="22"/>
          <w:szCs w:val="22"/>
          <w:lang w:val="en-SG"/>
        </w:rPr>
        <w:t>who</w:t>
      </w:r>
      <w:r w:rsidR="00766A1F" w:rsidRPr="00311FFF">
        <w:rPr>
          <w:rFonts w:ascii="Open Sans" w:hAnsi="Open Sans"/>
          <w:sz w:val="22"/>
          <w:szCs w:val="22"/>
          <w:lang w:val="en-SG"/>
        </w:rPr>
        <w:t xml:space="preserve"> recently released </w:t>
      </w:r>
      <w:r w:rsidR="002F4FD3" w:rsidRPr="00311FFF">
        <w:rPr>
          <w:rFonts w:ascii="Open Sans" w:hAnsi="Open Sans"/>
          <w:sz w:val="22"/>
          <w:szCs w:val="22"/>
          <w:lang w:val="en-SG"/>
        </w:rPr>
        <w:t xml:space="preserve">the </w:t>
      </w:r>
      <w:hyperlink r:id="rId10" w:history="1">
        <w:r w:rsidR="002F4FD3" w:rsidRPr="00311FFF">
          <w:rPr>
            <w:rStyle w:val="Hyperlink"/>
            <w:rFonts w:ascii="Open Sans" w:hAnsi="Open Sans"/>
            <w:sz w:val="22"/>
            <w:szCs w:val="22"/>
            <w:lang w:val="en-SG"/>
          </w:rPr>
          <w:t>Mintel APAC Food and Drink Landscape 2019</w:t>
        </w:r>
      </w:hyperlink>
      <w:r w:rsidR="00766A1F" w:rsidRPr="00311FFF">
        <w:rPr>
          <w:rFonts w:ascii="Open Sans" w:hAnsi="Open Sans"/>
          <w:sz w:val="22"/>
          <w:szCs w:val="22"/>
          <w:lang w:val="en-SG"/>
        </w:rPr>
        <w:t xml:space="preserve"> </w:t>
      </w:r>
      <w:r w:rsidR="008F53C9" w:rsidRPr="00311FFF">
        <w:rPr>
          <w:rFonts w:ascii="Open Sans" w:hAnsi="Open Sans"/>
          <w:sz w:val="22"/>
          <w:szCs w:val="22"/>
          <w:lang w:val="en-SG"/>
        </w:rPr>
        <w:t xml:space="preserve">report. </w:t>
      </w:r>
    </w:p>
    <w:p w14:paraId="579F877E" w14:textId="77777777" w:rsidR="008F53C9" w:rsidRPr="00311FFF" w:rsidRDefault="008F53C9" w:rsidP="00766A1F">
      <w:pPr>
        <w:spacing w:after="0"/>
        <w:rPr>
          <w:rFonts w:ascii="Open Sans" w:hAnsi="Open Sans" w:hint="eastAsia"/>
          <w:sz w:val="22"/>
          <w:szCs w:val="22"/>
          <w:lang w:val="en-SG"/>
        </w:rPr>
      </w:pPr>
    </w:p>
    <w:p w14:paraId="4B85A2FC" w14:textId="4420A1FB" w:rsidR="008F53C9" w:rsidRPr="00311FFF" w:rsidRDefault="008F53C9" w:rsidP="00766A1F">
      <w:pPr>
        <w:spacing w:after="0"/>
        <w:rPr>
          <w:rFonts w:ascii="Open Sans" w:hAnsi="Open Sans" w:hint="eastAsia"/>
          <w:sz w:val="22"/>
          <w:szCs w:val="22"/>
          <w:lang w:val="en-SG"/>
        </w:rPr>
      </w:pPr>
      <w:r w:rsidRPr="00311FFF">
        <w:rPr>
          <w:rFonts w:ascii="Open Sans" w:hAnsi="Open Sans"/>
          <w:sz w:val="22"/>
          <w:szCs w:val="22"/>
          <w:lang w:val="en-SG"/>
        </w:rPr>
        <w:t>Some current nutrition trends in Southeast Asia are described as follows.</w:t>
      </w:r>
    </w:p>
    <w:p w14:paraId="6C8672A3" w14:textId="32F2E14B" w:rsidR="008F53C9" w:rsidRPr="00311FFF" w:rsidRDefault="008F53C9" w:rsidP="00766A1F">
      <w:pPr>
        <w:spacing w:after="0"/>
        <w:rPr>
          <w:rFonts w:ascii="Open Sans" w:hAnsi="Open Sans" w:hint="eastAsia"/>
          <w:sz w:val="22"/>
          <w:szCs w:val="22"/>
          <w:lang w:val="en-SG"/>
        </w:rPr>
      </w:pPr>
    </w:p>
    <w:p w14:paraId="2AB9BC2F" w14:textId="50B17702" w:rsidR="008F53C9" w:rsidRPr="00311FFF" w:rsidRDefault="008F53C9" w:rsidP="00766A1F">
      <w:pPr>
        <w:spacing w:after="0"/>
        <w:rPr>
          <w:rFonts w:ascii="Open Sans" w:hAnsi="Open Sans" w:hint="eastAsia"/>
          <w:b/>
          <w:bCs/>
          <w:sz w:val="22"/>
          <w:szCs w:val="22"/>
          <w:lang w:val="en-SG"/>
        </w:rPr>
      </w:pPr>
      <w:r w:rsidRPr="00311FFF">
        <w:rPr>
          <w:rFonts w:ascii="Open Sans" w:hAnsi="Open Sans"/>
          <w:b/>
          <w:bCs/>
          <w:sz w:val="22"/>
          <w:szCs w:val="22"/>
          <w:lang w:val="en-SG"/>
        </w:rPr>
        <w:t>Sodium reduction</w:t>
      </w:r>
    </w:p>
    <w:p w14:paraId="432F7400" w14:textId="77777777" w:rsidR="00DC4C7A" w:rsidRPr="00311FFF" w:rsidRDefault="00DC4C7A" w:rsidP="00766A1F">
      <w:pPr>
        <w:spacing w:after="0"/>
        <w:rPr>
          <w:rFonts w:ascii="Open Sans" w:hAnsi="Open Sans" w:hint="eastAsia"/>
          <w:b/>
          <w:bCs/>
          <w:sz w:val="22"/>
          <w:szCs w:val="22"/>
          <w:lang w:val="en-SG"/>
        </w:rPr>
      </w:pPr>
    </w:p>
    <w:p w14:paraId="2FE46F1C" w14:textId="4140265C" w:rsidR="008F53C9" w:rsidRPr="00311FFF" w:rsidRDefault="008F53C9" w:rsidP="008F53C9">
      <w:pPr>
        <w:spacing w:after="0"/>
        <w:rPr>
          <w:rFonts w:ascii="Open Sans" w:hAnsi="Open Sans" w:hint="eastAsia"/>
          <w:sz w:val="22"/>
          <w:szCs w:val="22"/>
          <w:lang w:val="en-SG"/>
        </w:rPr>
      </w:pPr>
      <w:r w:rsidRPr="00311FFF">
        <w:rPr>
          <w:rFonts w:ascii="Open Sans" w:hAnsi="Open Sans"/>
          <w:sz w:val="22"/>
          <w:szCs w:val="22"/>
          <w:lang w:val="en-SG"/>
        </w:rPr>
        <w:t>Southeast Asia is home to a higher-than-average death rate attributed to a high-sodium diet. C</w:t>
      </w:r>
      <w:r w:rsidR="00766A1F" w:rsidRPr="00311FFF">
        <w:rPr>
          <w:rFonts w:ascii="Open Sans" w:hAnsi="Open Sans"/>
          <w:sz w:val="22"/>
          <w:szCs w:val="22"/>
          <w:lang w:val="en-SG"/>
        </w:rPr>
        <w:t>onsumption of salted and fermented foods</w:t>
      </w:r>
      <w:r w:rsidRPr="00311FFF">
        <w:rPr>
          <w:rFonts w:ascii="Open Sans" w:hAnsi="Open Sans"/>
          <w:sz w:val="22"/>
          <w:szCs w:val="22"/>
          <w:lang w:val="en-SG"/>
        </w:rPr>
        <w:t xml:space="preserve"> have </w:t>
      </w:r>
      <w:r w:rsidR="00766A1F" w:rsidRPr="00311FFF">
        <w:rPr>
          <w:rFonts w:ascii="Open Sans" w:hAnsi="Open Sans"/>
          <w:sz w:val="22"/>
          <w:szCs w:val="22"/>
          <w:lang w:val="en-SG"/>
        </w:rPr>
        <w:t xml:space="preserve">long </w:t>
      </w:r>
      <w:r w:rsidRPr="00311FFF">
        <w:rPr>
          <w:rFonts w:ascii="Open Sans" w:hAnsi="Open Sans"/>
          <w:sz w:val="22"/>
          <w:szCs w:val="22"/>
          <w:lang w:val="en-SG"/>
        </w:rPr>
        <w:t xml:space="preserve">been a </w:t>
      </w:r>
      <w:r w:rsidR="00766A1F" w:rsidRPr="00311FFF">
        <w:rPr>
          <w:rFonts w:ascii="Open Sans" w:hAnsi="Open Sans"/>
          <w:sz w:val="22"/>
          <w:szCs w:val="22"/>
          <w:lang w:val="en-SG"/>
        </w:rPr>
        <w:t xml:space="preserve">part of </w:t>
      </w:r>
      <w:r w:rsidRPr="00311FFF">
        <w:rPr>
          <w:rFonts w:ascii="Open Sans" w:hAnsi="Open Sans"/>
          <w:sz w:val="22"/>
          <w:szCs w:val="22"/>
          <w:lang w:val="en-SG"/>
        </w:rPr>
        <w:t xml:space="preserve">the region’s </w:t>
      </w:r>
      <w:r w:rsidR="00766A1F" w:rsidRPr="00311FFF">
        <w:rPr>
          <w:rFonts w:ascii="Open Sans" w:hAnsi="Open Sans"/>
          <w:sz w:val="22"/>
          <w:szCs w:val="22"/>
          <w:lang w:val="en-SG"/>
        </w:rPr>
        <w:t>traditional food culture</w:t>
      </w:r>
      <w:r w:rsidRPr="00311FFF">
        <w:rPr>
          <w:rFonts w:ascii="Open Sans" w:hAnsi="Open Sans"/>
          <w:sz w:val="22"/>
          <w:szCs w:val="22"/>
          <w:lang w:val="en-SG"/>
        </w:rPr>
        <w:t>,</w:t>
      </w:r>
      <w:r w:rsidR="00766A1F" w:rsidRPr="00311FFF">
        <w:rPr>
          <w:rFonts w:ascii="Open Sans" w:hAnsi="Open Sans"/>
          <w:sz w:val="22"/>
          <w:szCs w:val="22"/>
          <w:lang w:val="en-SG"/>
        </w:rPr>
        <w:t xml:space="preserve"> as sauces and seasonings play an integral role in the diet. However, sodium is a factor in seasonings such as fish and soy sauce. According to the Institute for Health Metrics and Evaluation, the consumption of excessive sodium, linked to cardiovascular and high blood pressure, is the world’s leading cause of diet-related death. </w:t>
      </w:r>
    </w:p>
    <w:p w14:paraId="71C8A129" w14:textId="77777777" w:rsidR="008F53C9" w:rsidRPr="00311FFF" w:rsidRDefault="008F53C9" w:rsidP="008F53C9">
      <w:pPr>
        <w:spacing w:after="0"/>
        <w:rPr>
          <w:rFonts w:ascii="Open Sans" w:hAnsi="Open Sans" w:hint="eastAsia"/>
          <w:sz w:val="22"/>
          <w:szCs w:val="22"/>
          <w:lang w:val="en-SG"/>
        </w:rPr>
      </w:pPr>
    </w:p>
    <w:p w14:paraId="0ACF6ED5" w14:textId="64C73C4D" w:rsidR="00766A1F" w:rsidRPr="00311FFF" w:rsidRDefault="008F53C9" w:rsidP="008F53C9">
      <w:pPr>
        <w:spacing w:after="0"/>
        <w:rPr>
          <w:rFonts w:ascii="Open Sans" w:hAnsi="Open Sans" w:hint="eastAsia"/>
          <w:sz w:val="22"/>
          <w:szCs w:val="22"/>
          <w:lang w:val="en-SG"/>
        </w:rPr>
      </w:pPr>
      <w:r w:rsidRPr="00311FFF">
        <w:rPr>
          <w:rFonts w:ascii="Open Sans" w:hAnsi="Open Sans"/>
          <w:sz w:val="22"/>
          <w:szCs w:val="22"/>
          <w:lang w:val="en-SG"/>
        </w:rPr>
        <w:t xml:space="preserve">Mintel found that, aware of the effects of high sodium intake, a third of urban Thai consumers intend to avoid salt in their diets, and almost seven in 10 urban Thais and Indonesians, respectively, say that they avoid salt to stay healthy. In response, brands are reducing sodium in popular products. Although Southeast Asian governments have sodium reduction on their agenda, none have made it mandatory. Coconut </w:t>
      </w:r>
      <w:proofErr w:type="spellStart"/>
      <w:r w:rsidRPr="00311FFF">
        <w:rPr>
          <w:rFonts w:ascii="Open Sans" w:hAnsi="Open Sans"/>
          <w:sz w:val="22"/>
          <w:szCs w:val="22"/>
          <w:lang w:val="en-SG"/>
        </w:rPr>
        <w:t>aminos</w:t>
      </w:r>
      <w:proofErr w:type="spellEnd"/>
      <w:r w:rsidRPr="00311FFF">
        <w:rPr>
          <w:rFonts w:ascii="Open Sans" w:hAnsi="Open Sans"/>
          <w:sz w:val="22"/>
          <w:szCs w:val="22"/>
          <w:lang w:val="en-SG"/>
        </w:rPr>
        <w:t>, which are made from the sap of organic coconut trees blended with sea salt, and are gluten-free, non-GMO, organic and MSG-free, are gaining popularity in the region as a substitute to sodium.</w:t>
      </w:r>
    </w:p>
    <w:p w14:paraId="113FA486" w14:textId="77777777" w:rsidR="008F53C9" w:rsidRPr="00311FFF" w:rsidRDefault="008F53C9" w:rsidP="00766A1F">
      <w:pPr>
        <w:spacing w:after="0"/>
        <w:rPr>
          <w:rFonts w:ascii="Open Sans" w:hAnsi="Open Sans" w:hint="eastAsia"/>
          <w:sz w:val="22"/>
          <w:szCs w:val="22"/>
          <w:lang w:val="en-SG"/>
        </w:rPr>
      </w:pPr>
    </w:p>
    <w:p w14:paraId="567CA4F0" w14:textId="23A69847" w:rsidR="00766A1F" w:rsidRPr="00311FFF" w:rsidRDefault="008F53C9" w:rsidP="00766A1F">
      <w:pPr>
        <w:spacing w:after="0"/>
        <w:rPr>
          <w:rFonts w:ascii="Open Sans" w:hAnsi="Open Sans" w:hint="eastAsia"/>
          <w:b/>
          <w:bCs/>
          <w:sz w:val="22"/>
          <w:szCs w:val="22"/>
          <w:lang w:val="en-SG"/>
        </w:rPr>
      </w:pPr>
      <w:r w:rsidRPr="00311FFF">
        <w:rPr>
          <w:rFonts w:ascii="Open Sans" w:hAnsi="Open Sans"/>
          <w:b/>
          <w:bCs/>
          <w:sz w:val="22"/>
          <w:szCs w:val="22"/>
          <w:lang w:val="en-SG"/>
        </w:rPr>
        <w:t>Functional dairy drinks for healthy ageing</w:t>
      </w:r>
    </w:p>
    <w:p w14:paraId="492CA48C" w14:textId="77777777" w:rsidR="00DC4C7A" w:rsidRPr="00311FFF" w:rsidRDefault="00DC4C7A" w:rsidP="00766A1F">
      <w:pPr>
        <w:spacing w:after="0"/>
        <w:rPr>
          <w:rFonts w:ascii="Open Sans" w:hAnsi="Open Sans" w:hint="eastAsia"/>
          <w:b/>
          <w:bCs/>
          <w:sz w:val="22"/>
          <w:szCs w:val="22"/>
          <w:lang w:val="en-SG"/>
        </w:rPr>
      </w:pPr>
    </w:p>
    <w:p w14:paraId="76B94D7A" w14:textId="2CBEFCBB" w:rsidR="008F53C9" w:rsidRPr="00311FFF" w:rsidRDefault="008F53C9" w:rsidP="008F53C9">
      <w:pPr>
        <w:spacing w:after="0"/>
        <w:rPr>
          <w:rFonts w:ascii="Open Sans" w:hAnsi="Open Sans" w:hint="eastAsia"/>
          <w:sz w:val="22"/>
          <w:szCs w:val="22"/>
          <w:lang w:val="en-SG"/>
        </w:rPr>
      </w:pPr>
      <w:r w:rsidRPr="00311FFF">
        <w:rPr>
          <w:rFonts w:ascii="Open Sans" w:hAnsi="Open Sans"/>
          <w:sz w:val="22"/>
          <w:szCs w:val="22"/>
          <w:lang w:val="en-SG"/>
        </w:rPr>
        <w:t>Sarcopenia, the gradual loss of muscle, occurs as part of the ageing process and can affect mobility. Today, most dairy drinks are positioned towards bone health, leaving opportunity for new product development to meet the growing needs of ageing consumers. Mintel research found that a fifth of metro Indonesians and a third of metro Thais associate protein with reducing muscle loss during ageing.</w:t>
      </w:r>
    </w:p>
    <w:p w14:paraId="35F2646E" w14:textId="2F03A947" w:rsidR="008F53C9" w:rsidRPr="00311FFF" w:rsidRDefault="008F53C9" w:rsidP="008F53C9">
      <w:pPr>
        <w:spacing w:after="0"/>
        <w:rPr>
          <w:rFonts w:ascii="Open Sans" w:hAnsi="Open Sans" w:hint="eastAsia"/>
          <w:sz w:val="22"/>
          <w:szCs w:val="22"/>
          <w:lang w:val="en-SG"/>
        </w:rPr>
      </w:pPr>
    </w:p>
    <w:p w14:paraId="28E8F5D4" w14:textId="77777777" w:rsidR="00DC4C7A" w:rsidRPr="00311FFF" w:rsidRDefault="004A5D68" w:rsidP="000D26D1">
      <w:pPr>
        <w:spacing w:after="0"/>
        <w:rPr>
          <w:rFonts w:ascii="Open Sans" w:hAnsi="Open Sans" w:hint="eastAsia"/>
          <w:sz w:val="22"/>
          <w:szCs w:val="22"/>
          <w:lang w:val="en-SG"/>
        </w:rPr>
      </w:pPr>
      <w:r w:rsidRPr="00311FFF">
        <w:rPr>
          <w:rFonts w:ascii="Open Sans" w:hAnsi="Open Sans"/>
          <w:sz w:val="22"/>
          <w:szCs w:val="22"/>
          <w:lang w:val="en-SG"/>
        </w:rPr>
        <w:t>Protein is an important part of a diet for healthy ageing. The International Osteoporosis Foundation says that as we age, older adults need a higher protein intake as they typically consume lower calories, which could lead to protein deficiency.</w:t>
      </w:r>
      <w:r w:rsidRPr="00311FFF">
        <w:rPr>
          <w:rFonts w:ascii="Open Sans" w:hAnsi="Open Sans"/>
          <w:sz w:val="22"/>
          <w:szCs w:val="22"/>
        </w:rPr>
        <w:t xml:space="preserve"> </w:t>
      </w:r>
      <w:r w:rsidRPr="00311FFF">
        <w:rPr>
          <w:rFonts w:ascii="Open Sans" w:hAnsi="Open Sans"/>
          <w:sz w:val="22"/>
          <w:szCs w:val="22"/>
          <w:lang w:val="en-SG"/>
        </w:rPr>
        <w:t xml:space="preserve">Mintel predicts that brain and eye health will become increasingly important in the future for consumers who have concerns about dementia, memory loss and poor eyesight. Functional foods and drinks are particularly important for seniors that don’t actively treat their health issues. </w:t>
      </w:r>
    </w:p>
    <w:p w14:paraId="7B7341D9" w14:textId="77777777" w:rsidR="00DC4C7A" w:rsidRPr="00311FFF" w:rsidRDefault="00DC4C7A" w:rsidP="000D26D1">
      <w:pPr>
        <w:spacing w:after="0"/>
        <w:rPr>
          <w:rFonts w:ascii="Open Sans" w:hAnsi="Open Sans" w:hint="eastAsia"/>
          <w:sz w:val="22"/>
          <w:szCs w:val="22"/>
          <w:lang w:val="en-SG"/>
        </w:rPr>
      </w:pPr>
    </w:p>
    <w:p w14:paraId="4F78D38E" w14:textId="62260090" w:rsidR="004A5D68" w:rsidRPr="00311FFF" w:rsidRDefault="00DC4C7A" w:rsidP="004A5D68">
      <w:pPr>
        <w:spacing w:after="0"/>
        <w:rPr>
          <w:rFonts w:ascii="Open Sans" w:hAnsi="Open Sans" w:hint="eastAsia"/>
          <w:strike/>
          <w:sz w:val="22"/>
          <w:szCs w:val="22"/>
          <w:lang w:val="en-SG"/>
        </w:rPr>
      </w:pPr>
      <w:r w:rsidRPr="00311FFF">
        <w:rPr>
          <w:rFonts w:ascii="Open Sans" w:hAnsi="Open Sans"/>
          <w:sz w:val="22"/>
          <w:szCs w:val="22"/>
          <w:lang w:val="en-SG"/>
        </w:rPr>
        <w:t>Dairy products to support healthy ageing are in development. Mintel found</w:t>
      </w:r>
      <w:r w:rsidR="000263C3" w:rsidRPr="00311FFF">
        <w:rPr>
          <w:rFonts w:ascii="Open Sans" w:hAnsi="Open Sans"/>
          <w:sz w:val="22"/>
          <w:szCs w:val="22"/>
          <w:lang w:val="en-SG"/>
        </w:rPr>
        <w:t xml:space="preserve"> that</w:t>
      </w:r>
      <w:r w:rsidRPr="00311FFF">
        <w:rPr>
          <w:rFonts w:ascii="Open Sans" w:hAnsi="Open Sans"/>
          <w:sz w:val="22"/>
          <w:szCs w:val="22"/>
          <w:lang w:val="en-SG"/>
        </w:rPr>
        <w:t xml:space="preserve"> opportunit</w:t>
      </w:r>
      <w:r w:rsidR="000263C3" w:rsidRPr="00311FFF">
        <w:rPr>
          <w:rFonts w:ascii="Open Sans" w:hAnsi="Open Sans"/>
          <w:sz w:val="22"/>
          <w:szCs w:val="22"/>
          <w:lang w:val="en-SG"/>
        </w:rPr>
        <w:t xml:space="preserve">ies exist </w:t>
      </w:r>
      <w:r w:rsidRPr="00311FFF">
        <w:rPr>
          <w:rFonts w:ascii="Open Sans" w:hAnsi="Open Sans"/>
          <w:sz w:val="22"/>
          <w:szCs w:val="22"/>
          <w:lang w:val="en-SG"/>
        </w:rPr>
        <w:t xml:space="preserve">for developing products that help seniors stay active, ease body pain, support mobility issues </w:t>
      </w:r>
      <w:r w:rsidRPr="00311FFF">
        <w:rPr>
          <w:rFonts w:ascii="Open Sans" w:hAnsi="Open Sans"/>
          <w:sz w:val="22"/>
          <w:szCs w:val="22"/>
          <w:lang w:val="en-SG"/>
        </w:rPr>
        <w:lastRenderedPageBreak/>
        <w:t xml:space="preserve">and promote a healthy lifestyle. Other products </w:t>
      </w:r>
      <w:r w:rsidR="00617FC5" w:rsidRPr="00311FFF">
        <w:rPr>
          <w:rFonts w:ascii="Open Sans" w:hAnsi="Open Sans"/>
          <w:sz w:val="22"/>
          <w:szCs w:val="22"/>
          <w:lang w:val="en-SG"/>
        </w:rPr>
        <w:t xml:space="preserve">in development </w:t>
      </w:r>
      <w:r w:rsidR="000263C3" w:rsidRPr="00311FFF">
        <w:rPr>
          <w:rFonts w:ascii="Open Sans" w:hAnsi="Open Sans"/>
          <w:sz w:val="22"/>
          <w:szCs w:val="22"/>
          <w:lang w:val="en-SG"/>
        </w:rPr>
        <w:t xml:space="preserve">that </w:t>
      </w:r>
      <w:r w:rsidR="00617FC5" w:rsidRPr="00311FFF">
        <w:rPr>
          <w:rFonts w:ascii="Open Sans" w:hAnsi="Open Sans"/>
          <w:sz w:val="22"/>
          <w:szCs w:val="22"/>
          <w:lang w:val="en-SG"/>
        </w:rPr>
        <w:t xml:space="preserve">target Asia’s ageing consumers </w:t>
      </w:r>
      <w:r w:rsidRPr="00311FFF">
        <w:rPr>
          <w:rFonts w:ascii="Open Sans" w:hAnsi="Open Sans"/>
          <w:sz w:val="22"/>
          <w:szCs w:val="22"/>
          <w:lang w:val="en-SG"/>
        </w:rPr>
        <w:t>include m</w:t>
      </w:r>
      <w:r w:rsidR="000D26D1" w:rsidRPr="00311FFF">
        <w:rPr>
          <w:rFonts w:ascii="Open Sans" w:hAnsi="Open Sans"/>
          <w:sz w:val="22"/>
          <w:szCs w:val="22"/>
          <w:lang w:val="en-SG"/>
        </w:rPr>
        <w:t xml:space="preserve">ilk fortified with protein to help support muscle mass, </w:t>
      </w:r>
      <w:r w:rsidR="000B1584" w:rsidRPr="00311FFF">
        <w:rPr>
          <w:rFonts w:ascii="Open Sans" w:hAnsi="Open Sans"/>
          <w:sz w:val="22"/>
          <w:szCs w:val="22"/>
          <w:lang w:val="en-SG"/>
        </w:rPr>
        <w:t xml:space="preserve">or milk </w:t>
      </w:r>
      <w:r w:rsidR="000D26D1" w:rsidRPr="00311FFF">
        <w:rPr>
          <w:rFonts w:ascii="Open Sans" w:hAnsi="Open Sans"/>
          <w:sz w:val="22"/>
          <w:szCs w:val="22"/>
          <w:lang w:val="en-SG"/>
        </w:rPr>
        <w:t>enriched with vitamin A to help eyesight and vitamin B12 to support the nervous system and brain functions</w:t>
      </w:r>
      <w:r w:rsidR="00617FC5" w:rsidRPr="00311FFF">
        <w:rPr>
          <w:rFonts w:ascii="Open Sans" w:hAnsi="Open Sans"/>
          <w:sz w:val="22"/>
          <w:szCs w:val="22"/>
          <w:lang w:val="en-SG"/>
        </w:rPr>
        <w:t>.</w:t>
      </w:r>
    </w:p>
    <w:p w14:paraId="706C718F" w14:textId="0B4D7A55" w:rsidR="00481811" w:rsidRPr="00311FFF" w:rsidRDefault="00481811" w:rsidP="004A5D68">
      <w:pPr>
        <w:spacing w:after="0"/>
        <w:rPr>
          <w:rFonts w:ascii="Open Sans" w:hAnsi="Open Sans" w:hint="eastAsia"/>
          <w:sz w:val="22"/>
          <w:szCs w:val="22"/>
          <w:lang w:val="en-SG"/>
        </w:rPr>
      </w:pPr>
    </w:p>
    <w:p w14:paraId="5305CDAF" w14:textId="73DB2C39" w:rsidR="00F37027" w:rsidRPr="00311FFF" w:rsidRDefault="00481811" w:rsidP="00F37027">
      <w:pPr>
        <w:spacing w:after="0"/>
        <w:rPr>
          <w:rFonts w:ascii="Open Sans" w:hAnsi="Open Sans" w:hint="eastAsia"/>
          <w:sz w:val="22"/>
          <w:szCs w:val="22"/>
          <w:lang w:val="en-SG"/>
        </w:rPr>
      </w:pPr>
      <w:r w:rsidRPr="00311FFF">
        <w:rPr>
          <w:rFonts w:ascii="Open Sans" w:hAnsi="Open Sans"/>
          <w:sz w:val="22"/>
          <w:szCs w:val="22"/>
          <w:lang w:val="en-SG"/>
        </w:rPr>
        <w:t xml:space="preserve">At Vitafoods Asia 2019, there are 94 </w:t>
      </w:r>
      <w:hyperlink r:id="rId11" w:history="1">
        <w:r w:rsidRPr="00311FFF">
          <w:rPr>
            <w:rStyle w:val="Hyperlink"/>
            <w:rFonts w:ascii="Open Sans" w:hAnsi="Open Sans"/>
            <w:sz w:val="22"/>
            <w:szCs w:val="22"/>
            <w:lang w:val="en-SG"/>
          </w:rPr>
          <w:t>exhibitors</w:t>
        </w:r>
      </w:hyperlink>
      <w:r w:rsidRPr="00311FFF">
        <w:rPr>
          <w:rFonts w:ascii="Open Sans" w:hAnsi="Open Sans"/>
          <w:sz w:val="22"/>
          <w:szCs w:val="22"/>
          <w:lang w:val="en-SG"/>
        </w:rPr>
        <w:t xml:space="preserve"> of functional beverages to explore. </w:t>
      </w:r>
      <w:r w:rsidR="000263C3" w:rsidRPr="00311FFF">
        <w:rPr>
          <w:rFonts w:ascii="Open Sans" w:hAnsi="Open Sans"/>
          <w:sz w:val="22"/>
          <w:szCs w:val="22"/>
          <w:lang w:val="en-SG"/>
        </w:rPr>
        <w:t>V</w:t>
      </w:r>
      <w:r w:rsidR="00F37027" w:rsidRPr="00311FFF">
        <w:rPr>
          <w:rFonts w:ascii="Open Sans" w:hAnsi="Open Sans"/>
          <w:sz w:val="22"/>
          <w:szCs w:val="22"/>
          <w:lang w:val="en-SG"/>
        </w:rPr>
        <w:t xml:space="preserve">isitors to the </w:t>
      </w:r>
      <w:r w:rsidR="000263C3" w:rsidRPr="00311FFF">
        <w:rPr>
          <w:rFonts w:ascii="Open Sans" w:hAnsi="Open Sans"/>
          <w:sz w:val="22"/>
          <w:szCs w:val="22"/>
          <w:lang w:val="en-SG"/>
        </w:rPr>
        <w:t xml:space="preserve">show can explore the </w:t>
      </w:r>
      <w:hyperlink r:id="rId12" w:history="1">
        <w:r w:rsidR="00F37027" w:rsidRPr="00311FFF">
          <w:rPr>
            <w:rStyle w:val="Hyperlink"/>
            <w:rFonts w:ascii="Open Sans" w:hAnsi="Open Sans"/>
            <w:sz w:val="22"/>
            <w:szCs w:val="22"/>
            <w:lang w:val="en-SG"/>
          </w:rPr>
          <w:t>Omega-3 Resource Centre</w:t>
        </w:r>
      </w:hyperlink>
      <w:r w:rsidR="00F37027" w:rsidRPr="00311FFF">
        <w:rPr>
          <w:rFonts w:ascii="Open Sans" w:hAnsi="Open Sans"/>
          <w:sz w:val="22"/>
          <w:szCs w:val="22"/>
          <w:lang w:val="en-SG"/>
        </w:rPr>
        <w:t xml:space="preserve"> or the </w:t>
      </w:r>
      <w:hyperlink r:id="rId13" w:history="1">
        <w:r w:rsidR="00F37027" w:rsidRPr="00311FFF">
          <w:rPr>
            <w:rStyle w:val="Hyperlink"/>
            <w:rFonts w:ascii="Open Sans" w:hAnsi="Open Sans"/>
            <w:sz w:val="22"/>
            <w:szCs w:val="22"/>
            <w:lang w:val="en-SG"/>
          </w:rPr>
          <w:t>Probiotics Resource Centre</w:t>
        </w:r>
      </w:hyperlink>
      <w:r w:rsidR="00F37027" w:rsidRPr="00311FFF">
        <w:rPr>
          <w:rFonts w:ascii="Open Sans" w:hAnsi="Open Sans"/>
          <w:sz w:val="22"/>
          <w:szCs w:val="22"/>
          <w:lang w:val="en-SG"/>
        </w:rPr>
        <w:t xml:space="preserve"> </w:t>
      </w:r>
      <w:r w:rsidR="000263C3" w:rsidRPr="00311FFF">
        <w:rPr>
          <w:rFonts w:ascii="Open Sans" w:hAnsi="Open Sans"/>
          <w:sz w:val="22"/>
          <w:szCs w:val="22"/>
          <w:lang w:val="en-SG"/>
        </w:rPr>
        <w:t xml:space="preserve">to </w:t>
      </w:r>
      <w:r w:rsidR="00F37027" w:rsidRPr="00311FFF">
        <w:rPr>
          <w:rFonts w:ascii="Open Sans" w:hAnsi="Open Sans"/>
          <w:sz w:val="22"/>
          <w:szCs w:val="22"/>
          <w:lang w:val="en-SG"/>
        </w:rPr>
        <w:t>obtain deep insights</w:t>
      </w:r>
      <w:r w:rsidR="000263C3" w:rsidRPr="00311FFF">
        <w:rPr>
          <w:rFonts w:ascii="Open Sans" w:hAnsi="Open Sans"/>
          <w:sz w:val="22"/>
          <w:szCs w:val="22"/>
          <w:lang w:val="en-SG"/>
        </w:rPr>
        <w:t xml:space="preserve"> into how Omega-3 and Probiotics can help with healthy ageing</w:t>
      </w:r>
      <w:r w:rsidR="00F37027" w:rsidRPr="00311FFF">
        <w:rPr>
          <w:rFonts w:ascii="Open Sans" w:hAnsi="Open Sans"/>
          <w:sz w:val="22"/>
          <w:szCs w:val="22"/>
          <w:lang w:val="en-SG"/>
        </w:rPr>
        <w:t xml:space="preserve">. There are also functional foods and beverages for sampling at the </w:t>
      </w:r>
      <w:hyperlink r:id="rId14" w:history="1">
        <w:r w:rsidR="00F37027" w:rsidRPr="00311FFF">
          <w:rPr>
            <w:rStyle w:val="Hyperlink"/>
            <w:rFonts w:ascii="Open Sans" w:hAnsi="Open Sans"/>
            <w:sz w:val="22"/>
            <w:szCs w:val="22"/>
            <w:lang w:val="en-SG"/>
          </w:rPr>
          <w:t>Tasting Centre</w:t>
        </w:r>
      </w:hyperlink>
      <w:r w:rsidR="00F37027" w:rsidRPr="00311FFF">
        <w:rPr>
          <w:rFonts w:ascii="Open Sans" w:hAnsi="Open Sans"/>
          <w:sz w:val="22"/>
          <w:szCs w:val="22"/>
          <w:lang w:val="en-SG"/>
        </w:rPr>
        <w:t xml:space="preserve">, where you can vote for your favourite </w:t>
      </w:r>
      <w:r w:rsidR="00C711B5" w:rsidRPr="00311FFF">
        <w:rPr>
          <w:rFonts w:ascii="Open Sans" w:hAnsi="Open Sans"/>
          <w:sz w:val="22"/>
          <w:szCs w:val="22"/>
          <w:lang w:val="en-SG"/>
        </w:rPr>
        <w:t xml:space="preserve">product </w:t>
      </w:r>
      <w:r w:rsidR="00F37027" w:rsidRPr="00311FFF">
        <w:rPr>
          <w:rFonts w:ascii="Open Sans" w:hAnsi="Open Sans"/>
          <w:sz w:val="22"/>
          <w:szCs w:val="22"/>
          <w:lang w:val="en-SG"/>
        </w:rPr>
        <w:t>in the Tasting Centre Awards.</w:t>
      </w:r>
    </w:p>
    <w:p w14:paraId="365ABA43" w14:textId="6B8A1200" w:rsidR="00481811" w:rsidRPr="00311FFF" w:rsidRDefault="00481811" w:rsidP="004A5D68">
      <w:pPr>
        <w:spacing w:after="0"/>
        <w:rPr>
          <w:rFonts w:ascii="Open Sans" w:hAnsi="Open Sans" w:hint="eastAsia"/>
          <w:sz w:val="22"/>
          <w:szCs w:val="22"/>
          <w:lang w:val="en-SG"/>
        </w:rPr>
      </w:pPr>
    </w:p>
    <w:p w14:paraId="2884FDD2" w14:textId="110A1C8F" w:rsidR="00A350FF" w:rsidRPr="00311FFF" w:rsidRDefault="00A350FF" w:rsidP="00A350FF">
      <w:pPr>
        <w:spacing w:after="0"/>
        <w:rPr>
          <w:rFonts w:ascii="Open Sans" w:hAnsi="Open Sans" w:hint="eastAsia"/>
          <w:b/>
          <w:bCs/>
          <w:sz w:val="22"/>
          <w:szCs w:val="22"/>
          <w:lang w:val="en-SG"/>
        </w:rPr>
      </w:pPr>
      <w:r w:rsidRPr="00311FFF">
        <w:rPr>
          <w:rFonts w:ascii="Open Sans" w:hAnsi="Open Sans"/>
          <w:b/>
          <w:bCs/>
          <w:sz w:val="22"/>
          <w:szCs w:val="22"/>
          <w:lang w:val="en-SG"/>
        </w:rPr>
        <w:t>Unconventional Product Development</w:t>
      </w:r>
    </w:p>
    <w:p w14:paraId="4BF6676D" w14:textId="77777777" w:rsidR="00A350FF" w:rsidRPr="00311FFF" w:rsidRDefault="00A350FF" w:rsidP="00A350FF">
      <w:pPr>
        <w:spacing w:after="0"/>
        <w:rPr>
          <w:rFonts w:ascii="Open Sans" w:hAnsi="Open Sans" w:hint="eastAsia"/>
          <w:sz w:val="22"/>
          <w:szCs w:val="22"/>
          <w:lang w:val="en-SG"/>
        </w:rPr>
      </w:pPr>
    </w:p>
    <w:p w14:paraId="7283C5D5" w14:textId="3B0E38A3" w:rsidR="00A350FF" w:rsidRPr="00311FFF" w:rsidRDefault="00A350FF" w:rsidP="00A350FF">
      <w:pPr>
        <w:spacing w:after="0"/>
        <w:rPr>
          <w:rFonts w:ascii="Open Sans" w:hAnsi="Open Sans" w:hint="eastAsia"/>
          <w:sz w:val="22"/>
          <w:szCs w:val="22"/>
          <w:lang w:val="en-SG"/>
        </w:rPr>
      </w:pPr>
      <w:r w:rsidRPr="00311FFF">
        <w:rPr>
          <w:rFonts w:ascii="Open Sans" w:hAnsi="Open Sans"/>
          <w:sz w:val="22"/>
          <w:szCs w:val="22"/>
          <w:lang w:val="en-SG"/>
        </w:rPr>
        <w:t xml:space="preserve">In TCM, rice water can improve fatigue, lack of appetite and </w:t>
      </w:r>
      <w:r w:rsidR="000263C3" w:rsidRPr="00311FFF">
        <w:rPr>
          <w:rFonts w:ascii="Open Sans" w:hAnsi="Open Sans"/>
          <w:sz w:val="22"/>
          <w:szCs w:val="22"/>
          <w:lang w:val="en-SG"/>
        </w:rPr>
        <w:t>bloating</w:t>
      </w:r>
      <w:r w:rsidRPr="00311FFF">
        <w:rPr>
          <w:rFonts w:ascii="Open Sans" w:hAnsi="Open Sans"/>
          <w:sz w:val="22"/>
          <w:szCs w:val="22"/>
          <w:lang w:val="en-SG"/>
        </w:rPr>
        <w:t>. In Hong Kong, ready-to-drink rice water products for dawn and dusk are becoming available, formulated in line with the TCM concept of an organ clock which holds the belief that each organ has a time of day when it functions optimally. The inclusion of fruity flavours in cof</w:t>
      </w:r>
      <w:bookmarkStart w:id="0" w:name="_GoBack"/>
      <w:bookmarkEnd w:id="0"/>
      <w:r w:rsidRPr="00311FFF">
        <w:rPr>
          <w:rFonts w:ascii="Open Sans" w:hAnsi="Open Sans"/>
          <w:sz w:val="22"/>
          <w:szCs w:val="22"/>
          <w:lang w:val="en-SG"/>
        </w:rPr>
        <w:t>fee is another emerging trend in Indonesia. An Early Grey ice cream product from Malaysia is high in protein, and low in fat, calories and sugar, and claims to have double the flavour and less than half the calories</w:t>
      </w:r>
      <w:r w:rsidR="000263C3" w:rsidRPr="00311FFF">
        <w:rPr>
          <w:rFonts w:ascii="Open Sans" w:hAnsi="Open Sans"/>
          <w:sz w:val="22"/>
          <w:szCs w:val="22"/>
          <w:lang w:val="en-SG"/>
        </w:rPr>
        <w:t xml:space="preserve"> of conventional ice cream</w:t>
      </w:r>
      <w:r w:rsidRPr="00311FFF">
        <w:rPr>
          <w:rFonts w:ascii="Open Sans" w:hAnsi="Open Sans"/>
          <w:sz w:val="22"/>
          <w:szCs w:val="22"/>
          <w:lang w:val="en-SG"/>
        </w:rPr>
        <w:t xml:space="preserve">. </w:t>
      </w:r>
    </w:p>
    <w:p w14:paraId="518DD9D7" w14:textId="77777777" w:rsidR="00A350FF" w:rsidRPr="00311FFF" w:rsidRDefault="00A350FF" w:rsidP="00A350FF">
      <w:pPr>
        <w:spacing w:after="0"/>
        <w:rPr>
          <w:rFonts w:ascii="Open Sans" w:hAnsi="Open Sans" w:hint="eastAsia"/>
          <w:sz w:val="22"/>
          <w:szCs w:val="22"/>
          <w:lang w:val="en-SG"/>
        </w:rPr>
      </w:pPr>
    </w:p>
    <w:p w14:paraId="780633BF" w14:textId="00C57C92" w:rsidR="00A350FF" w:rsidRPr="00311FFF" w:rsidRDefault="00A350FF" w:rsidP="00A350FF">
      <w:pPr>
        <w:spacing w:after="0"/>
        <w:rPr>
          <w:rFonts w:ascii="Open Sans" w:hAnsi="Open Sans" w:hint="eastAsia"/>
          <w:sz w:val="22"/>
          <w:szCs w:val="22"/>
          <w:lang w:val="en-SG"/>
        </w:rPr>
      </w:pPr>
      <w:r w:rsidRPr="00311FFF">
        <w:rPr>
          <w:rFonts w:ascii="Open Sans" w:hAnsi="Open Sans"/>
          <w:sz w:val="22"/>
          <w:szCs w:val="22"/>
          <w:lang w:val="en-SG"/>
        </w:rPr>
        <w:t xml:space="preserve">Across Southeast Asia, plant-based diets are gaining popularity. For example, 45% of urban Thais are looking to follow a plant-based, vegetarian or vegan diet. To satisfy this trend, Thai's have developed an unconventional milk product made from sesame. </w:t>
      </w:r>
    </w:p>
    <w:p w14:paraId="3348AB3B" w14:textId="05DDC723" w:rsidR="0090127D" w:rsidRPr="00311FFF" w:rsidRDefault="0090127D" w:rsidP="00A350FF">
      <w:pPr>
        <w:spacing w:after="0"/>
        <w:rPr>
          <w:rFonts w:ascii="Open Sans" w:hAnsi="Open Sans" w:hint="eastAsia"/>
          <w:sz w:val="22"/>
          <w:szCs w:val="22"/>
          <w:lang w:val="en-SG"/>
        </w:rPr>
      </w:pPr>
    </w:p>
    <w:p w14:paraId="5FF99161" w14:textId="7D7266E4" w:rsidR="00254ABD" w:rsidRPr="00311FFF" w:rsidRDefault="0090127D" w:rsidP="00254ABD">
      <w:pPr>
        <w:spacing w:after="0"/>
        <w:rPr>
          <w:rFonts w:ascii="Open Sans" w:hAnsi="Open Sans" w:hint="eastAsia"/>
          <w:sz w:val="22"/>
          <w:szCs w:val="22"/>
          <w:lang w:val="en-SG"/>
        </w:rPr>
      </w:pPr>
      <w:r w:rsidRPr="00311FFF">
        <w:rPr>
          <w:rFonts w:ascii="Open Sans" w:hAnsi="Open Sans"/>
          <w:sz w:val="22"/>
          <w:szCs w:val="22"/>
          <w:lang w:val="en-SG"/>
        </w:rPr>
        <w:t xml:space="preserve">Visit Vitafoods Asia 2019 to learn more about the nutraceuticals market in Southeast Asia, including the latest innovations and key developments impacting nutraceutical industry and product development within select health categories. </w:t>
      </w:r>
      <w:r w:rsidR="00F14DFB" w:rsidRPr="00311FFF">
        <w:rPr>
          <w:rFonts w:ascii="Open Sans" w:hAnsi="Open Sans"/>
          <w:sz w:val="22"/>
          <w:szCs w:val="22"/>
          <w:lang w:val="en-SG"/>
        </w:rPr>
        <w:t xml:space="preserve">There are </w:t>
      </w:r>
      <w:hyperlink r:id="rId15" w:history="1">
        <w:r w:rsidR="00C466AB" w:rsidRPr="00311FFF">
          <w:rPr>
            <w:rStyle w:val="Hyperlink"/>
            <w:rFonts w:ascii="Open Sans" w:hAnsi="Open Sans"/>
            <w:sz w:val="22"/>
            <w:szCs w:val="22"/>
            <w:lang w:val="en-SG"/>
          </w:rPr>
          <w:t>193 exhibitors</w:t>
        </w:r>
      </w:hyperlink>
      <w:r w:rsidR="00C466AB" w:rsidRPr="00311FFF">
        <w:rPr>
          <w:rFonts w:ascii="Open Sans" w:hAnsi="Open Sans"/>
          <w:sz w:val="22"/>
          <w:szCs w:val="22"/>
          <w:lang w:val="en-SG"/>
        </w:rPr>
        <w:t xml:space="preserve"> of key ingredients and raw materials at Vitafoods Asia this year. </w:t>
      </w:r>
      <w:r w:rsidR="00F14DFB" w:rsidRPr="00311FFF">
        <w:rPr>
          <w:rFonts w:ascii="Open Sans" w:hAnsi="Open Sans"/>
          <w:sz w:val="22"/>
          <w:szCs w:val="22"/>
          <w:lang w:val="en-SG"/>
        </w:rPr>
        <w:t xml:space="preserve">It </w:t>
      </w:r>
      <w:r w:rsidR="00C466AB" w:rsidRPr="00311FFF">
        <w:rPr>
          <w:rFonts w:ascii="Open Sans" w:hAnsi="Open Sans"/>
          <w:sz w:val="22"/>
          <w:szCs w:val="22"/>
          <w:lang w:val="en-SG"/>
        </w:rPr>
        <w:t xml:space="preserve">is the perfect place to </w:t>
      </w:r>
      <w:r w:rsidR="00254ABD" w:rsidRPr="00311FFF">
        <w:rPr>
          <w:rFonts w:ascii="Open Sans" w:hAnsi="Open Sans"/>
          <w:sz w:val="22"/>
          <w:szCs w:val="22"/>
          <w:lang w:val="en-SG"/>
        </w:rPr>
        <w:t>source key functional ingredients, or to buy, package and brand finished nutraceutical products. Exhibitors include global suppliers of natural &amp; herbal medicines, vitamins, minerals, nutricosmetics, omegas, and probiotics.</w:t>
      </w:r>
    </w:p>
    <w:p w14:paraId="044B1AF2" w14:textId="77777777" w:rsidR="00254ABD" w:rsidRPr="00311FFF" w:rsidRDefault="00254ABD" w:rsidP="00254ABD">
      <w:pPr>
        <w:spacing w:after="0"/>
        <w:rPr>
          <w:rFonts w:ascii="Open Sans" w:hAnsi="Open Sans" w:hint="eastAsia"/>
          <w:sz w:val="22"/>
          <w:szCs w:val="22"/>
          <w:lang w:val="en-SG"/>
        </w:rPr>
      </w:pPr>
    </w:p>
    <w:p w14:paraId="267D6011" w14:textId="77777777" w:rsidR="00605748" w:rsidRPr="00311FFF" w:rsidRDefault="00605748" w:rsidP="00605748">
      <w:pPr>
        <w:spacing w:after="0"/>
        <w:rPr>
          <w:rFonts w:ascii="Open Sans" w:hAnsi="Open Sans" w:hint="eastAsia"/>
          <w:sz w:val="22"/>
          <w:szCs w:val="22"/>
          <w:lang w:val="en-SG"/>
        </w:rPr>
      </w:pPr>
      <w:r w:rsidRPr="00311FFF">
        <w:rPr>
          <w:rFonts w:ascii="Open Sans" w:hAnsi="Open Sans"/>
          <w:sz w:val="22"/>
          <w:szCs w:val="22"/>
          <w:lang w:val="en-SG"/>
        </w:rPr>
        <w:t xml:space="preserve">Vitafoods Asia 2019 helps shape the food industry for optimal health through science and innovation. Discover the world of nutraceuticals at </w:t>
      </w:r>
      <w:hyperlink r:id="rId16" w:history="1">
        <w:r w:rsidRPr="00311FFF">
          <w:rPr>
            <w:rStyle w:val="Hyperlink"/>
            <w:rFonts w:ascii="Open Sans" w:hAnsi="Open Sans"/>
            <w:sz w:val="22"/>
            <w:szCs w:val="22"/>
            <w:lang w:val="en-SG"/>
          </w:rPr>
          <w:t>Vitafoods Asia</w:t>
        </w:r>
      </w:hyperlink>
      <w:r w:rsidRPr="00311FFF">
        <w:rPr>
          <w:rFonts w:ascii="Open Sans" w:hAnsi="Open Sans"/>
          <w:sz w:val="22"/>
          <w:szCs w:val="22"/>
          <w:lang w:val="en-SG"/>
        </w:rPr>
        <w:t>.</w:t>
      </w:r>
    </w:p>
    <w:p w14:paraId="32DB2A98" w14:textId="77777777" w:rsidR="00605748" w:rsidRPr="00311FFF" w:rsidRDefault="00605748" w:rsidP="00605748">
      <w:pPr>
        <w:spacing w:after="0"/>
        <w:rPr>
          <w:rFonts w:ascii="Open Sans" w:hAnsi="Open Sans" w:hint="eastAsia"/>
          <w:sz w:val="22"/>
          <w:szCs w:val="22"/>
          <w:lang w:val="en-SG"/>
        </w:rPr>
      </w:pPr>
    </w:p>
    <w:p w14:paraId="1CFDC876" w14:textId="243AA188" w:rsidR="00605748" w:rsidRPr="00311FFF" w:rsidRDefault="00605748" w:rsidP="00311FFF">
      <w:pPr>
        <w:spacing w:after="0"/>
        <w:jc w:val="center"/>
        <w:rPr>
          <w:rFonts w:ascii="Open Sans" w:hAnsi="Open Sans" w:hint="eastAsia"/>
          <w:sz w:val="22"/>
          <w:szCs w:val="22"/>
          <w:lang w:val="en-SG"/>
        </w:rPr>
      </w:pPr>
      <w:r w:rsidRPr="00311FFF">
        <w:rPr>
          <w:rFonts w:ascii="Open Sans" w:hAnsi="Open Sans"/>
          <w:sz w:val="22"/>
          <w:szCs w:val="22"/>
          <w:lang w:val="en-SG"/>
        </w:rPr>
        <w:t>-</w:t>
      </w:r>
      <w:r w:rsidR="00311FFF">
        <w:rPr>
          <w:rFonts w:ascii="Open Sans" w:hAnsi="Open Sans"/>
          <w:sz w:val="22"/>
          <w:szCs w:val="22"/>
          <w:lang w:val="en-SG"/>
        </w:rPr>
        <w:t>END</w:t>
      </w:r>
      <w:r w:rsidRPr="00311FFF">
        <w:rPr>
          <w:rFonts w:ascii="Open Sans" w:hAnsi="Open Sans"/>
          <w:sz w:val="22"/>
          <w:szCs w:val="22"/>
          <w:lang w:val="en-SG"/>
        </w:rPr>
        <w:t>-</w:t>
      </w:r>
    </w:p>
    <w:p w14:paraId="34ED030D" w14:textId="3F3AC30C" w:rsidR="00001896" w:rsidRPr="00311FFF" w:rsidRDefault="00001896" w:rsidP="00605748">
      <w:pPr>
        <w:spacing w:after="0"/>
        <w:rPr>
          <w:rFonts w:ascii="Open Sans" w:hAnsi="Open Sans" w:hint="eastAsia"/>
          <w:sz w:val="22"/>
          <w:szCs w:val="22"/>
        </w:rPr>
      </w:pPr>
    </w:p>
    <w:p w14:paraId="4C597003" w14:textId="4FF3311F" w:rsidR="00FB7C70" w:rsidRPr="00311FFF" w:rsidRDefault="00FB7C70" w:rsidP="00605748">
      <w:pPr>
        <w:spacing w:after="0"/>
        <w:rPr>
          <w:rFonts w:ascii="Open Sans" w:hAnsi="Open Sans" w:hint="eastAsia"/>
          <w:sz w:val="22"/>
          <w:szCs w:val="22"/>
        </w:rPr>
      </w:pPr>
      <w:r w:rsidRPr="00311FFF">
        <w:rPr>
          <w:rFonts w:ascii="Open Sans" w:hAnsi="Open Sans"/>
          <w:sz w:val="22"/>
          <w:szCs w:val="22"/>
        </w:rPr>
        <w:t>Notes to Editors</w:t>
      </w:r>
    </w:p>
    <w:p w14:paraId="3FB04702" w14:textId="4D5033DF" w:rsidR="00FB7C70" w:rsidRPr="00311FFF" w:rsidRDefault="00FB7C70" w:rsidP="00FB7C70">
      <w:pPr>
        <w:pStyle w:val="ListParagraph"/>
        <w:numPr>
          <w:ilvl w:val="0"/>
          <w:numId w:val="21"/>
        </w:numPr>
        <w:spacing w:after="0"/>
        <w:rPr>
          <w:rFonts w:ascii="Open Sans" w:hAnsi="Open Sans" w:hint="eastAsia"/>
          <w:sz w:val="22"/>
          <w:szCs w:val="22"/>
        </w:rPr>
      </w:pPr>
      <w:r w:rsidRPr="00311FFF">
        <w:rPr>
          <w:rFonts w:ascii="Open Sans" w:hAnsi="Open Sans"/>
          <w:sz w:val="22"/>
          <w:szCs w:val="22"/>
        </w:rPr>
        <w:t xml:space="preserve">Vitafoods Asia 2019 Press Kit: </w:t>
      </w:r>
      <w:hyperlink r:id="rId17" w:history="1">
        <w:r w:rsidRPr="00311FFF">
          <w:rPr>
            <w:rStyle w:val="Hyperlink"/>
            <w:rFonts w:ascii="Open Sans" w:hAnsi="Open Sans"/>
            <w:sz w:val="22"/>
            <w:szCs w:val="22"/>
          </w:rPr>
          <w:t>http://vitafoodsasia.mystrikingly.com/</w:t>
        </w:r>
      </w:hyperlink>
    </w:p>
    <w:p w14:paraId="18E2D465" w14:textId="791D2C09" w:rsidR="00FB7C70" w:rsidRPr="00311FFF" w:rsidRDefault="00FB7C70" w:rsidP="00FB7C70">
      <w:pPr>
        <w:pStyle w:val="ListParagraph"/>
        <w:numPr>
          <w:ilvl w:val="0"/>
          <w:numId w:val="21"/>
        </w:numPr>
        <w:spacing w:after="0"/>
        <w:rPr>
          <w:rFonts w:ascii="Open Sans" w:hAnsi="Open Sans" w:hint="eastAsia"/>
          <w:sz w:val="22"/>
          <w:szCs w:val="22"/>
        </w:rPr>
      </w:pPr>
      <w:r w:rsidRPr="00311FFF">
        <w:rPr>
          <w:rFonts w:ascii="Open Sans" w:hAnsi="Open Sans"/>
          <w:sz w:val="22"/>
          <w:szCs w:val="22"/>
        </w:rPr>
        <w:t xml:space="preserve">Register now for Vitafoods Asia 2019: </w:t>
      </w:r>
      <w:hyperlink r:id="rId18" w:anchor="media-pass" w:history="1">
        <w:r w:rsidRPr="00311FFF">
          <w:rPr>
            <w:rStyle w:val="Hyperlink"/>
            <w:rFonts w:ascii="Open Sans" w:hAnsi="Open Sans"/>
            <w:sz w:val="22"/>
            <w:szCs w:val="22"/>
          </w:rPr>
          <w:t>http://vitafoodsasia.mystrikingly.com/#media-pass</w:t>
        </w:r>
      </w:hyperlink>
    </w:p>
    <w:p w14:paraId="6F2F5253" w14:textId="7853A164" w:rsidR="00FB7C70" w:rsidRDefault="00FB7C70" w:rsidP="00FB7C70">
      <w:pPr>
        <w:pStyle w:val="ListParagraph"/>
        <w:spacing w:after="0"/>
        <w:rPr>
          <w:rFonts w:ascii="Open Sans" w:hAnsi="Open Sans" w:hint="eastAsia"/>
          <w:sz w:val="22"/>
          <w:szCs w:val="22"/>
        </w:rPr>
      </w:pPr>
    </w:p>
    <w:p w14:paraId="3B636201" w14:textId="6EB390C2" w:rsidR="00311FFF" w:rsidRDefault="00311FFF" w:rsidP="00FB7C70">
      <w:pPr>
        <w:pStyle w:val="ListParagraph"/>
        <w:spacing w:after="0"/>
        <w:rPr>
          <w:rFonts w:ascii="Open Sans" w:hAnsi="Open Sans" w:hint="eastAsia"/>
          <w:sz w:val="22"/>
          <w:szCs w:val="22"/>
        </w:rPr>
      </w:pPr>
    </w:p>
    <w:p w14:paraId="79C55EDB" w14:textId="23D4E57B" w:rsidR="00311FFF" w:rsidRDefault="00311FFF" w:rsidP="00FB7C70">
      <w:pPr>
        <w:pStyle w:val="ListParagraph"/>
        <w:spacing w:after="0"/>
        <w:rPr>
          <w:rFonts w:ascii="Open Sans" w:hAnsi="Open Sans" w:hint="eastAsia"/>
          <w:sz w:val="22"/>
          <w:szCs w:val="22"/>
        </w:rPr>
      </w:pPr>
    </w:p>
    <w:p w14:paraId="39746525" w14:textId="77777777" w:rsidR="00311FFF" w:rsidRPr="00311FFF" w:rsidRDefault="00311FFF" w:rsidP="00FB7C70">
      <w:pPr>
        <w:pStyle w:val="ListParagraph"/>
        <w:spacing w:after="0"/>
        <w:rPr>
          <w:rFonts w:ascii="Open Sans" w:hAnsi="Open Sans" w:hint="eastAsia"/>
          <w:sz w:val="22"/>
          <w:szCs w:val="22"/>
        </w:rPr>
      </w:pPr>
    </w:p>
    <w:p w14:paraId="4FA85C31" w14:textId="581172BA" w:rsidR="00FB7C70" w:rsidRPr="00311FFF" w:rsidRDefault="00FB7C70" w:rsidP="00605748">
      <w:pPr>
        <w:spacing w:after="0"/>
        <w:rPr>
          <w:rFonts w:ascii="Open Sans" w:hAnsi="Open Sans" w:hint="eastAsia"/>
          <w:b/>
          <w:bCs/>
          <w:sz w:val="22"/>
          <w:szCs w:val="22"/>
        </w:rPr>
      </w:pPr>
      <w:r w:rsidRPr="00311FFF">
        <w:rPr>
          <w:rFonts w:ascii="Open Sans" w:hAnsi="Open Sans"/>
          <w:b/>
          <w:bCs/>
          <w:sz w:val="22"/>
          <w:szCs w:val="22"/>
        </w:rPr>
        <w:lastRenderedPageBreak/>
        <w:t>About Vitafoods Asia</w:t>
      </w:r>
    </w:p>
    <w:p w14:paraId="306B2895" w14:textId="77777777" w:rsidR="00FB7C70" w:rsidRPr="00311FFF" w:rsidRDefault="00FB7C70" w:rsidP="00605748">
      <w:pPr>
        <w:spacing w:after="0"/>
        <w:rPr>
          <w:rFonts w:ascii="Open Sans" w:hAnsi="Open Sans" w:hint="eastAsia"/>
          <w:sz w:val="22"/>
          <w:szCs w:val="22"/>
        </w:rPr>
      </w:pPr>
    </w:p>
    <w:p w14:paraId="686E914D" w14:textId="490ECE69" w:rsidR="00FB7C70" w:rsidRPr="00311FFF" w:rsidRDefault="00FB7C70" w:rsidP="00FB7C70">
      <w:pPr>
        <w:spacing w:after="0"/>
        <w:rPr>
          <w:rFonts w:ascii="Open Sans" w:hAnsi="Open Sans" w:hint="eastAsia"/>
          <w:sz w:val="22"/>
          <w:szCs w:val="22"/>
          <w:lang w:val="en-SG"/>
        </w:rPr>
      </w:pPr>
      <w:r w:rsidRPr="00311FFF">
        <w:rPr>
          <w:rFonts w:ascii="Open Sans" w:hAnsi="Open Sans"/>
          <w:b/>
          <w:bCs/>
          <w:sz w:val="22"/>
          <w:szCs w:val="22"/>
          <w:lang w:val="en-SG"/>
        </w:rPr>
        <w:t>Shaping the food industry for optimal health through science and innovation</w:t>
      </w:r>
    </w:p>
    <w:p w14:paraId="74C91E72" w14:textId="77777777" w:rsidR="00FB7C70" w:rsidRPr="00311FFF" w:rsidRDefault="00FB7C70" w:rsidP="00FB7C70">
      <w:pPr>
        <w:spacing w:after="0"/>
        <w:rPr>
          <w:rFonts w:ascii="Open Sans" w:hAnsi="Open Sans" w:hint="eastAsia"/>
          <w:sz w:val="22"/>
          <w:szCs w:val="22"/>
          <w:lang w:val="en-SG"/>
        </w:rPr>
      </w:pPr>
      <w:r w:rsidRPr="00311FFF">
        <w:rPr>
          <w:rFonts w:ascii="Open Sans" w:hAnsi="Open Sans"/>
          <w:sz w:val="22"/>
          <w:szCs w:val="22"/>
          <w:lang w:val="en-SG"/>
        </w:rPr>
        <w:t>Vitafoods Asia shapes the food industry for optimal health through science and innovation. Asia’s No.1 nutraceutical event connects over 350 international suppliers and 6,000+ business leaders who are looking to source the most innovative and highest quality nutraceutical ingredients, dietary supplements and services.</w:t>
      </w:r>
    </w:p>
    <w:p w14:paraId="62A1F5B2" w14:textId="77777777" w:rsidR="00FB7C70" w:rsidRPr="00311FFF" w:rsidRDefault="00FB7C70" w:rsidP="00FB7C70">
      <w:pPr>
        <w:spacing w:after="0"/>
        <w:rPr>
          <w:rFonts w:ascii="Open Sans" w:hAnsi="Open Sans" w:hint="eastAsia"/>
          <w:sz w:val="22"/>
          <w:szCs w:val="22"/>
          <w:lang w:val="en-SG"/>
        </w:rPr>
      </w:pPr>
      <w:r w:rsidRPr="00311FFF">
        <w:rPr>
          <w:rFonts w:ascii="Open Sans" w:hAnsi="Open Sans"/>
          <w:sz w:val="22"/>
          <w:szCs w:val="22"/>
          <w:lang w:val="en-SG"/>
        </w:rPr>
        <w:t> </w:t>
      </w:r>
    </w:p>
    <w:p w14:paraId="7A5B9849" w14:textId="77777777" w:rsidR="00FB7C70" w:rsidRPr="00311FFF" w:rsidRDefault="00FB7C70" w:rsidP="00FB7C70">
      <w:pPr>
        <w:spacing w:after="0"/>
        <w:rPr>
          <w:rFonts w:ascii="Open Sans" w:hAnsi="Open Sans" w:hint="eastAsia"/>
          <w:sz w:val="22"/>
          <w:szCs w:val="22"/>
          <w:lang w:val="en-SG"/>
        </w:rPr>
      </w:pPr>
      <w:r w:rsidRPr="00311FFF">
        <w:rPr>
          <w:rFonts w:ascii="Open Sans" w:hAnsi="Open Sans"/>
          <w:sz w:val="22"/>
          <w:szCs w:val="22"/>
          <w:lang w:val="en-SG"/>
        </w:rPr>
        <w:t>The values-driven content, insights, consulting and education initiatives ensure attendees gain a global and regional perspective to explore nutraceuticals from every angle; enabling companies to navigate consumer-driven changes further to identify and profit from untapped growth opportunities.</w:t>
      </w:r>
    </w:p>
    <w:p w14:paraId="26EE1491" w14:textId="77777777" w:rsidR="00FB7C70" w:rsidRPr="00311FFF" w:rsidRDefault="00FB7C70" w:rsidP="00FB7C70">
      <w:pPr>
        <w:spacing w:after="0"/>
        <w:rPr>
          <w:rFonts w:ascii="Open Sans" w:hAnsi="Open Sans" w:hint="eastAsia"/>
          <w:sz w:val="22"/>
          <w:szCs w:val="22"/>
          <w:lang w:val="en-SG"/>
        </w:rPr>
      </w:pPr>
      <w:r w:rsidRPr="00311FFF">
        <w:rPr>
          <w:rFonts w:ascii="Open Sans" w:hAnsi="Open Sans"/>
          <w:sz w:val="22"/>
          <w:szCs w:val="22"/>
          <w:lang w:val="en-SG"/>
        </w:rPr>
        <w:t> </w:t>
      </w:r>
    </w:p>
    <w:p w14:paraId="1697D5D2" w14:textId="77777777" w:rsidR="00FB7C70" w:rsidRPr="00311FFF" w:rsidRDefault="00FB7C70" w:rsidP="00FB7C70">
      <w:pPr>
        <w:spacing w:after="0"/>
        <w:rPr>
          <w:rFonts w:ascii="Open Sans" w:hAnsi="Open Sans" w:hint="eastAsia"/>
          <w:sz w:val="22"/>
          <w:szCs w:val="22"/>
          <w:lang w:val="en-SG"/>
        </w:rPr>
      </w:pPr>
      <w:r w:rsidRPr="00311FFF">
        <w:rPr>
          <w:rFonts w:ascii="Open Sans" w:hAnsi="Open Sans"/>
          <w:sz w:val="22"/>
          <w:szCs w:val="22"/>
          <w:lang w:val="en-SG"/>
        </w:rPr>
        <w:t>See what’s next in the industry at the 9th Vitafoods Asia in Singapore 25-26 September 2019. Visit </w:t>
      </w:r>
      <w:hyperlink r:id="rId19" w:tgtFrame="_blank" w:history="1">
        <w:r w:rsidRPr="00311FFF">
          <w:rPr>
            <w:rStyle w:val="Hyperlink"/>
            <w:rFonts w:ascii="Open Sans" w:hAnsi="Open Sans"/>
            <w:sz w:val="22"/>
            <w:szCs w:val="22"/>
            <w:lang w:val="en-SG"/>
          </w:rPr>
          <w:t>www.vitafoodsasia.com</w:t>
        </w:r>
      </w:hyperlink>
      <w:r w:rsidRPr="00311FFF">
        <w:rPr>
          <w:rFonts w:ascii="Open Sans" w:hAnsi="Open Sans"/>
          <w:sz w:val="22"/>
          <w:szCs w:val="22"/>
          <w:lang w:val="en-SG"/>
        </w:rPr>
        <w:t> to learn more.</w:t>
      </w:r>
    </w:p>
    <w:p w14:paraId="59F29648" w14:textId="77777777" w:rsidR="00FB7C70" w:rsidRPr="00311FFF" w:rsidRDefault="00FB7C70" w:rsidP="00FB7C70">
      <w:pPr>
        <w:spacing w:after="0"/>
        <w:rPr>
          <w:rFonts w:ascii="Open Sans" w:hAnsi="Open Sans" w:hint="eastAsia"/>
          <w:sz w:val="22"/>
          <w:szCs w:val="22"/>
          <w:lang w:val="en-SG"/>
        </w:rPr>
      </w:pPr>
      <w:r w:rsidRPr="00311FFF">
        <w:rPr>
          <w:rFonts w:ascii="Open Sans" w:hAnsi="Open Sans"/>
          <w:sz w:val="22"/>
          <w:szCs w:val="22"/>
          <w:lang w:val="en-SG"/>
        </w:rPr>
        <w:t> </w:t>
      </w:r>
    </w:p>
    <w:p w14:paraId="4A7C1C73" w14:textId="77777777" w:rsidR="00FB7C70" w:rsidRPr="00311FFF" w:rsidRDefault="00FB7C70" w:rsidP="00FB7C70">
      <w:pPr>
        <w:spacing w:after="0"/>
        <w:rPr>
          <w:rFonts w:ascii="Open Sans" w:hAnsi="Open Sans" w:hint="eastAsia"/>
          <w:sz w:val="22"/>
          <w:szCs w:val="22"/>
          <w:lang w:val="en-SG"/>
        </w:rPr>
      </w:pPr>
      <w:r w:rsidRPr="00311FFF">
        <w:rPr>
          <w:rFonts w:ascii="Open Sans" w:hAnsi="Open Sans"/>
          <w:b/>
          <w:bCs/>
          <w:sz w:val="22"/>
          <w:szCs w:val="22"/>
          <w:lang w:val="en-SG"/>
        </w:rPr>
        <w:t>About the Organiser</w:t>
      </w:r>
    </w:p>
    <w:p w14:paraId="165C4EE2" w14:textId="77777777" w:rsidR="00FB7C70" w:rsidRPr="00311FFF" w:rsidRDefault="00FB7C70" w:rsidP="00FB7C70">
      <w:pPr>
        <w:spacing w:after="0"/>
        <w:rPr>
          <w:rFonts w:ascii="Open Sans" w:hAnsi="Open Sans" w:hint="eastAsia"/>
          <w:sz w:val="22"/>
          <w:szCs w:val="22"/>
          <w:lang w:val="en-SG"/>
        </w:rPr>
      </w:pPr>
      <w:r w:rsidRPr="00311FFF">
        <w:rPr>
          <w:rFonts w:ascii="Open Sans" w:hAnsi="Open Sans"/>
          <w:sz w:val="22"/>
          <w:szCs w:val="22"/>
          <w:lang w:val="en-SG"/>
        </w:rPr>
        <w:t> </w:t>
      </w:r>
    </w:p>
    <w:p w14:paraId="6E4AE52D" w14:textId="77777777" w:rsidR="00FB7C70" w:rsidRPr="00311FFF" w:rsidRDefault="00FB7C70" w:rsidP="00FB7C70">
      <w:pPr>
        <w:spacing w:after="0"/>
        <w:rPr>
          <w:rFonts w:ascii="Open Sans" w:hAnsi="Open Sans" w:hint="eastAsia"/>
          <w:sz w:val="22"/>
          <w:szCs w:val="22"/>
          <w:lang w:val="en-SG"/>
        </w:rPr>
      </w:pPr>
      <w:r w:rsidRPr="00311FFF">
        <w:rPr>
          <w:rFonts w:ascii="Open Sans" w:hAnsi="Open Sans"/>
          <w:sz w:val="22"/>
          <w:szCs w:val="22"/>
          <w:lang w:val="en-SG"/>
        </w:rPr>
        <w:t>Vitafoods Asia is part of Informa Health &amp; Nutrition which brings together a portfolio of events, digital media and publishing for marketers, manufacturers and formulators of nutrition and dietary supplements, healthy foods/beverages and personal care products. Informa Health &amp; Nutrition events include Vitafoods Europe, Vitafoods Asia, SupplySide West and SupplySide East.</w:t>
      </w:r>
    </w:p>
    <w:p w14:paraId="4A46EE93" w14:textId="77777777" w:rsidR="00FB7C70" w:rsidRPr="00311FFF" w:rsidRDefault="00FB7C70" w:rsidP="00FB7C70">
      <w:pPr>
        <w:spacing w:after="0"/>
        <w:rPr>
          <w:rFonts w:ascii="Open Sans" w:hAnsi="Open Sans" w:hint="eastAsia"/>
          <w:sz w:val="22"/>
          <w:szCs w:val="22"/>
          <w:lang w:val="en-SG"/>
        </w:rPr>
      </w:pPr>
      <w:r w:rsidRPr="00311FFF">
        <w:rPr>
          <w:rFonts w:ascii="Open Sans" w:hAnsi="Open Sans"/>
          <w:sz w:val="22"/>
          <w:szCs w:val="22"/>
          <w:lang w:val="en-SG"/>
        </w:rPr>
        <w:t> </w:t>
      </w:r>
    </w:p>
    <w:p w14:paraId="1E3B67BA" w14:textId="77777777" w:rsidR="00FB7C70" w:rsidRPr="00311FFF" w:rsidRDefault="00FB7C70" w:rsidP="00FB7C70">
      <w:pPr>
        <w:spacing w:after="0"/>
        <w:rPr>
          <w:rFonts w:ascii="Open Sans" w:hAnsi="Open Sans" w:hint="eastAsia"/>
          <w:sz w:val="22"/>
          <w:szCs w:val="22"/>
          <w:lang w:val="en-SG"/>
        </w:rPr>
      </w:pPr>
      <w:r w:rsidRPr="00311FFF">
        <w:rPr>
          <w:rFonts w:ascii="Open Sans" w:hAnsi="Open Sans"/>
          <w:sz w:val="22"/>
          <w:szCs w:val="22"/>
          <w:lang w:val="en-SG"/>
        </w:rPr>
        <w:t>To learn more, please visit Informa Health &amp; Nutrition - </w:t>
      </w:r>
      <w:hyperlink r:id="rId20" w:tgtFrame="_blank" w:history="1">
        <w:r w:rsidRPr="00311FFF">
          <w:rPr>
            <w:rStyle w:val="Hyperlink"/>
            <w:rFonts w:ascii="Open Sans" w:hAnsi="Open Sans"/>
            <w:sz w:val="22"/>
            <w:szCs w:val="22"/>
            <w:lang w:val="en-SG"/>
          </w:rPr>
          <w:t>https://informahealthandnutrition.com/</w:t>
        </w:r>
      </w:hyperlink>
    </w:p>
    <w:p w14:paraId="34DDE22E" w14:textId="77777777" w:rsidR="00FB7C70" w:rsidRPr="00311FFF" w:rsidRDefault="00FB7C70" w:rsidP="00605748">
      <w:pPr>
        <w:spacing w:after="0"/>
        <w:rPr>
          <w:rFonts w:ascii="Open Sans" w:hAnsi="Open Sans" w:hint="eastAsia"/>
          <w:sz w:val="22"/>
          <w:szCs w:val="22"/>
        </w:rPr>
      </w:pPr>
    </w:p>
    <w:p w14:paraId="19C88508" w14:textId="349143B3" w:rsidR="00FB7C70" w:rsidRPr="00311FFF" w:rsidRDefault="00FB7C70" w:rsidP="00605748">
      <w:pPr>
        <w:spacing w:after="0"/>
        <w:rPr>
          <w:rFonts w:ascii="Open Sans" w:hAnsi="Open Sans" w:hint="eastAsia"/>
          <w:b/>
          <w:bCs/>
          <w:sz w:val="22"/>
          <w:szCs w:val="22"/>
        </w:rPr>
      </w:pPr>
      <w:r w:rsidRPr="00311FFF">
        <w:rPr>
          <w:rFonts w:ascii="Open Sans" w:hAnsi="Open Sans"/>
          <w:b/>
          <w:bCs/>
          <w:sz w:val="22"/>
          <w:szCs w:val="22"/>
        </w:rPr>
        <w:t>MEDIA CONTACT</w:t>
      </w:r>
    </w:p>
    <w:p w14:paraId="6CC96D6C" w14:textId="77777777" w:rsidR="00FB7C70" w:rsidRPr="00311FFF" w:rsidRDefault="00FB7C70" w:rsidP="00FB7C70">
      <w:pPr>
        <w:spacing w:after="0"/>
        <w:rPr>
          <w:rFonts w:ascii="Open Sans" w:hAnsi="Open Sans" w:hint="eastAsia"/>
          <w:sz w:val="22"/>
          <w:szCs w:val="22"/>
        </w:rPr>
      </w:pPr>
      <w:r w:rsidRPr="00311FFF">
        <w:rPr>
          <w:rFonts w:ascii="Open Sans" w:hAnsi="Open Sans"/>
          <w:sz w:val="22"/>
          <w:szCs w:val="22"/>
        </w:rPr>
        <w:t xml:space="preserve">Theodore </w:t>
      </w:r>
      <w:proofErr w:type="spellStart"/>
      <w:r w:rsidRPr="00311FFF">
        <w:rPr>
          <w:rFonts w:ascii="Open Sans" w:hAnsi="Open Sans"/>
          <w:sz w:val="22"/>
          <w:szCs w:val="22"/>
        </w:rPr>
        <w:t>Woon</w:t>
      </w:r>
      <w:proofErr w:type="spellEnd"/>
    </w:p>
    <w:p w14:paraId="0677BE53" w14:textId="77777777" w:rsidR="00FB7C70" w:rsidRPr="00311FFF" w:rsidRDefault="00FB7C70" w:rsidP="00FB7C70">
      <w:pPr>
        <w:spacing w:after="0"/>
        <w:rPr>
          <w:rFonts w:ascii="Open Sans" w:hAnsi="Open Sans" w:hint="eastAsia"/>
          <w:sz w:val="22"/>
          <w:szCs w:val="22"/>
        </w:rPr>
      </w:pPr>
      <w:r w:rsidRPr="00311FFF">
        <w:rPr>
          <w:rFonts w:ascii="Open Sans" w:hAnsi="Open Sans"/>
          <w:sz w:val="22"/>
          <w:szCs w:val="22"/>
        </w:rPr>
        <w:t>Manager</w:t>
      </w:r>
    </w:p>
    <w:p w14:paraId="3ACD33D2" w14:textId="77777777" w:rsidR="00FB7C70" w:rsidRPr="00311FFF" w:rsidRDefault="00FB7C70" w:rsidP="00FB7C70">
      <w:pPr>
        <w:spacing w:after="0"/>
        <w:rPr>
          <w:rFonts w:ascii="Open Sans" w:hAnsi="Open Sans" w:hint="eastAsia"/>
          <w:sz w:val="22"/>
          <w:szCs w:val="22"/>
        </w:rPr>
      </w:pPr>
      <w:r w:rsidRPr="00311FFF">
        <w:rPr>
          <w:rFonts w:ascii="Open Sans" w:hAnsi="Open Sans"/>
          <w:sz w:val="22"/>
          <w:szCs w:val="22"/>
        </w:rPr>
        <w:t xml:space="preserve">PINPOINT PR </w:t>
      </w:r>
      <w:proofErr w:type="spellStart"/>
      <w:r w:rsidRPr="00311FFF">
        <w:rPr>
          <w:rFonts w:ascii="Open Sans" w:hAnsi="Open Sans"/>
          <w:sz w:val="22"/>
          <w:szCs w:val="22"/>
        </w:rPr>
        <w:t>Pte.</w:t>
      </w:r>
      <w:proofErr w:type="spellEnd"/>
      <w:r w:rsidRPr="00311FFF">
        <w:rPr>
          <w:rFonts w:ascii="Open Sans" w:hAnsi="Open Sans"/>
          <w:sz w:val="22"/>
          <w:szCs w:val="22"/>
        </w:rPr>
        <w:t xml:space="preserve"> Ltd.</w:t>
      </w:r>
    </w:p>
    <w:p w14:paraId="6D49C592" w14:textId="77777777" w:rsidR="00FB7C70" w:rsidRPr="00311FFF" w:rsidRDefault="00FB7C70" w:rsidP="00FB7C70">
      <w:pPr>
        <w:spacing w:after="0"/>
        <w:rPr>
          <w:rFonts w:ascii="Open Sans" w:hAnsi="Open Sans" w:hint="eastAsia"/>
          <w:sz w:val="22"/>
          <w:szCs w:val="22"/>
        </w:rPr>
      </w:pPr>
      <w:r w:rsidRPr="00311FFF">
        <w:rPr>
          <w:rFonts w:ascii="Open Sans" w:hAnsi="Open Sans"/>
          <w:sz w:val="22"/>
          <w:szCs w:val="22"/>
        </w:rPr>
        <w:t>theo@pinpointpr.sg | pinpointpr.sg</w:t>
      </w:r>
    </w:p>
    <w:p w14:paraId="43DEE765" w14:textId="422D5A6A" w:rsidR="00FB7C70" w:rsidRPr="00311FFF" w:rsidRDefault="00FB7C70" w:rsidP="00FB7C70">
      <w:pPr>
        <w:spacing w:after="0"/>
        <w:rPr>
          <w:rFonts w:ascii="Open Sans" w:hAnsi="Open Sans" w:hint="eastAsia"/>
          <w:sz w:val="22"/>
          <w:szCs w:val="22"/>
        </w:rPr>
      </w:pPr>
      <w:r w:rsidRPr="00311FFF">
        <w:rPr>
          <w:rFonts w:ascii="Open Sans" w:hAnsi="Open Sans"/>
          <w:sz w:val="22"/>
          <w:szCs w:val="22"/>
        </w:rPr>
        <w:t>+65 9155 3507</w:t>
      </w:r>
    </w:p>
    <w:sectPr w:rsidR="00FB7C70" w:rsidRPr="00311FFF" w:rsidSect="00D20AFB">
      <w:headerReference w:type="default" r:id="rId21"/>
      <w:footerReference w:type="default" r:id="rId22"/>
      <w:headerReference w:type="first" r:id="rId23"/>
      <w:pgSz w:w="11906" w:h="16838" w:code="9"/>
      <w:pgMar w:top="2552" w:right="851" w:bottom="1134" w:left="1531"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AF043" w14:textId="77777777" w:rsidR="00E80059" w:rsidRDefault="00E80059" w:rsidP="00C702C7">
      <w:r>
        <w:separator/>
      </w:r>
    </w:p>
  </w:endnote>
  <w:endnote w:type="continuationSeparator" w:id="0">
    <w:p w14:paraId="6783DC95" w14:textId="77777777" w:rsidR="00E80059" w:rsidRDefault="00E80059" w:rsidP="00C7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Open Sans SemiBold">
    <w:altName w:val="Segoe UI"/>
    <w:charset w:val="00"/>
    <w:family w:val="swiss"/>
    <w:pitch w:val="variable"/>
    <w:sig w:usb0="E00002EF" w:usb1="4000205B" w:usb2="00000028" w:usb3="00000000" w:csb0="0000019F" w:csb1="00000000"/>
  </w:font>
  <w:font w:name="Aleo">
    <w:altName w:val="Calibri"/>
    <w:charset w:val="00"/>
    <w:family w:val="auto"/>
    <w:pitch w:val="variable"/>
    <w:sig w:usb0="00000007" w:usb1="00000000" w:usb2="00000000" w:usb3="00000000" w:csb0="00000083"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Rockwell">
    <w:panose1 w:val="02060603020205020403"/>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48388" w14:textId="77777777" w:rsidR="00D20AFB" w:rsidRDefault="00295D86" w:rsidP="00D20AFB">
    <w:pPr>
      <w:pStyle w:val="Footer"/>
      <w:tabs>
        <w:tab w:val="right" w:pos="9026"/>
      </w:tabs>
    </w:pPr>
    <w:r>
      <w:rPr>
        <w:noProof/>
      </w:rPr>
      <mc:AlternateContent>
        <mc:Choice Requires="wps">
          <w:drawing>
            <wp:anchor distT="0" distB="0" distL="114300" distR="114300" simplePos="0" relativeHeight="251658752" behindDoc="0" locked="0" layoutInCell="0" allowOverlap="1" wp14:anchorId="2C08C0CE" wp14:editId="66D956BB">
              <wp:simplePos x="0" y="0"/>
              <wp:positionH relativeFrom="page">
                <wp:posOffset>0</wp:posOffset>
              </wp:positionH>
              <wp:positionV relativeFrom="page">
                <wp:posOffset>10234930</wp:posOffset>
              </wp:positionV>
              <wp:extent cx="7560310" cy="266700"/>
              <wp:effectExtent l="0" t="0" r="0" b="0"/>
              <wp:wrapNone/>
              <wp:docPr id="2" name="MSIPCM4e6a430ab1a388aa0ce34529" descr="{&quot;HashCode&quot;:156159341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40D31F" w14:textId="77777777" w:rsidR="007924D8" w:rsidRPr="007924D8" w:rsidRDefault="007924D8" w:rsidP="007924D8">
                          <w:pPr>
                            <w:spacing w:after="0"/>
                            <w:rPr>
                              <w:rFonts w:ascii="Rockwell" w:hAnsi="Rockwell"/>
                              <w:color w:val="0078D7"/>
                            </w:rPr>
                          </w:pPr>
                          <w:r w:rsidRPr="007924D8">
                            <w:rPr>
                              <w:rFonts w:ascii="Rockwell" w:hAnsi="Rockwell"/>
                              <w:color w:val="0078D7"/>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08C0CE" id="_x0000_t202" coordsize="21600,21600" o:spt="202" path="m,l,21600r21600,l21600,xe">
              <v:stroke joinstyle="miter"/>
              <v:path gradientshapeok="t" o:connecttype="rect"/>
            </v:shapetype>
            <v:shape id="MSIPCM4e6a430ab1a388aa0ce34529" o:spid="_x0000_s1026" type="#_x0000_t202" alt="{&quot;HashCode&quot;:1561593418,&quot;Height&quot;:841.0,&quot;Width&quot;:595.0,&quot;Placement&quot;:&quot;Footer&quot;,&quot;Index&quot;:&quot;Primary&quot;,&quot;Section&quot;:1,&quot;Top&quot;:0.0,&quot;Left&quot;:0.0}" style="position:absolute;margin-left:0;margin-top:805.9pt;width:595.3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" o:allowincell="f" filled="f" stroked="f" strokeweight=".5pt">
              <v:path arrowok="t"/>
              <v:textbox inset="20pt,0,,0">
                <w:txbxContent>
                  <w:p w14:paraId="7B40D31F" w14:textId="77777777" w:rsidR="007924D8" w:rsidRPr="007924D8" w:rsidRDefault="007924D8" w:rsidP="007924D8">
                    <w:pPr>
                      <w:spacing w:after="0"/>
                      <w:rPr>
                        <w:rFonts w:ascii="Rockwell" w:hAnsi="Rockwell"/>
                        <w:color w:val="0078D7"/>
                      </w:rPr>
                    </w:pPr>
                    <w:r w:rsidRPr="007924D8">
                      <w:rPr>
                        <w:rFonts w:ascii="Rockwell" w:hAnsi="Rockwell"/>
                        <w:color w:val="0078D7"/>
                      </w:rPr>
                      <w:t>Information Classification: General</w:t>
                    </w:r>
                  </w:p>
                </w:txbxContent>
              </v:textbox>
              <w10:wrap anchorx="page" anchory="page"/>
            </v:shape>
          </w:pict>
        </mc:Fallback>
      </mc:AlternateContent>
    </w:r>
    <w:r w:rsidR="00255F61">
      <w:fldChar w:fldCharType="begin"/>
    </w:r>
    <w:r w:rsidR="00255F61">
      <w:instrText xml:space="preserve"> PAGE   \* MERGEFORMAT </w:instrText>
    </w:r>
    <w:r w:rsidR="00255F61">
      <w:fldChar w:fldCharType="separate"/>
    </w:r>
    <w:r w:rsidR="00255F61">
      <w:rPr>
        <w:noProof/>
      </w:rPr>
      <w:t>2</w:t>
    </w:r>
    <w:r w:rsidR="00255F61">
      <w:fldChar w:fldCharType="end"/>
    </w:r>
    <w:r w:rsidR="00255F61">
      <w:tab/>
    </w:r>
    <w:r w:rsidR="00D20AFB">
      <w:t xml:space="preserve">Registered in England and Wales. Registered Number 3099067. </w:t>
    </w:r>
  </w:p>
  <w:p w14:paraId="6526D41E" w14:textId="77777777" w:rsidR="00F15F5C" w:rsidRDefault="00D20AFB" w:rsidP="00D20AFB">
    <w:pPr>
      <w:pStyle w:val="Footer"/>
      <w:tabs>
        <w:tab w:val="right" w:pos="9026"/>
      </w:tabs>
    </w:pPr>
    <w:r>
      <w:tab/>
      <w:t>Registered office address: 5 Howick Place, London SW1P 1WG, United Kingdom.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BDA3F" w14:textId="77777777" w:rsidR="00E80059" w:rsidRDefault="00E80059" w:rsidP="00C702C7">
      <w:r>
        <w:separator/>
      </w:r>
    </w:p>
  </w:footnote>
  <w:footnote w:type="continuationSeparator" w:id="0">
    <w:p w14:paraId="2F0E949D" w14:textId="77777777" w:rsidR="00E80059" w:rsidRDefault="00E80059" w:rsidP="00C70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DEC8A" w14:textId="6A41A73A" w:rsidR="00255F61" w:rsidRDefault="000F4F1B" w:rsidP="000F4F1B">
    <w:pPr>
      <w:pStyle w:val="Header"/>
      <w:jc w:val="right"/>
    </w:pPr>
    <w:r>
      <w:rPr>
        <w:rFonts w:ascii="Open Sans" w:hAnsi="Open Sans" w:cs="Open Sans"/>
        <w:noProof/>
        <w:sz w:val="21"/>
        <w:szCs w:val="21"/>
      </w:rPr>
      <w:drawing>
        <wp:inline distT="0" distB="0" distL="0" distR="0" wp14:anchorId="73B93C80" wp14:editId="2452F1F0">
          <wp:extent cx="1600200" cy="9197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460" cy="927912"/>
                  </a:xfrm>
                  <a:prstGeom prst="rect">
                    <a:avLst/>
                  </a:prstGeom>
                  <a:noFill/>
                  <a:ln>
                    <a:noFill/>
                  </a:ln>
                </pic:spPr>
              </pic:pic>
            </a:graphicData>
          </a:graphic>
        </wp:inline>
      </w:drawing>
    </w:r>
    <w:r w:rsidR="00295D86">
      <w:rPr>
        <w:noProof/>
      </w:rPr>
      <w:drawing>
        <wp:anchor distT="0" distB="0" distL="114300" distR="114300" simplePos="0" relativeHeight="251657728" behindDoc="0" locked="1" layoutInCell="1" allowOverlap="1" wp14:anchorId="7C8165FD" wp14:editId="0B328443">
          <wp:simplePos x="0" y="0"/>
          <wp:positionH relativeFrom="page">
            <wp:posOffset>431800</wp:posOffset>
          </wp:positionH>
          <wp:positionV relativeFrom="page">
            <wp:posOffset>431800</wp:posOffset>
          </wp:positionV>
          <wp:extent cx="1346200" cy="4356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6200" cy="4356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97A9B" w14:textId="77777777" w:rsidR="003816AF" w:rsidRDefault="00295D86">
    <w:pPr>
      <w:pStyle w:val="Header"/>
    </w:pPr>
    <w:r>
      <w:rPr>
        <w:noProof/>
      </w:rPr>
      <w:drawing>
        <wp:anchor distT="0" distB="0" distL="114300" distR="114300" simplePos="0" relativeHeight="251656704" behindDoc="0" locked="1" layoutInCell="1" allowOverlap="1" wp14:anchorId="3AE1311B" wp14:editId="6C25A53C">
          <wp:simplePos x="0" y="0"/>
          <wp:positionH relativeFrom="page">
            <wp:posOffset>431800</wp:posOffset>
          </wp:positionH>
          <wp:positionV relativeFrom="page">
            <wp:posOffset>431800</wp:posOffset>
          </wp:positionV>
          <wp:extent cx="1346200" cy="43561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4356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9D42924"/>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B38CB2B6"/>
    <w:lvl w:ilvl="0">
      <w:start w:val="1"/>
      <w:numFmt w:val="bullet"/>
      <w:pStyle w:val="ListBullet2"/>
      <w:lvlText w:val="‒"/>
      <w:lvlJc w:val="left"/>
      <w:pPr>
        <w:ind w:left="587" w:hanging="360"/>
      </w:pPr>
      <w:rPr>
        <w:rFonts w:ascii="Calibri" w:hAnsi="Calibri" w:hint="default"/>
      </w:rPr>
    </w:lvl>
  </w:abstractNum>
  <w:abstractNum w:abstractNumId="2" w15:restartNumberingAfterBreak="0">
    <w:nsid w:val="FFFFFF88"/>
    <w:multiLevelType w:val="singleLevel"/>
    <w:tmpl w:val="F716B3D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B78C072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C366BD0"/>
    <w:multiLevelType w:val="multilevel"/>
    <w:tmpl w:val="15F6EE94"/>
    <w:lvl w:ilvl="0">
      <w:start w:val="1"/>
      <w:numFmt w:val="decimal"/>
      <w:lvlText w:val="%1."/>
      <w:lvlJc w:val="left"/>
      <w:pPr>
        <w:ind w:left="20" w:hanging="360"/>
      </w:pPr>
      <w:rPr>
        <w:rFonts w:hint="default"/>
        <w:b w:val="0"/>
        <w:i w:val="0"/>
        <w:color w:val="00000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8"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2"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4" w15:restartNumberingAfterBreak="0">
    <w:nsid w:val="61425E9D"/>
    <w:multiLevelType w:val="hybridMultilevel"/>
    <w:tmpl w:val="C9684C9A"/>
    <w:lvl w:ilvl="0" w:tplc="1616CDF4">
      <w:start w:val="1"/>
      <w:numFmt w:val="bullet"/>
      <w:pStyle w:val="Table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3F631DE"/>
    <w:multiLevelType w:val="hybridMultilevel"/>
    <w:tmpl w:val="213C5FF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AF92B24"/>
    <w:multiLevelType w:val="hybridMultilevel"/>
    <w:tmpl w:val="8CF8994C"/>
    <w:lvl w:ilvl="0" w:tplc="4809000F">
      <w:start w:val="1"/>
      <w:numFmt w:val="decimal"/>
      <w:lvlText w:val="%1."/>
      <w:lvlJc w:val="left"/>
      <w:pPr>
        <w:ind w:left="1400" w:hanging="360"/>
      </w:pPr>
    </w:lvl>
    <w:lvl w:ilvl="1" w:tplc="48090019" w:tentative="1">
      <w:start w:val="1"/>
      <w:numFmt w:val="lowerLetter"/>
      <w:lvlText w:val="%2."/>
      <w:lvlJc w:val="left"/>
      <w:pPr>
        <w:ind w:left="2120" w:hanging="360"/>
      </w:pPr>
    </w:lvl>
    <w:lvl w:ilvl="2" w:tplc="4809001B" w:tentative="1">
      <w:start w:val="1"/>
      <w:numFmt w:val="lowerRoman"/>
      <w:lvlText w:val="%3."/>
      <w:lvlJc w:val="right"/>
      <w:pPr>
        <w:ind w:left="2840" w:hanging="180"/>
      </w:pPr>
    </w:lvl>
    <w:lvl w:ilvl="3" w:tplc="4809000F" w:tentative="1">
      <w:start w:val="1"/>
      <w:numFmt w:val="decimal"/>
      <w:lvlText w:val="%4."/>
      <w:lvlJc w:val="left"/>
      <w:pPr>
        <w:ind w:left="3560" w:hanging="360"/>
      </w:pPr>
    </w:lvl>
    <w:lvl w:ilvl="4" w:tplc="48090019" w:tentative="1">
      <w:start w:val="1"/>
      <w:numFmt w:val="lowerLetter"/>
      <w:lvlText w:val="%5."/>
      <w:lvlJc w:val="left"/>
      <w:pPr>
        <w:ind w:left="4280" w:hanging="360"/>
      </w:pPr>
    </w:lvl>
    <w:lvl w:ilvl="5" w:tplc="4809001B" w:tentative="1">
      <w:start w:val="1"/>
      <w:numFmt w:val="lowerRoman"/>
      <w:lvlText w:val="%6."/>
      <w:lvlJc w:val="right"/>
      <w:pPr>
        <w:ind w:left="5000" w:hanging="180"/>
      </w:pPr>
    </w:lvl>
    <w:lvl w:ilvl="6" w:tplc="4809000F" w:tentative="1">
      <w:start w:val="1"/>
      <w:numFmt w:val="decimal"/>
      <w:lvlText w:val="%7."/>
      <w:lvlJc w:val="left"/>
      <w:pPr>
        <w:ind w:left="5720" w:hanging="360"/>
      </w:pPr>
    </w:lvl>
    <w:lvl w:ilvl="7" w:tplc="48090019" w:tentative="1">
      <w:start w:val="1"/>
      <w:numFmt w:val="lowerLetter"/>
      <w:lvlText w:val="%8."/>
      <w:lvlJc w:val="left"/>
      <w:pPr>
        <w:ind w:left="6440" w:hanging="360"/>
      </w:pPr>
    </w:lvl>
    <w:lvl w:ilvl="8" w:tplc="4809001B" w:tentative="1">
      <w:start w:val="1"/>
      <w:numFmt w:val="lowerRoman"/>
      <w:lvlText w:val="%9."/>
      <w:lvlJc w:val="right"/>
      <w:pPr>
        <w:ind w:left="7160" w:hanging="180"/>
      </w:pPr>
    </w:lvl>
  </w:abstractNum>
  <w:abstractNum w:abstractNumId="18"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 w:numId="5">
    <w:abstractNumId w:val="9"/>
  </w:num>
  <w:num w:numId="6">
    <w:abstractNumId w:val="13"/>
  </w:num>
  <w:num w:numId="7">
    <w:abstractNumId w:val="13"/>
    <w:lvlOverride w:ilvl="0">
      <w:startOverride w:val="1"/>
    </w:lvlOverride>
  </w:num>
  <w:num w:numId="8">
    <w:abstractNumId w:val="11"/>
  </w:num>
  <w:num w:numId="9">
    <w:abstractNumId w:val="12"/>
  </w:num>
  <w:num w:numId="10">
    <w:abstractNumId w:val="6"/>
  </w:num>
  <w:num w:numId="11">
    <w:abstractNumId w:val="7"/>
  </w:num>
  <w:num w:numId="12">
    <w:abstractNumId w:val="15"/>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8"/>
  </w:num>
  <w:num w:numId="17">
    <w:abstractNumId w:val="10"/>
  </w:num>
  <w:num w:numId="18">
    <w:abstractNumId w:val="5"/>
  </w:num>
  <w:num w:numId="19">
    <w:abstractNumId w:val="14"/>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D86"/>
    <w:rsid w:val="000005FE"/>
    <w:rsid w:val="00001896"/>
    <w:rsid w:val="000131A3"/>
    <w:rsid w:val="00014B89"/>
    <w:rsid w:val="00017E95"/>
    <w:rsid w:val="00021A39"/>
    <w:rsid w:val="00025E7D"/>
    <w:rsid w:val="000263C3"/>
    <w:rsid w:val="00037C17"/>
    <w:rsid w:val="000429AC"/>
    <w:rsid w:val="00042B6A"/>
    <w:rsid w:val="00042B99"/>
    <w:rsid w:val="0005797B"/>
    <w:rsid w:val="000637A6"/>
    <w:rsid w:val="00066BBA"/>
    <w:rsid w:val="00071509"/>
    <w:rsid w:val="00083DD5"/>
    <w:rsid w:val="000B1584"/>
    <w:rsid w:val="000C20BD"/>
    <w:rsid w:val="000C5EA5"/>
    <w:rsid w:val="000D26D1"/>
    <w:rsid w:val="000D2DE0"/>
    <w:rsid w:val="000F4F1B"/>
    <w:rsid w:val="000F5C22"/>
    <w:rsid w:val="0010142D"/>
    <w:rsid w:val="0010462B"/>
    <w:rsid w:val="00123AD3"/>
    <w:rsid w:val="00130191"/>
    <w:rsid w:val="001708B9"/>
    <w:rsid w:val="0017280D"/>
    <w:rsid w:val="001757CE"/>
    <w:rsid w:val="00180BDA"/>
    <w:rsid w:val="0018108F"/>
    <w:rsid w:val="00186FC8"/>
    <w:rsid w:val="001975EF"/>
    <w:rsid w:val="0019765A"/>
    <w:rsid w:val="001A45CF"/>
    <w:rsid w:val="001B2897"/>
    <w:rsid w:val="001B5C19"/>
    <w:rsid w:val="001D03A7"/>
    <w:rsid w:val="001E73BE"/>
    <w:rsid w:val="001E7D3E"/>
    <w:rsid w:val="001F61B8"/>
    <w:rsid w:val="00216CF6"/>
    <w:rsid w:val="00220CCF"/>
    <w:rsid w:val="00231B44"/>
    <w:rsid w:val="002340B6"/>
    <w:rsid w:val="00234BA2"/>
    <w:rsid w:val="0024795D"/>
    <w:rsid w:val="00253D2A"/>
    <w:rsid w:val="00254ABD"/>
    <w:rsid w:val="00255D53"/>
    <w:rsid w:val="00255F61"/>
    <w:rsid w:val="00295D86"/>
    <w:rsid w:val="00297214"/>
    <w:rsid w:val="002B533B"/>
    <w:rsid w:val="002C09ED"/>
    <w:rsid w:val="002C5FEA"/>
    <w:rsid w:val="002C690A"/>
    <w:rsid w:val="002D41F7"/>
    <w:rsid w:val="002E1C00"/>
    <w:rsid w:val="002E7099"/>
    <w:rsid w:val="002F2771"/>
    <w:rsid w:val="002F4FD3"/>
    <w:rsid w:val="00306D92"/>
    <w:rsid w:val="00311FFF"/>
    <w:rsid w:val="003121C1"/>
    <w:rsid w:val="0032373B"/>
    <w:rsid w:val="003337FF"/>
    <w:rsid w:val="00333E25"/>
    <w:rsid w:val="00337680"/>
    <w:rsid w:val="00346CF0"/>
    <w:rsid w:val="00357E4F"/>
    <w:rsid w:val="00375EB8"/>
    <w:rsid w:val="00377AE4"/>
    <w:rsid w:val="003816AF"/>
    <w:rsid w:val="003863C7"/>
    <w:rsid w:val="0039181B"/>
    <w:rsid w:val="003B74BB"/>
    <w:rsid w:val="003C12AF"/>
    <w:rsid w:val="003C4DE4"/>
    <w:rsid w:val="003E138D"/>
    <w:rsid w:val="003E1820"/>
    <w:rsid w:val="00404297"/>
    <w:rsid w:val="004052BC"/>
    <w:rsid w:val="00412EA0"/>
    <w:rsid w:val="0044558B"/>
    <w:rsid w:val="004509E3"/>
    <w:rsid w:val="00451AD9"/>
    <w:rsid w:val="0047329D"/>
    <w:rsid w:val="00473614"/>
    <w:rsid w:val="00481811"/>
    <w:rsid w:val="00485DE9"/>
    <w:rsid w:val="004860A3"/>
    <w:rsid w:val="004935C2"/>
    <w:rsid w:val="004A0DCC"/>
    <w:rsid w:val="004A5D68"/>
    <w:rsid w:val="004C338F"/>
    <w:rsid w:val="004D49FC"/>
    <w:rsid w:val="004F47B4"/>
    <w:rsid w:val="004F4A4B"/>
    <w:rsid w:val="004F61F1"/>
    <w:rsid w:val="00501EFF"/>
    <w:rsid w:val="0051347D"/>
    <w:rsid w:val="00526CDD"/>
    <w:rsid w:val="005270F9"/>
    <w:rsid w:val="00533349"/>
    <w:rsid w:val="00543BA8"/>
    <w:rsid w:val="00563C6F"/>
    <w:rsid w:val="00566858"/>
    <w:rsid w:val="00573556"/>
    <w:rsid w:val="00573D2F"/>
    <w:rsid w:val="00581ADB"/>
    <w:rsid w:val="005843DE"/>
    <w:rsid w:val="0059682F"/>
    <w:rsid w:val="005B6B53"/>
    <w:rsid w:val="005D5512"/>
    <w:rsid w:val="005F525A"/>
    <w:rsid w:val="005F54F5"/>
    <w:rsid w:val="005F74C0"/>
    <w:rsid w:val="00605199"/>
    <w:rsid w:val="00605748"/>
    <w:rsid w:val="00612E7E"/>
    <w:rsid w:val="00617FC5"/>
    <w:rsid w:val="00624C5E"/>
    <w:rsid w:val="00640451"/>
    <w:rsid w:val="00671EC0"/>
    <w:rsid w:val="00676F48"/>
    <w:rsid w:val="0067770B"/>
    <w:rsid w:val="00685028"/>
    <w:rsid w:val="00686056"/>
    <w:rsid w:val="006A473D"/>
    <w:rsid w:val="006B16E0"/>
    <w:rsid w:val="006B4816"/>
    <w:rsid w:val="006C5AD3"/>
    <w:rsid w:val="006C617F"/>
    <w:rsid w:val="006D6A17"/>
    <w:rsid w:val="00700A0A"/>
    <w:rsid w:val="007172D9"/>
    <w:rsid w:val="00720888"/>
    <w:rsid w:val="0072746D"/>
    <w:rsid w:val="00734C1B"/>
    <w:rsid w:val="00745E29"/>
    <w:rsid w:val="0074606B"/>
    <w:rsid w:val="007516F0"/>
    <w:rsid w:val="00753A99"/>
    <w:rsid w:val="00757C99"/>
    <w:rsid w:val="007623DC"/>
    <w:rsid w:val="0076614E"/>
    <w:rsid w:val="00766A1F"/>
    <w:rsid w:val="00770C6F"/>
    <w:rsid w:val="00783362"/>
    <w:rsid w:val="0078779B"/>
    <w:rsid w:val="007924D8"/>
    <w:rsid w:val="0079305A"/>
    <w:rsid w:val="00795877"/>
    <w:rsid w:val="007A3133"/>
    <w:rsid w:val="007B2FB1"/>
    <w:rsid w:val="007C008A"/>
    <w:rsid w:val="007C5F58"/>
    <w:rsid w:val="007C7944"/>
    <w:rsid w:val="007E03C0"/>
    <w:rsid w:val="007E2836"/>
    <w:rsid w:val="007E2F12"/>
    <w:rsid w:val="007E568A"/>
    <w:rsid w:val="007F4828"/>
    <w:rsid w:val="00806B16"/>
    <w:rsid w:val="00813DBC"/>
    <w:rsid w:val="00813F7A"/>
    <w:rsid w:val="00822FC7"/>
    <w:rsid w:val="0082520E"/>
    <w:rsid w:val="00825F91"/>
    <w:rsid w:val="00850CA9"/>
    <w:rsid w:val="00856133"/>
    <w:rsid w:val="00856A0E"/>
    <w:rsid w:val="00872FD2"/>
    <w:rsid w:val="00873D35"/>
    <w:rsid w:val="00876869"/>
    <w:rsid w:val="00890BD8"/>
    <w:rsid w:val="0089461C"/>
    <w:rsid w:val="00894F9A"/>
    <w:rsid w:val="008C0EAA"/>
    <w:rsid w:val="008C5A91"/>
    <w:rsid w:val="008D59F6"/>
    <w:rsid w:val="008E1C7D"/>
    <w:rsid w:val="008E7898"/>
    <w:rsid w:val="008E7B8E"/>
    <w:rsid w:val="008E7ED3"/>
    <w:rsid w:val="008F3161"/>
    <w:rsid w:val="008F53C9"/>
    <w:rsid w:val="0090127D"/>
    <w:rsid w:val="00905422"/>
    <w:rsid w:val="00906972"/>
    <w:rsid w:val="00923C47"/>
    <w:rsid w:val="00930258"/>
    <w:rsid w:val="00930A39"/>
    <w:rsid w:val="009350F0"/>
    <w:rsid w:val="009635F4"/>
    <w:rsid w:val="00977BEA"/>
    <w:rsid w:val="00991538"/>
    <w:rsid w:val="0099372E"/>
    <w:rsid w:val="00995104"/>
    <w:rsid w:val="009A0464"/>
    <w:rsid w:val="009A44A5"/>
    <w:rsid w:val="009B2D95"/>
    <w:rsid w:val="009C403B"/>
    <w:rsid w:val="009C7A86"/>
    <w:rsid w:val="009D3564"/>
    <w:rsid w:val="009E006D"/>
    <w:rsid w:val="009E0A65"/>
    <w:rsid w:val="009E5122"/>
    <w:rsid w:val="009F0038"/>
    <w:rsid w:val="00A17957"/>
    <w:rsid w:val="00A263FF"/>
    <w:rsid w:val="00A32258"/>
    <w:rsid w:val="00A33333"/>
    <w:rsid w:val="00A350FF"/>
    <w:rsid w:val="00A43B3E"/>
    <w:rsid w:val="00A659E1"/>
    <w:rsid w:val="00A80E26"/>
    <w:rsid w:val="00A85445"/>
    <w:rsid w:val="00A9095F"/>
    <w:rsid w:val="00A90B8D"/>
    <w:rsid w:val="00A91F70"/>
    <w:rsid w:val="00AA34E3"/>
    <w:rsid w:val="00AB02F9"/>
    <w:rsid w:val="00AB3DD5"/>
    <w:rsid w:val="00AC1D94"/>
    <w:rsid w:val="00AE710A"/>
    <w:rsid w:val="00B020E4"/>
    <w:rsid w:val="00B262AB"/>
    <w:rsid w:val="00B270DA"/>
    <w:rsid w:val="00B33CB7"/>
    <w:rsid w:val="00B55B00"/>
    <w:rsid w:val="00B617CD"/>
    <w:rsid w:val="00B76AF5"/>
    <w:rsid w:val="00B805E0"/>
    <w:rsid w:val="00BB42D2"/>
    <w:rsid w:val="00BB6A33"/>
    <w:rsid w:val="00BB6CB3"/>
    <w:rsid w:val="00BC266F"/>
    <w:rsid w:val="00BE48D2"/>
    <w:rsid w:val="00C04DCF"/>
    <w:rsid w:val="00C06177"/>
    <w:rsid w:val="00C075EA"/>
    <w:rsid w:val="00C23990"/>
    <w:rsid w:val="00C25EC1"/>
    <w:rsid w:val="00C34C43"/>
    <w:rsid w:val="00C466AB"/>
    <w:rsid w:val="00C50A26"/>
    <w:rsid w:val="00C55FE4"/>
    <w:rsid w:val="00C61AC6"/>
    <w:rsid w:val="00C702C7"/>
    <w:rsid w:val="00C711B5"/>
    <w:rsid w:val="00C8703B"/>
    <w:rsid w:val="00CA4E63"/>
    <w:rsid w:val="00CA5B05"/>
    <w:rsid w:val="00CC5E8F"/>
    <w:rsid w:val="00CD269D"/>
    <w:rsid w:val="00CF7F7F"/>
    <w:rsid w:val="00D15595"/>
    <w:rsid w:val="00D20AFB"/>
    <w:rsid w:val="00D236E8"/>
    <w:rsid w:val="00D27B73"/>
    <w:rsid w:val="00D40D43"/>
    <w:rsid w:val="00D4280C"/>
    <w:rsid w:val="00D5297D"/>
    <w:rsid w:val="00D52A6A"/>
    <w:rsid w:val="00D61DFC"/>
    <w:rsid w:val="00D815D0"/>
    <w:rsid w:val="00DA1962"/>
    <w:rsid w:val="00DB0CB1"/>
    <w:rsid w:val="00DB5D79"/>
    <w:rsid w:val="00DC4C7A"/>
    <w:rsid w:val="00DC4D91"/>
    <w:rsid w:val="00DD64B2"/>
    <w:rsid w:val="00DF4B62"/>
    <w:rsid w:val="00E0517E"/>
    <w:rsid w:val="00E26113"/>
    <w:rsid w:val="00E266A4"/>
    <w:rsid w:val="00E32484"/>
    <w:rsid w:val="00E35306"/>
    <w:rsid w:val="00E35847"/>
    <w:rsid w:val="00E40C72"/>
    <w:rsid w:val="00E455BE"/>
    <w:rsid w:val="00E478A9"/>
    <w:rsid w:val="00E51605"/>
    <w:rsid w:val="00E56F4A"/>
    <w:rsid w:val="00E80059"/>
    <w:rsid w:val="00E87432"/>
    <w:rsid w:val="00E943B8"/>
    <w:rsid w:val="00EB209E"/>
    <w:rsid w:val="00EB2F8F"/>
    <w:rsid w:val="00EB5CD1"/>
    <w:rsid w:val="00ED2FCF"/>
    <w:rsid w:val="00EE16D4"/>
    <w:rsid w:val="00EE2C87"/>
    <w:rsid w:val="00EF4086"/>
    <w:rsid w:val="00F045B9"/>
    <w:rsid w:val="00F14DFB"/>
    <w:rsid w:val="00F15F5C"/>
    <w:rsid w:val="00F3081C"/>
    <w:rsid w:val="00F37027"/>
    <w:rsid w:val="00F448EC"/>
    <w:rsid w:val="00F51C82"/>
    <w:rsid w:val="00F5570F"/>
    <w:rsid w:val="00F565A3"/>
    <w:rsid w:val="00F6135A"/>
    <w:rsid w:val="00F64334"/>
    <w:rsid w:val="00F67E51"/>
    <w:rsid w:val="00F7435C"/>
    <w:rsid w:val="00F81495"/>
    <w:rsid w:val="00F9119D"/>
    <w:rsid w:val="00FA7E37"/>
    <w:rsid w:val="00FB7C70"/>
    <w:rsid w:val="00FC5C06"/>
    <w:rsid w:val="00FD505C"/>
    <w:rsid w:val="00FE4E02"/>
    <w:rsid w:val="00FE7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A3E08"/>
  <w15:chartTrackingRefBased/>
  <w15:docId w15:val="{57DBFE37-1569-4BBD-B580-A93549C9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Light" w:eastAsia="SimSun" w:hAnsi="Open Sans Light"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1896"/>
    <w:pPr>
      <w:spacing w:after="110" w:line="240" w:lineRule="atLeast"/>
    </w:pPr>
    <w:rPr>
      <w:sz w:val="18"/>
      <w:szCs w:val="24"/>
      <w:lang w:val="en-GB"/>
    </w:rPr>
  </w:style>
  <w:style w:type="paragraph" w:styleId="Heading1">
    <w:name w:val="heading 1"/>
    <w:basedOn w:val="Normal"/>
    <w:next w:val="Normal"/>
    <w:link w:val="Heading1Char"/>
    <w:uiPriority w:val="9"/>
    <w:qFormat/>
    <w:rsid w:val="0047329D"/>
    <w:pPr>
      <w:keepNext/>
      <w:keepLines/>
      <w:spacing w:after="199" w:line="400" w:lineRule="atLeast"/>
      <w:outlineLvl w:val="0"/>
    </w:pPr>
    <w:rPr>
      <w:rFonts w:eastAsia="MingLiU"/>
      <w:bCs/>
      <w:color w:val="0098DE"/>
      <w:sz w:val="32"/>
      <w:szCs w:val="28"/>
    </w:rPr>
  </w:style>
  <w:style w:type="paragraph" w:styleId="Heading2">
    <w:name w:val="heading 2"/>
    <w:basedOn w:val="Normal"/>
    <w:next w:val="Normal"/>
    <w:link w:val="Heading2Char"/>
    <w:uiPriority w:val="9"/>
    <w:qFormat/>
    <w:rsid w:val="007924D8"/>
    <w:pPr>
      <w:keepNext/>
      <w:keepLines/>
      <w:spacing w:after="108"/>
      <w:outlineLvl w:val="1"/>
    </w:pPr>
    <w:rPr>
      <w:rFonts w:ascii="Open Sans SemiBold" w:eastAsia="MingLiU" w:hAnsi="Open Sans SemiBold"/>
      <w:bCs/>
      <w:color w:val="0098DE"/>
      <w:sz w:val="24"/>
      <w:szCs w:val="26"/>
    </w:rPr>
  </w:style>
  <w:style w:type="paragraph" w:styleId="Heading3">
    <w:name w:val="heading 3"/>
    <w:basedOn w:val="Normal"/>
    <w:next w:val="Normal"/>
    <w:link w:val="Heading3Char"/>
    <w:uiPriority w:val="9"/>
    <w:qFormat/>
    <w:rsid w:val="00700A0A"/>
    <w:pPr>
      <w:keepNext/>
      <w:keepLines/>
      <w:spacing w:after="108"/>
      <w:outlineLvl w:val="2"/>
    </w:pPr>
    <w:rPr>
      <w:rFonts w:eastAsia="MingLiU"/>
      <w:bCs/>
      <w:color w:val="0098DE"/>
    </w:rPr>
  </w:style>
  <w:style w:type="paragraph" w:styleId="Heading4">
    <w:name w:val="heading 4"/>
    <w:basedOn w:val="Normal"/>
    <w:next w:val="Normal"/>
    <w:link w:val="Heading4Char"/>
    <w:uiPriority w:val="9"/>
    <w:semiHidden/>
    <w:qFormat/>
    <w:rsid w:val="00255D53"/>
    <w:pPr>
      <w:keepNext/>
      <w:keepLines/>
      <w:tabs>
        <w:tab w:val="left" w:pos="340"/>
      </w:tabs>
      <w:outlineLvl w:val="3"/>
    </w:pPr>
    <w:rPr>
      <w:rFonts w:ascii="Aleo" w:eastAsia="MingLiU" w:hAnsi="Aleo"/>
      <w:b/>
      <w:bCs/>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329D"/>
    <w:rPr>
      <w:rFonts w:eastAsia="MingLiU" w:cs="Times New Roman"/>
      <w:bCs/>
      <w:color w:val="0098DE"/>
      <w:sz w:val="32"/>
      <w:szCs w:val="28"/>
    </w:rPr>
  </w:style>
  <w:style w:type="character" w:customStyle="1" w:styleId="Heading2Char">
    <w:name w:val="Heading 2 Char"/>
    <w:link w:val="Heading2"/>
    <w:uiPriority w:val="9"/>
    <w:rsid w:val="007924D8"/>
    <w:rPr>
      <w:rFonts w:ascii="Open Sans SemiBold" w:eastAsia="MingLiU" w:hAnsi="Open Sans SemiBold" w:cs="Times New Roman"/>
      <w:bCs/>
      <w:color w:val="0098DE"/>
      <w:szCs w:val="26"/>
    </w:rPr>
  </w:style>
  <w:style w:type="table" w:styleId="TableGrid">
    <w:name w:val="Table Grid"/>
    <w:basedOn w:val="TableNormal"/>
    <w:uiPriority w:val="59"/>
    <w:rsid w:val="00025E7D"/>
    <w:tblPr/>
  </w:style>
  <w:style w:type="paragraph" w:styleId="Header">
    <w:name w:val="header"/>
    <w:link w:val="HeaderChar"/>
    <w:uiPriority w:val="99"/>
    <w:rsid w:val="00757C99"/>
    <w:pPr>
      <w:tabs>
        <w:tab w:val="center" w:pos="4513"/>
        <w:tab w:val="right" w:pos="9026"/>
      </w:tabs>
      <w:spacing w:line="180" w:lineRule="atLeast"/>
    </w:pPr>
    <w:rPr>
      <w:sz w:val="14"/>
      <w:szCs w:val="24"/>
      <w:lang w:val="en-GB"/>
    </w:rPr>
  </w:style>
  <w:style w:type="character" w:customStyle="1" w:styleId="HeaderChar">
    <w:name w:val="Header Char"/>
    <w:link w:val="Header"/>
    <w:uiPriority w:val="99"/>
    <w:rsid w:val="00757C99"/>
    <w:rPr>
      <w:sz w:val="14"/>
    </w:rPr>
  </w:style>
  <w:style w:type="paragraph" w:styleId="Footer">
    <w:name w:val="footer"/>
    <w:link w:val="FooterChar"/>
    <w:uiPriority w:val="99"/>
    <w:rsid w:val="00566858"/>
    <w:pPr>
      <w:tabs>
        <w:tab w:val="left" w:pos="284"/>
        <w:tab w:val="right" w:pos="7371"/>
      </w:tabs>
      <w:spacing w:line="200" w:lineRule="atLeast"/>
    </w:pPr>
    <w:rPr>
      <w:color w:val="061D41"/>
      <w:sz w:val="16"/>
      <w:szCs w:val="24"/>
      <w:lang w:val="en-GB"/>
    </w:rPr>
  </w:style>
  <w:style w:type="character" w:customStyle="1" w:styleId="FooterChar">
    <w:name w:val="Footer Char"/>
    <w:link w:val="Footer"/>
    <w:uiPriority w:val="99"/>
    <w:rsid w:val="00566858"/>
    <w:rPr>
      <w:color w:val="061D41"/>
      <w:sz w:val="16"/>
    </w:rPr>
  </w:style>
  <w:style w:type="paragraph" w:styleId="BalloonText">
    <w:name w:val="Balloon Text"/>
    <w:basedOn w:val="Normal"/>
    <w:link w:val="BalloonTextChar"/>
    <w:uiPriority w:val="99"/>
    <w:semiHidden/>
    <w:rsid w:val="00C702C7"/>
    <w:rPr>
      <w:rFonts w:ascii="Tahoma" w:hAnsi="Tahoma" w:cs="Tahoma"/>
      <w:sz w:val="16"/>
      <w:szCs w:val="16"/>
    </w:rPr>
  </w:style>
  <w:style w:type="character" w:customStyle="1" w:styleId="BalloonTextChar">
    <w:name w:val="Balloon Text Char"/>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uiPriority w:val="99"/>
    <w:semiHidden/>
    <w:rsid w:val="001975EF"/>
    <w:rPr>
      <w:color w:val="808080"/>
    </w:rPr>
  </w:style>
  <w:style w:type="paragraph" w:styleId="ListBullet">
    <w:name w:val="List Bullet"/>
    <w:basedOn w:val="Normal"/>
    <w:uiPriority w:val="99"/>
    <w:qFormat/>
    <w:rsid w:val="0074606B"/>
    <w:pPr>
      <w:numPr>
        <w:numId w:val="1"/>
      </w:numPr>
      <w:tabs>
        <w:tab w:val="clear" w:pos="360"/>
      </w:tabs>
      <w:ind w:left="340" w:hanging="340"/>
    </w:pPr>
  </w:style>
  <w:style w:type="paragraph" w:styleId="ListBullet2">
    <w:name w:val="List Bullet 2"/>
    <w:basedOn w:val="Normal"/>
    <w:uiPriority w:val="99"/>
    <w:qFormat/>
    <w:rsid w:val="0074606B"/>
    <w:pPr>
      <w:numPr>
        <w:numId w:val="2"/>
      </w:numPr>
      <w:ind w:left="680" w:hanging="340"/>
    </w:pPr>
  </w:style>
  <w:style w:type="paragraph" w:styleId="ListNumber">
    <w:name w:val="List Number"/>
    <w:basedOn w:val="Normal"/>
    <w:uiPriority w:val="99"/>
    <w:qFormat/>
    <w:rsid w:val="00001896"/>
    <w:pPr>
      <w:numPr>
        <w:numId w:val="3"/>
      </w:numPr>
      <w:ind w:left="340" w:hanging="340"/>
    </w:pPr>
  </w:style>
  <w:style w:type="paragraph" w:styleId="ListNumber2">
    <w:name w:val="List Number 2"/>
    <w:basedOn w:val="Normal"/>
    <w:uiPriority w:val="99"/>
    <w:qFormat/>
    <w:rsid w:val="0074606B"/>
    <w:pPr>
      <w:numPr>
        <w:numId w:val="4"/>
      </w:numPr>
      <w:ind w:left="680" w:hanging="340"/>
    </w:pPr>
  </w:style>
  <w:style w:type="character" w:customStyle="1" w:styleId="Heading3Char">
    <w:name w:val="Heading 3 Char"/>
    <w:link w:val="Heading3"/>
    <w:uiPriority w:val="9"/>
    <w:rsid w:val="00700A0A"/>
    <w:rPr>
      <w:rFonts w:ascii="Open Sans Light" w:eastAsia="MingLiU" w:hAnsi="Open Sans Light" w:cs="Times New Roman"/>
      <w:bCs/>
      <w:color w:val="0098DE"/>
      <w:sz w:val="18"/>
    </w:rPr>
  </w:style>
  <w:style w:type="character" w:customStyle="1" w:styleId="Heading4Char">
    <w:name w:val="Heading 4 Char"/>
    <w:link w:val="Heading4"/>
    <w:uiPriority w:val="9"/>
    <w:semiHidden/>
    <w:rsid w:val="00C8703B"/>
    <w:rPr>
      <w:rFonts w:ascii="Aleo" w:eastAsia="MingLiU" w:hAnsi="Aleo" w:cs="Times New Roman"/>
      <w:b/>
      <w:bCs/>
      <w:iCs/>
      <w:color w:val="000000"/>
    </w:rPr>
  </w:style>
  <w:style w:type="paragraph" w:styleId="FootnoteText">
    <w:name w:val="footnote text"/>
    <w:basedOn w:val="Normal"/>
    <w:link w:val="FootnoteTextChar"/>
    <w:uiPriority w:val="99"/>
    <w:semiHidden/>
    <w:rsid w:val="00F3081C"/>
    <w:rPr>
      <w:sz w:val="16"/>
      <w:szCs w:val="20"/>
    </w:rPr>
  </w:style>
  <w:style w:type="character" w:customStyle="1" w:styleId="FootnoteTextChar">
    <w:name w:val="Footnote Text Char"/>
    <w:link w:val="FootnoteText"/>
    <w:uiPriority w:val="99"/>
    <w:semiHidden/>
    <w:rsid w:val="00C8703B"/>
    <w:rPr>
      <w:sz w:val="16"/>
      <w:szCs w:val="20"/>
    </w:rPr>
  </w:style>
  <w:style w:type="paragraph" w:customStyle="1" w:styleId="Documenttitle">
    <w:name w:val="Document title"/>
    <w:next w:val="Normal"/>
    <w:qFormat/>
    <w:rsid w:val="004F61F1"/>
    <w:pPr>
      <w:spacing w:after="510"/>
    </w:pPr>
    <w:rPr>
      <w:rFonts w:ascii="Aleo" w:eastAsia="MingLiU" w:hAnsi="Aleo"/>
      <w:bCs/>
      <w:color w:val="0098DE"/>
      <w:sz w:val="60"/>
      <w:szCs w:val="28"/>
      <w:lang w:val="en-GB"/>
    </w:rPr>
  </w:style>
  <w:style w:type="paragraph" w:customStyle="1" w:styleId="Subheading">
    <w:name w:val="Subheading"/>
    <w:basedOn w:val="Normal"/>
    <w:next w:val="Normal"/>
    <w:semiHidden/>
    <w:qFormat/>
    <w:rsid w:val="00D236E8"/>
    <w:rPr>
      <w:rFonts w:ascii="Aleo" w:eastAsia="MingLiU" w:hAnsi="Aleo"/>
      <w:b/>
      <w:bCs/>
      <w:iCs/>
      <w:color w:val="000000"/>
    </w:rPr>
  </w:style>
  <w:style w:type="character" w:styleId="FootnoteReference">
    <w:name w:val="footnote reference"/>
    <w:uiPriority w:val="99"/>
    <w:semiHidden/>
    <w:rsid w:val="00412EA0"/>
    <w:rPr>
      <w:vertAlign w:val="superscript"/>
    </w:rPr>
  </w:style>
  <w:style w:type="paragraph" w:customStyle="1" w:styleId="TableBullet">
    <w:name w:val="Table Bullet"/>
    <w:basedOn w:val="Normal"/>
    <w:qFormat/>
    <w:rsid w:val="0024795D"/>
    <w:pPr>
      <w:numPr>
        <w:numId w:val="19"/>
      </w:numPr>
      <w:spacing w:after="0"/>
      <w:ind w:left="170" w:hanging="170"/>
    </w:pPr>
  </w:style>
  <w:style w:type="paragraph" w:customStyle="1" w:styleId="TableHeading">
    <w:name w:val="Table Heading"/>
    <w:basedOn w:val="Heading2"/>
    <w:qFormat/>
    <w:rsid w:val="004F61F1"/>
    <w:pPr>
      <w:spacing w:after="0"/>
    </w:pPr>
  </w:style>
  <w:style w:type="paragraph" w:customStyle="1" w:styleId="TableText">
    <w:name w:val="Table Text"/>
    <w:basedOn w:val="Normal"/>
    <w:qFormat/>
    <w:rsid w:val="0024795D"/>
    <w:pPr>
      <w:spacing w:after="0"/>
    </w:pPr>
  </w:style>
  <w:style w:type="character" w:styleId="Hyperlink">
    <w:name w:val="Hyperlink"/>
    <w:basedOn w:val="DefaultParagraphFont"/>
    <w:uiPriority w:val="99"/>
    <w:unhideWhenUsed/>
    <w:rsid w:val="00605748"/>
    <w:rPr>
      <w:color w:val="0563C1" w:themeColor="hyperlink"/>
      <w:u w:val="single"/>
    </w:rPr>
  </w:style>
  <w:style w:type="character" w:styleId="UnresolvedMention">
    <w:name w:val="Unresolved Mention"/>
    <w:basedOn w:val="DefaultParagraphFont"/>
    <w:uiPriority w:val="99"/>
    <w:semiHidden/>
    <w:unhideWhenUsed/>
    <w:rsid w:val="00605748"/>
    <w:rPr>
      <w:color w:val="605E5C"/>
      <w:shd w:val="clear" w:color="auto" w:fill="E1DFDD"/>
    </w:rPr>
  </w:style>
  <w:style w:type="paragraph" w:styleId="ListParagraph">
    <w:name w:val="List Paragraph"/>
    <w:basedOn w:val="Normal"/>
    <w:uiPriority w:val="34"/>
    <w:semiHidden/>
    <w:qFormat/>
    <w:rsid w:val="00FB7C70"/>
    <w:pPr>
      <w:ind w:left="720"/>
      <w:contextualSpacing/>
    </w:pPr>
  </w:style>
  <w:style w:type="character" w:styleId="CommentReference">
    <w:name w:val="annotation reference"/>
    <w:basedOn w:val="DefaultParagraphFont"/>
    <w:uiPriority w:val="99"/>
    <w:semiHidden/>
    <w:rsid w:val="00923C47"/>
    <w:rPr>
      <w:sz w:val="16"/>
      <w:szCs w:val="16"/>
    </w:rPr>
  </w:style>
  <w:style w:type="paragraph" w:styleId="CommentText">
    <w:name w:val="annotation text"/>
    <w:basedOn w:val="Normal"/>
    <w:link w:val="CommentTextChar"/>
    <w:uiPriority w:val="99"/>
    <w:semiHidden/>
    <w:rsid w:val="00923C47"/>
    <w:pPr>
      <w:spacing w:line="240" w:lineRule="auto"/>
    </w:pPr>
    <w:rPr>
      <w:sz w:val="20"/>
      <w:szCs w:val="20"/>
    </w:rPr>
  </w:style>
  <w:style w:type="character" w:customStyle="1" w:styleId="CommentTextChar">
    <w:name w:val="Comment Text Char"/>
    <w:basedOn w:val="DefaultParagraphFont"/>
    <w:link w:val="CommentText"/>
    <w:uiPriority w:val="99"/>
    <w:semiHidden/>
    <w:rsid w:val="00923C47"/>
    <w:rPr>
      <w:lang w:val="en-GB"/>
    </w:rPr>
  </w:style>
  <w:style w:type="paragraph" w:styleId="CommentSubject">
    <w:name w:val="annotation subject"/>
    <w:basedOn w:val="CommentText"/>
    <w:next w:val="CommentText"/>
    <w:link w:val="CommentSubjectChar"/>
    <w:uiPriority w:val="99"/>
    <w:semiHidden/>
    <w:rsid w:val="00923C47"/>
    <w:rPr>
      <w:b/>
      <w:bCs/>
    </w:rPr>
  </w:style>
  <w:style w:type="character" w:customStyle="1" w:styleId="CommentSubjectChar">
    <w:name w:val="Comment Subject Char"/>
    <w:basedOn w:val="CommentTextChar"/>
    <w:link w:val="CommentSubject"/>
    <w:uiPriority w:val="99"/>
    <w:semiHidden/>
    <w:rsid w:val="00923C47"/>
    <w:rPr>
      <w:b/>
      <w:bCs/>
      <w:lang w:val="en-GB"/>
    </w:rPr>
  </w:style>
  <w:style w:type="character" w:styleId="FollowedHyperlink">
    <w:name w:val="FollowedHyperlink"/>
    <w:basedOn w:val="DefaultParagraphFont"/>
    <w:uiPriority w:val="99"/>
    <w:semiHidden/>
    <w:rsid w:val="000263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7991">
      <w:bodyDiv w:val="1"/>
      <w:marLeft w:val="0"/>
      <w:marRight w:val="0"/>
      <w:marTop w:val="0"/>
      <w:marBottom w:val="0"/>
      <w:divBdr>
        <w:top w:val="none" w:sz="0" w:space="0" w:color="auto"/>
        <w:left w:val="none" w:sz="0" w:space="0" w:color="auto"/>
        <w:bottom w:val="none" w:sz="0" w:space="0" w:color="auto"/>
        <w:right w:val="none" w:sz="0" w:space="0" w:color="auto"/>
      </w:divBdr>
      <w:divsChild>
        <w:div w:id="390080501">
          <w:marLeft w:val="0"/>
          <w:marRight w:val="0"/>
          <w:marTop w:val="0"/>
          <w:marBottom w:val="0"/>
          <w:divBdr>
            <w:top w:val="none" w:sz="0" w:space="0" w:color="auto"/>
            <w:left w:val="none" w:sz="0" w:space="0" w:color="auto"/>
            <w:bottom w:val="none" w:sz="0" w:space="0" w:color="auto"/>
            <w:right w:val="none" w:sz="0" w:space="0" w:color="auto"/>
          </w:divBdr>
        </w:div>
        <w:div w:id="12728136">
          <w:marLeft w:val="0"/>
          <w:marRight w:val="0"/>
          <w:marTop w:val="0"/>
          <w:marBottom w:val="0"/>
          <w:divBdr>
            <w:top w:val="none" w:sz="0" w:space="0" w:color="auto"/>
            <w:left w:val="none" w:sz="0" w:space="0" w:color="auto"/>
            <w:bottom w:val="none" w:sz="0" w:space="0" w:color="auto"/>
            <w:right w:val="none" w:sz="0" w:space="0" w:color="auto"/>
          </w:divBdr>
        </w:div>
        <w:div w:id="1327978712">
          <w:marLeft w:val="0"/>
          <w:marRight w:val="0"/>
          <w:marTop w:val="0"/>
          <w:marBottom w:val="0"/>
          <w:divBdr>
            <w:top w:val="none" w:sz="0" w:space="0" w:color="auto"/>
            <w:left w:val="none" w:sz="0" w:space="0" w:color="auto"/>
            <w:bottom w:val="none" w:sz="0" w:space="0" w:color="auto"/>
            <w:right w:val="none" w:sz="0" w:space="0" w:color="auto"/>
          </w:divBdr>
        </w:div>
        <w:div w:id="46995829">
          <w:marLeft w:val="0"/>
          <w:marRight w:val="0"/>
          <w:marTop w:val="0"/>
          <w:marBottom w:val="0"/>
          <w:divBdr>
            <w:top w:val="none" w:sz="0" w:space="0" w:color="auto"/>
            <w:left w:val="none" w:sz="0" w:space="0" w:color="auto"/>
            <w:bottom w:val="none" w:sz="0" w:space="0" w:color="auto"/>
            <w:right w:val="none" w:sz="0" w:space="0" w:color="auto"/>
          </w:divBdr>
        </w:div>
        <w:div w:id="802506757">
          <w:marLeft w:val="0"/>
          <w:marRight w:val="0"/>
          <w:marTop w:val="0"/>
          <w:marBottom w:val="0"/>
          <w:divBdr>
            <w:top w:val="none" w:sz="0" w:space="0" w:color="auto"/>
            <w:left w:val="none" w:sz="0" w:space="0" w:color="auto"/>
            <w:bottom w:val="none" w:sz="0" w:space="0" w:color="auto"/>
            <w:right w:val="none" w:sz="0" w:space="0" w:color="auto"/>
          </w:divBdr>
        </w:div>
      </w:divsChild>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805513588">
      <w:bodyDiv w:val="1"/>
      <w:marLeft w:val="0"/>
      <w:marRight w:val="0"/>
      <w:marTop w:val="0"/>
      <w:marBottom w:val="0"/>
      <w:divBdr>
        <w:top w:val="none" w:sz="0" w:space="0" w:color="auto"/>
        <w:left w:val="none" w:sz="0" w:space="0" w:color="auto"/>
        <w:bottom w:val="none" w:sz="0" w:space="0" w:color="auto"/>
        <w:right w:val="none" w:sz="0" w:space="0" w:color="auto"/>
      </w:divBdr>
      <w:divsChild>
        <w:div w:id="520322279">
          <w:marLeft w:val="0"/>
          <w:marRight w:val="0"/>
          <w:marTop w:val="0"/>
          <w:marBottom w:val="525"/>
          <w:divBdr>
            <w:top w:val="none" w:sz="0" w:space="0" w:color="auto"/>
            <w:left w:val="none" w:sz="0" w:space="0" w:color="auto"/>
            <w:bottom w:val="none" w:sz="0" w:space="0" w:color="auto"/>
            <w:right w:val="none" w:sz="0" w:space="0" w:color="auto"/>
          </w:divBdr>
          <w:divsChild>
            <w:div w:id="1872302249">
              <w:marLeft w:val="0"/>
              <w:marRight w:val="0"/>
              <w:marTop w:val="0"/>
              <w:marBottom w:val="0"/>
              <w:divBdr>
                <w:top w:val="none" w:sz="0" w:space="0" w:color="auto"/>
                <w:left w:val="none" w:sz="0" w:space="0" w:color="auto"/>
                <w:bottom w:val="none" w:sz="0" w:space="0" w:color="auto"/>
                <w:right w:val="none" w:sz="0" w:space="0" w:color="auto"/>
              </w:divBdr>
              <w:divsChild>
                <w:div w:id="987590900">
                  <w:marLeft w:val="0"/>
                  <w:marRight w:val="0"/>
                  <w:marTop w:val="0"/>
                  <w:marBottom w:val="0"/>
                  <w:divBdr>
                    <w:top w:val="none" w:sz="0" w:space="0" w:color="auto"/>
                    <w:left w:val="none" w:sz="0" w:space="0" w:color="auto"/>
                    <w:bottom w:val="none" w:sz="0" w:space="0" w:color="auto"/>
                    <w:right w:val="none" w:sz="0" w:space="0" w:color="auto"/>
                  </w:divBdr>
                  <w:divsChild>
                    <w:div w:id="1652519285">
                      <w:marLeft w:val="0"/>
                      <w:marRight w:val="0"/>
                      <w:marTop w:val="0"/>
                      <w:marBottom w:val="0"/>
                      <w:divBdr>
                        <w:top w:val="none" w:sz="0" w:space="0" w:color="auto"/>
                        <w:left w:val="none" w:sz="0" w:space="0" w:color="auto"/>
                        <w:bottom w:val="none" w:sz="0" w:space="0" w:color="auto"/>
                        <w:right w:val="none" w:sz="0" w:space="0" w:color="auto"/>
                      </w:divBdr>
                      <w:divsChild>
                        <w:div w:id="606810071">
                          <w:marLeft w:val="0"/>
                          <w:marRight w:val="0"/>
                          <w:marTop w:val="0"/>
                          <w:marBottom w:val="0"/>
                          <w:divBdr>
                            <w:top w:val="none" w:sz="0" w:space="0" w:color="auto"/>
                            <w:left w:val="none" w:sz="0" w:space="0" w:color="auto"/>
                            <w:bottom w:val="none" w:sz="0" w:space="0" w:color="auto"/>
                            <w:right w:val="none" w:sz="0" w:space="0" w:color="auto"/>
                          </w:divBdr>
                          <w:divsChild>
                            <w:div w:id="2034378015">
                              <w:marLeft w:val="0"/>
                              <w:marRight w:val="0"/>
                              <w:marTop w:val="0"/>
                              <w:marBottom w:val="0"/>
                              <w:divBdr>
                                <w:top w:val="none" w:sz="0" w:space="0" w:color="auto"/>
                                <w:left w:val="none" w:sz="0" w:space="0" w:color="auto"/>
                                <w:bottom w:val="none" w:sz="0" w:space="0" w:color="auto"/>
                                <w:right w:val="none" w:sz="0" w:space="0" w:color="auto"/>
                              </w:divBdr>
                              <w:divsChild>
                                <w:div w:id="19383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85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afoodsasia.com" TargetMode="External"/><Relationship Id="rId13" Type="http://schemas.openxmlformats.org/officeDocument/2006/relationships/hyperlink" Target="https://www.vitafoodsasia.com/en/visiting/visitor-attractions/dedicated-zones/probiotics-resource-centre.html" TargetMode="External"/><Relationship Id="rId18" Type="http://schemas.openxmlformats.org/officeDocument/2006/relationships/hyperlink" Target="http://vitafoodsasia.mystrikingly.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vitafoodsasia.com/en/visiting/visitor-attractions/dedicated-zones/omega3-resource-centre.html" TargetMode="External"/><Relationship Id="rId17" Type="http://schemas.openxmlformats.org/officeDocument/2006/relationships/hyperlink" Target="http://vitafoodsasia.mystrikingly.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itafoodsasia.com" TargetMode="External"/><Relationship Id="rId20" Type="http://schemas.openxmlformats.org/officeDocument/2006/relationships/hyperlink" Target="https://informahealthandnutriti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tafoodsasia.com/en/exhibitor-list.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vitafoodsasia.com/en/exhibitor-list.html" TargetMode="External"/><Relationship Id="rId23" Type="http://schemas.openxmlformats.org/officeDocument/2006/relationships/header" Target="header2.xml"/><Relationship Id="rId10" Type="http://schemas.openxmlformats.org/officeDocument/2006/relationships/hyperlink" Target="https://www.mintel.com/asia-pacific-food-drink-landscape" TargetMode="External"/><Relationship Id="rId19" Type="http://schemas.openxmlformats.org/officeDocument/2006/relationships/hyperlink" Target="http://www.vitafoodsasia.com/" TargetMode="External"/><Relationship Id="rId4" Type="http://schemas.openxmlformats.org/officeDocument/2006/relationships/settings" Target="settings.xml"/><Relationship Id="rId9" Type="http://schemas.openxmlformats.org/officeDocument/2006/relationships/hyperlink" Target="http://www.vitafoodsasia.com" TargetMode="External"/><Relationship Id="rId14" Type="http://schemas.openxmlformats.org/officeDocument/2006/relationships/hyperlink" Target="https://www.vitafoodsasia.com/en/visiting/visitor-attractions/product-demonstrations/tasting-centre.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019E9-1323-46B4-BC16-7D94F9B3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2015-03-11T02:16:00Z</cp:lastPrinted>
  <dcterms:created xsi:type="dcterms:W3CDTF">2019-08-29T13:06:00Z</dcterms:created>
  <dcterms:modified xsi:type="dcterms:W3CDTF">2019-09-16T02:03:00Z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Jason.Thompson@informa.com</vt:lpwstr>
  </property>
  <property fmtid="{D5CDD505-2E9C-101B-9397-08002B2CF9AE}" pid="5" name="MSIP_Label_181c070e-054b-4d1c-ba4c-fc70b099192e_SetDate">
    <vt:lpwstr>2019-04-08T15:40:11.3505418Z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Extended_MSFT_Method">
    <vt:lpwstr>Automatic</vt:lpwstr>
  </property>
  <property fmtid="{D5CDD505-2E9C-101B-9397-08002B2CF9AE}" pid="9" name="MSIP_Label_2bbab825-a111-45e4-86a1-18cee0005896_Enabled">
    <vt:lpwstr>True</vt:lpwstr>
  </property>
  <property fmtid="{D5CDD505-2E9C-101B-9397-08002B2CF9AE}" pid="10" name="MSIP_Label_2bbab825-a111-45e4-86a1-18cee0005896_SiteId">
    <vt:lpwstr>2567d566-604c-408a-8a60-55d0dc9d9d6b</vt:lpwstr>
  </property>
  <property fmtid="{D5CDD505-2E9C-101B-9397-08002B2CF9AE}" pid="11" name="MSIP_Label_2bbab825-a111-45e4-86a1-18cee0005896_Owner">
    <vt:lpwstr>Jason.Thompson@informa.com</vt:lpwstr>
  </property>
  <property fmtid="{D5CDD505-2E9C-101B-9397-08002B2CF9AE}" pid="12" name="MSIP_Label_2bbab825-a111-45e4-86a1-18cee0005896_SetDate">
    <vt:lpwstr>2019-04-08T15:40:11.3505418Z</vt:lpwstr>
  </property>
  <property fmtid="{D5CDD505-2E9C-101B-9397-08002B2CF9AE}" pid="13" name="MSIP_Label_2bbab825-a111-45e4-86a1-18cee0005896_Name">
    <vt:lpwstr>Un-restricted</vt:lpwstr>
  </property>
  <property fmtid="{D5CDD505-2E9C-101B-9397-08002B2CF9AE}" pid="14" name="MSIP_Label_2bbab825-a111-45e4-86a1-18cee0005896_Application">
    <vt:lpwstr>Microsoft Azure Information Protection</vt:lpwstr>
  </property>
  <property fmtid="{D5CDD505-2E9C-101B-9397-08002B2CF9AE}" pid="15" name="MSIP_Label_2bbab825-a111-45e4-86a1-18cee0005896_Parent">
    <vt:lpwstr>181c070e-054b-4d1c-ba4c-fc70b099192e</vt:lpwstr>
  </property>
  <property fmtid="{D5CDD505-2E9C-101B-9397-08002B2CF9AE}" pid="16" name="MSIP_Label_2bbab825-a111-45e4-86a1-18cee0005896_Extended_MSFT_Method">
    <vt:lpwstr>Automatic</vt:lpwstr>
  </property>
  <property fmtid="{D5CDD505-2E9C-101B-9397-08002B2CF9AE}" pid="17" name="Sensitivity">
    <vt:lpwstr>General Un-restricted</vt:lpwstr>
  </property>
</Properties>
</file>