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mRubrik"/>
    <w:bookmarkStart w:id="1" w:name="_GoBack"/>
    <w:bookmarkEnd w:id="1"/>
    <w:p w:rsidR="00D97CAB" w:rsidRPr="00524AAB" w:rsidRDefault="00B73E85" w:rsidP="00F0282D">
      <w:pPr>
        <w:tabs>
          <w:tab w:val="left" w:pos="3090"/>
        </w:tabs>
        <w:spacing w:before="4320"/>
        <w:rPr>
          <w:rFonts w:ascii="HelveticaNeueLT Std" w:hAnsi="HelveticaNeueLT Std" w:cs="Arial"/>
          <w:b/>
          <w:noProof/>
          <w:color w:val="FFFFFF"/>
          <w:sz w:val="56"/>
          <w:szCs w:val="56"/>
          <w:u w:val="single"/>
        </w:rPr>
      </w:pPr>
      <w:r>
        <w:rPr>
          <w:noProof/>
        </w:rPr>
        <mc:AlternateContent>
          <mc:Choice Requires="wps">
            <w:drawing>
              <wp:anchor distT="0" distB="0" distL="114300" distR="114300" simplePos="0" relativeHeight="251656192" behindDoc="0" locked="0" layoutInCell="1" allowOverlap="1">
                <wp:simplePos x="0" y="0"/>
                <wp:positionH relativeFrom="column">
                  <wp:posOffset>-508635</wp:posOffset>
                </wp:positionH>
                <wp:positionV relativeFrom="paragraph">
                  <wp:posOffset>3584575</wp:posOffset>
                </wp:positionV>
                <wp:extent cx="4897755" cy="1542415"/>
                <wp:effectExtent l="0" t="0" r="0" b="0"/>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755"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1CF" w:rsidRPr="009E57D1" w:rsidRDefault="00B821CF">
                            <w:pPr>
                              <w:rPr>
                                <w:rFonts w:ascii="Helvetica" w:hAnsi="Helvetica"/>
                                <w:b/>
                                <w:color w:val="FFFFFF"/>
                                <w:sz w:val="56"/>
                                <w:szCs w:val="56"/>
                              </w:rPr>
                            </w:pPr>
                            <w:r>
                              <w:rPr>
                                <w:rFonts w:ascii="Helvetica" w:hAnsi="Helvetica"/>
                                <w:b/>
                                <w:color w:val="FFFFFF"/>
                                <w:sz w:val="44"/>
                                <w:szCs w:val="44"/>
                              </w:rPr>
                              <w:t>TJÄNSTEPRODUKTIONEN HÅLLER UPPE BNP-TILLVÄXTEN</w:t>
                            </w:r>
                          </w:p>
                          <w:p w:rsidR="00B821CF" w:rsidRPr="009E57D1" w:rsidRDefault="00B821CF">
                            <w:pPr>
                              <w:rPr>
                                <w:rFonts w:ascii="Helvetica" w:hAnsi="Helvetica"/>
                                <w:color w:val="FFFFFF"/>
                              </w:rPr>
                            </w:pPr>
                          </w:p>
                          <w:p w:rsidR="00B821CF" w:rsidRPr="009E57D1" w:rsidRDefault="00B821CF">
                            <w:pPr>
                              <w:rPr>
                                <w:rFonts w:ascii="Helvetica" w:hAnsi="Helvetica"/>
                                <w:color w:val="FFFFFF"/>
                                <w:sz w:val="40"/>
                                <w:szCs w:val="40"/>
                              </w:rPr>
                            </w:pPr>
                            <w:r w:rsidRPr="009E57D1">
                              <w:rPr>
                                <w:rFonts w:ascii="Helvetica" w:hAnsi="Helvetica"/>
                                <w:color w:val="FFFFFF"/>
                                <w:sz w:val="40"/>
                                <w:szCs w:val="40"/>
                              </w:rPr>
                              <w:t>Almegas Tjänsteindikator Q</w:t>
                            </w:r>
                            <w:r>
                              <w:rPr>
                                <w:rFonts w:ascii="Helvetica" w:hAnsi="Helvetica"/>
                                <w:color w:val="FFFFFF"/>
                                <w:sz w:val="40"/>
                                <w:szCs w:val="40"/>
                              </w:rPr>
                              <w:t>2</w:t>
                            </w:r>
                            <w:r w:rsidRPr="009E57D1">
                              <w:rPr>
                                <w:rFonts w:ascii="Helvetica" w:hAnsi="Helvetica"/>
                                <w:color w:val="FFFFFF"/>
                                <w:sz w:val="40"/>
                                <w:szCs w:val="40"/>
                              </w:rPr>
                              <w:t xml:space="preserve"> 201</w:t>
                            </w:r>
                            <w:r>
                              <w:rPr>
                                <w:rFonts w:ascii="Helvetica" w:hAnsi="Helvetica"/>
                                <w:color w:val="FFFFFF"/>
                                <w:sz w:val="40"/>
                                <w:szCs w:val="4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40.05pt;margin-top:282.25pt;width:385.65pt;height:12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Uvt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" filled="f" stroked="f">
                <v:textbox>
                  <w:txbxContent>
                    <w:p w:rsidR="00B821CF" w:rsidRPr="009E57D1" w:rsidRDefault="00B821CF">
                      <w:pPr>
                        <w:rPr>
                          <w:rFonts w:ascii="Helvetica" w:hAnsi="Helvetica"/>
                          <w:b/>
                          <w:color w:val="FFFFFF"/>
                          <w:sz w:val="56"/>
                          <w:szCs w:val="56"/>
                        </w:rPr>
                      </w:pPr>
                      <w:r>
                        <w:rPr>
                          <w:rFonts w:ascii="Helvetica" w:hAnsi="Helvetica"/>
                          <w:b/>
                          <w:color w:val="FFFFFF"/>
                          <w:sz w:val="44"/>
                          <w:szCs w:val="44"/>
                        </w:rPr>
                        <w:t>TJÄNSTEPRODUKTIONEN HÅLLER UPPE BNP-TILLVÄXTEN</w:t>
                      </w:r>
                    </w:p>
                    <w:p w:rsidR="00B821CF" w:rsidRPr="009E57D1" w:rsidRDefault="00B821CF">
                      <w:pPr>
                        <w:rPr>
                          <w:rFonts w:ascii="Helvetica" w:hAnsi="Helvetica"/>
                          <w:color w:val="FFFFFF"/>
                        </w:rPr>
                      </w:pPr>
                    </w:p>
                    <w:p w:rsidR="00B821CF" w:rsidRPr="009E57D1" w:rsidRDefault="00B821CF">
                      <w:pPr>
                        <w:rPr>
                          <w:rFonts w:ascii="Helvetica" w:hAnsi="Helvetica"/>
                          <w:color w:val="FFFFFF"/>
                          <w:sz w:val="40"/>
                          <w:szCs w:val="40"/>
                        </w:rPr>
                      </w:pPr>
                      <w:r w:rsidRPr="009E57D1">
                        <w:rPr>
                          <w:rFonts w:ascii="Helvetica" w:hAnsi="Helvetica"/>
                          <w:color w:val="FFFFFF"/>
                          <w:sz w:val="40"/>
                          <w:szCs w:val="40"/>
                        </w:rPr>
                        <w:t>Almegas Tjänsteindikator Q</w:t>
                      </w:r>
                      <w:r>
                        <w:rPr>
                          <w:rFonts w:ascii="Helvetica" w:hAnsi="Helvetica"/>
                          <w:color w:val="FFFFFF"/>
                          <w:sz w:val="40"/>
                          <w:szCs w:val="40"/>
                        </w:rPr>
                        <w:t>2</w:t>
                      </w:r>
                      <w:r w:rsidRPr="009E57D1">
                        <w:rPr>
                          <w:rFonts w:ascii="Helvetica" w:hAnsi="Helvetica"/>
                          <w:color w:val="FFFFFF"/>
                          <w:sz w:val="40"/>
                          <w:szCs w:val="40"/>
                        </w:rPr>
                        <w:t xml:space="preserve"> 201</w:t>
                      </w:r>
                      <w:r>
                        <w:rPr>
                          <w:rFonts w:ascii="Helvetica" w:hAnsi="Helvetica"/>
                          <w:color w:val="FFFFFF"/>
                          <w:sz w:val="40"/>
                          <w:szCs w:val="40"/>
                        </w:rPr>
                        <w:t>4</w:t>
                      </w:r>
                    </w:p>
                  </w:txbxContent>
                </v:textbox>
              </v:shape>
            </w:pict>
          </mc:Fallback>
        </mc:AlternateContent>
      </w:r>
      <w:r>
        <w:rPr>
          <w:noProof/>
        </w:rPr>
        <w:drawing>
          <wp:anchor distT="0" distB="0" distL="114300" distR="114300" simplePos="0" relativeHeight="251657216" behindDoc="0" locked="0" layoutInCell="1" allowOverlap="1">
            <wp:simplePos x="0" y="0"/>
            <wp:positionH relativeFrom="column">
              <wp:posOffset>4776470</wp:posOffset>
            </wp:positionH>
            <wp:positionV relativeFrom="paragraph">
              <wp:posOffset>9844405</wp:posOffset>
            </wp:positionV>
            <wp:extent cx="2386965" cy="391160"/>
            <wp:effectExtent l="0" t="0" r="0" b="0"/>
            <wp:wrapNone/>
            <wp:docPr id="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-1203960</wp:posOffset>
            </wp:positionH>
            <wp:positionV relativeFrom="paragraph">
              <wp:posOffset>-1494155</wp:posOffset>
            </wp:positionV>
            <wp:extent cx="7690485" cy="10696575"/>
            <wp:effectExtent l="0" t="0" r="0" b="0"/>
            <wp:wrapNone/>
            <wp:docPr id="36" name="Bild 36" descr="framsida A4 tjänsteindika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amsida A4 tjänsteindikator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048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20E" w:rsidRPr="00524AAB">
        <w:rPr>
          <w:rFonts w:ascii="HelveticaNeueLT Std" w:hAnsi="HelveticaNeueLT Std" w:cs="Arial"/>
          <w:b/>
          <w:noProof/>
          <w:color w:val="F79646"/>
          <w:sz w:val="44"/>
          <w:szCs w:val="44"/>
          <w:u w:val="single"/>
        </w:rPr>
        <w:br/>
      </w:r>
      <w:r w:rsidR="00A6420E" w:rsidRPr="00524AAB">
        <w:rPr>
          <w:rFonts w:ascii="HelveticaNeueLT Std" w:hAnsi="HelveticaNeueLT Std" w:cs="Arial"/>
          <w:b/>
          <w:noProof/>
          <w:color w:val="F79646"/>
          <w:sz w:val="44"/>
          <w:szCs w:val="44"/>
          <w:u w:val="single"/>
        </w:rPr>
        <w:br/>
      </w:r>
    </w:p>
    <w:p w:rsidR="00A6420E" w:rsidRDefault="00B73E85">
      <w:pPr>
        <w:spacing w:before="4320"/>
        <w:rPr>
          <w:rFonts w:ascii="Arial" w:hAnsi="Arial" w:cs="Arial"/>
          <w:b/>
          <w:noProof/>
          <w:sz w:val="36"/>
          <w:szCs w:val="36"/>
        </w:rPr>
      </w:pPr>
      <w:r>
        <w:rPr>
          <w:noProof/>
        </w:rPr>
        <mc:AlternateContent>
          <mc:Choice Requires="wps">
            <w:drawing>
              <wp:anchor distT="0" distB="0" distL="114300" distR="114300" simplePos="0" relativeHeight="251660288" behindDoc="0" locked="0" layoutInCell="1" allowOverlap="1">
                <wp:simplePos x="0" y="0"/>
                <wp:positionH relativeFrom="column">
                  <wp:posOffset>-588645</wp:posOffset>
                </wp:positionH>
                <wp:positionV relativeFrom="paragraph">
                  <wp:posOffset>2204085</wp:posOffset>
                </wp:positionV>
                <wp:extent cx="5890260" cy="325120"/>
                <wp:effectExtent l="1905" t="3810" r="3810" b="4445"/>
                <wp:wrapNone/>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1CF" w:rsidRPr="000B37D0" w:rsidRDefault="00B821CF" w:rsidP="008B5455">
                            <w:pPr>
                              <w:rPr>
                                <w:rFonts w:ascii="Helvetica" w:hAnsi="Helvetica"/>
                                <w:color w:val="31849B"/>
                                <w:sz w:val="32"/>
                                <w:szCs w:val="32"/>
                              </w:rPr>
                            </w:pPr>
                            <w:r>
                              <w:rPr>
                                <w:rFonts w:ascii="Helvetica" w:hAnsi="Helvetica"/>
                                <w:color w:val="31849B"/>
                                <w:sz w:val="32"/>
                                <w:szCs w:val="32"/>
                              </w:rPr>
                              <w:t xml:space="preserve">           Nu har det vänt även för företagstjänster.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6.35pt;margin-top:173.55pt;width:463.8pt;height:25.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zOuQIAAMA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" filled="f" stroked="f">
                <v:textbox style="mso-fit-shape-to-text:t">
                  <w:txbxContent>
                    <w:p w:rsidR="00B821CF" w:rsidRPr="000B37D0" w:rsidRDefault="00B821CF" w:rsidP="008B5455">
                      <w:pPr>
                        <w:rPr>
                          <w:rFonts w:ascii="Helvetica" w:hAnsi="Helvetica"/>
                          <w:color w:val="31849B"/>
                          <w:sz w:val="32"/>
                          <w:szCs w:val="32"/>
                        </w:rPr>
                      </w:pPr>
                      <w:r>
                        <w:rPr>
                          <w:rFonts w:ascii="Helvetica" w:hAnsi="Helvetica"/>
                          <w:color w:val="31849B"/>
                          <w:sz w:val="32"/>
                          <w:szCs w:val="32"/>
                        </w:rPr>
                        <w:t xml:space="preserve">           Nu har det vänt även för företagstjänster.</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-674370</wp:posOffset>
                </wp:positionH>
                <wp:positionV relativeFrom="paragraph">
                  <wp:posOffset>1623060</wp:posOffset>
                </wp:positionV>
                <wp:extent cx="927735" cy="1106805"/>
                <wp:effectExtent l="1905" t="3810" r="3810" b="3810"/>
                <wp:wrapNone/>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10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1CF" w:rsidRPr="000B37D0" w:rsidRDefault="00B821CF" w:rsidP="002F6250">
                            <w:pPr>
                              <w:rPr>
                                <w:rFonts w:ascii="Helvetica" w:hAnsi="Helvetica"/>
                                <w:color w:val="215868"/>
                                <w:sz w:val="300"/>
                                <w:szCs w:val="300"/>
                              </w:rPr>
                            </w:pPr>
                            <w:r w:rsidRPr="000B37D0">
                              <w:rPr>
                                <w:rFonts w:ascii="Helvetica" w:hAnsi="Helvetica"/>
                                <w:color w:val="215868"/>
                                <w:sz w:val="300"/>
                                <w:szCs w:val="3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1pt;margin-top:127.8pt;width:73.05pt;height:8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" filled="f" stroked="f">
                <v:textbox>
                  <w:txbxContent>
                    <w:p w:rsidR="00B821CF" w:rsidRPr="000B37D0" w:rsidRDefault="00B821CF" w:rsidP="002F6250">
                      <w:pPr>
                        <w:rPr>
                          <w:rFonts w:ascii="Helvetica" w:hAnsi="Helvetica"/>
                          <w:color w:val="215868"/>
                          <w:sz w:val="300"/>
                          <w:szCs w:val="300"/>
                        </w:rPr>
                      </w:pPr>
                      <w:r w:rsidRPr="000B37D0">
                        <w:rPr>
                          <w:rFonts w:ascii="Helvetica" w:hAnsi="Helvetica"/>
                          <w:color w:val="215868"/>
                          <w:sz w:val="300"/>
                          <w:szCs w:val="300"/>
                        </w:rPr>
                        <w:t>”</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4776470</wp:posOffset>
            </wp:positionH>
            <wp:positionV relativeFrom="paragraph">
              <wp:posOffset>9844405</wp:posOffset>
            </wp:positionV>
            <wp:extent cx="2386965" cy="391160"/>
            <wp:effectExtent l="0" t="0" r="0" b="0"/>
            <wp:wrapNone/>
            <wp:docPr id="4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39116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bmunderrubr"/>
    <w:bookmarkEnd w:id="0"/>
    <w:bookmarkEnd w:id="2"/>
    <w:p w:rsidR="00520438" w:rsidRDefault="00B73E85">
      <w:r>
        <w:rPr>
          <w:noProof/>
        </w:rPr>
        <mc:AlternateContent>
          <mc:Choice Requires="wps">
            <w:drawing>
              <wp:anchor distT="0" distB="0" distL="114300" distR="114300" simplePos="0" relativeHeight="251661312" behindDoc="0" locked="0" layoutInCell="1" allowOverlap="1">
                <wp:simplePos x="0" y="0"/>
                <wp:positionH relativeFrom="column">
                  <wp:posOffset>81915</wp:posOffset>
                </wp:positionH>
                <wp:positionV relativeFrom="paragraph">
                  <wp:posOffset>321945</wp:posOffset>
                </wp:positionV>
                <wp:extent cx="4410075" cy="1257300"/>
                <wp:effectExtent l="0" t="0" r="3810" b="1905"/>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1CF" w:rsidRDefault="00B821C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margin-left:6.45pt;margin-top:25.35pt;width:347.2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3LuQIAAMI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" filled="f" stroked="f">
                <v:textbox style="layout-flow:vertical">
                  <w:txbxContent>
                    <w:p w:rsidR="00B821CF" w:rsidRDefault="00B821CF"/>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3348990</wp:posOffset>
            </wp:positionH>
            <wp:positionV relativeFrom="paragraph">
              <wp:posOffset>1579245</wp:posOffset>
            </wp:positionV>
            <wp:extent cx="2695575" cy="440690"/>
            <wp:effectExtent l="0" t="0" r="0" b="0"/>
            <wp:wrapNone/>
            <wp:docPr id="44" name="Bild 44" descr="Almega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megalogg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F0E">
        <w:br w:type="page"/>
      </w:r>
      <w:r w:rsidR="00064036" w:rsidRPr="00064036">
        <w:rPr>
          <w:i/>
        </w:rPr>
        <w:lastRenderedPageBreak/>
        <w:t>Almegas tjänsteindikator</w:t>
      </w:r>
      <w:r w:rsidR="00343C0D">
        <w:t xml:space="preserve"> </w:t>
      </w:r>
      <w:r w:rsidR="00B273EE" w:rsidRPr="00343C0D">
        <w:t xml:space="preserve">är en kvartalsbaserad konjunkturindikator som belyser den sammantagna utvecklingen i den privata tjänstesektorn. </w:t>
      </w:r>
      <w:r w:rsidR="00B273EE">
        <w:t>Den</w:t>
      </w:r>
      <w:r w:rsidR="00343C0D">
        <w:t xml:space="preserve"> är väl lämpad för att på ett tidigt stadium pricka in vändpunkterna i </w:t>
      </w:r>
      <w:r w:rsidR="00E931E3">
        <w:t xml:space="preserve">konjunkturen. Exempelvis </w:t>
      </w:r>
      <w:r w:rsidR="002F07C9">
        <w:t>förutspådde Almega</w:t>
      </w:r>
      <w:r w:rsidR="00061666">
        <w:t xml:space="preserve"> redan i juni 2009 med hjälp av tjänsteindikatorn att produktions</w:t>
      </w:r>
      <w:r w:rsidR="00061666" w:rsidRPr="00C21C2B">
        <w:t xml:space="preserve">nedgången för tjänstesektorn </w:t>
      </w:r>
      <w:r w:rsidR="002F07C9">
        <w:t xml:space="preserve">under finanskrisen </w:t>
      </w:r>
      <w:r w:rsidR="00061666">
        <w:t>skulle</w:t>
      </w:r>
      <w:r w:rsidR="00061666" w:rsidRPr="00C21C2B">
        <w:t xml:space="preserve"> komma att bli relativt kortvarig</w:t>
      </w:r>
      <w:r w:rsidR="002E03E7">
        <w:t xml:space="preserve">. </w:t>
      </w:r>
      <w:r w:rsidR="00C24ECF">
        <w:t>D</w:t>
      </w:r>
      <w:r w:rsidR="002E03E7">
        <w:t>etta visade sig</w:t>
      </w:r>
      <w:r w:rsidR="00061666">
        <w:t xml:space="preserve"> också stämma.</w:t>
      </w:r>
    </w:p>
    <w:p w:rsidR="00520438" w:rsidRDefault="00520438">
      <w:pPr>
        <w:pStyle w:val="Brdtextalmega"/>
        <w:spacing w:after="0"/>
        <w:rPr>
          <w:sz w:val="24"/>
          <w:szCs w:val="24"/>
        </w:rPr>
      </w:pPr>
    </w:p>
    <w:p w:rsidR="00520438" w:rsidRDefault="008C2953">
      <w:pPr>
        <w:pStyle w:val="Brdtextalmega"/>
        <w:spacing w:after="0"/>
        <w:rPr>
          <w:sz w:val="24"/>
          <w:szCs w:val="24"/>
        </w:rPr>
      </w:pPr>
      <w:r>
        <w:rPr>
          <w:sz w:val="24"/>
          <w:szCs w:val="24"/>
        </w:rPr>
        <w:t>Tjänsteindikatorn har ett högt prognosvärde för den faktiska utvecklingen av produktion som priser och arbetsmarknad</w:t>
      </w:r>
      <w:r w:rsidR="002E03E7">
        <w:rPr>
          <w:sz w:val="24"/>
          <w:szCs w:val="24"/>
        </w:rPr>
        <w:t>,</w:t>
      </w:r>
      <w:r>
        <w:rPr>
          <w:sz w:val="24"/>
          <w:szCs w:val="24"/>
        </w:rPr>
        <w:t xml:space="preserve"> och ligger </w:t>
      </w:r>
      <w:r w:rsidR="00CF1B8A">
        <w:rPr>
          <w:sz w:val="24"/>
          <w:szCs w:val="24"/>
        </w:rPr>
        <w:t>2-3 månader</w:t>
      </w:r>
      <w:r>
        <w:rPr>
          <w:sz w:val="24"/>
          <w:szCs w:val="24"/>
        </w:rPr>
        <w:t xml:space="preserve"> före publiceringen av de</w:t>
      </w:r>
      <w:r w:rsidR="00B273EE">
        <w:rPr>
          <w:sz w:val="24"/>
          <w:szCs w:val="24"/>
        </w:rPr>
        <w:t>t</w:t>
      </w:r>
      <w:r>
        <w:rPr>
          <w:sz w:val="24"/>
          <w:szCs w:val="24"/>
        </w:rPr>
        <w:t xml:space="preserve"> faktiska </w:t>
      </w:r>
      <w:r w:rsidR="00B273EE">
        <w:rPr>
          <w:sz w:val="24"/>
          <w:szCs w:val="24"/>
        </w:rPr>
        <w:t xml:space="preserve">utfallet </w:t>
      </w:r>
      <w:r w:rsidR="00CF1B8A">
        <w:rPr>
          <w:sz w:val="24"/>
          <w:szCs w:val="24"/>
        </w:rPr>
        <w:t xml:space="preserve">för tjänsteproduktionen enligt </w:t>
      </w:r>
      <w:r w:rsidR="00B273EE">
        <w:rPr>
          <w:sz w:val="24"/>
          <w:szCs w:val="24"/>
        </w:rPr>
        <w:t xml:space="preserve">SCB:s </w:t>
      </w:r>
      <w:r w:rsidR="00CF1B8A">
        <w:rPr>
          <w:sz w:val="24"/>
          <w:szCs w:val="24"/>
        </w:rPr>
        <w:t>tjänsteproduktionsindex</w:t>
      </w:r>
      <w:r>
        <w:rPr>
          <w:sz w:val="24"/>
          <w:szCs w:val="24"/>
        </w:rPr>
        <w:t xml:space="preserve">. Den är en snabb och tillförlitlig signal på konjunkturförändringar i branscher som tillsammans väger tungt i Sveriges totala produktion. Tjänsteproducenterna inom näringslivet svarar för </w:t>
      </w:r>
      <w:r w:rsidR="00D80B4E">
        <w:rPr>
          <w:sz w:val="24"/>
          <w:szCs w:val="24"/>
        </w:rPr>
        <w:t>52</w:t>
      </w:r>
      <w:r w:rsidR="00352BEB">
        <w:rPr>
          <w:sz w:val="24"/>
          <w:szCs w:val="24"/>
        </w:rPr>
        <w:t xml:space="preserve"> procent</w:t>
      </w:r>
      <w:r>
        <w:rPr>
          <w:sz w:val="24"/>
          <w:szCs w:val="24"/>
        </w:rPr>
        <w:t xml:space="preserve"> av BNP, och </w:t>
      </w:r>
      <w:r w:rsidR="00352BEB">
        <w:rPr>
          <w:sz w:val="24"/>
          <w:szCs w:val="24"/>
        </w:rPr>
        <w:t xml:space="preserve">46 </w:t>
      </w:r>
      <w:r>
        <w:rPr>
          <w:sz w:val="24"/>
          <w:szCs w:val="24"/>
        </w:rPr>
        <w:t xml:space="preserve">procent av den totala sysselsättningen. </w:t>
      </w:r>
    </w:p>
    <w:p w:rsidR="00520438" w:rsidRDefault="00520438">
      <w:pPr>
        <w:pStyle w:val="Brdtextalmega"/>
        <w:spacing w:after="0"/>
        <w:rPr>
          <w:rFonts w:ascii="Arial Narrow" w:hAnsi="Arial Narrow"/>
          <w:sz w:val="24"/>
          <w:szCs w:val="24"/>
        </w:rPr>
      </w:pPr>
    </w:p>
    <w:p w:rsidR="003C2D11" w:rsidRDefault="003C2D11">
      <w:pPr>
        <w:pStyle w:val="Brdtextalmega"/>
        <w:spacing w:after="0"/>
        <w:rPr>
          <w:sz w:val="24"/>
          <w:szCs w:val="24"/>
        </w:rPr>
      </w:pPr>
    </w:p>
    <w:p w:rsidR="003C2D11" w:rsidRDefault="002E03E7">
      <w:pPr>
        <w:pStyle w:val="Brdtextalmega"/>
        <w:spacing w:after="0"/>
        <w:rPr>
          <w:sz w:val="24"/>
          <w:szCs w:val="24"/>
        </w:rPr>
      </w:pPr>
      <w:r>
        <w:rPr>
          <w:sz w:val="24"/>
          <w:szCs w:val="24"/>
        </w:rPr>
        <w:t>För y</w:t>
      </w:r>
      <w:r w:rsidR="008C2953">
        <w:rPr>
          <w:sz w:val="24"/>
          <w:szCs w:val="24"/>
        </w:rPr>
        <w:t>tterligare upplysningar om Tjänsteindikatorn</w:t>
      </w:r>
      <w:r>
        <w:rPr>
          <w:sz w:val="24"/>
          <w:szCs w:val="24"/>
        </w:rPr>
        <w:t xml:space="preserve"> kontakta</w:t>
      </w:r>
      <w:r w:rsidR="008C2953">
        <w:rPr>
          <w:sz w:val="24"/>
          <w:szCs w:val="24"/>
        </w:rPr>
        <w:t>:</w:t>
      </w:r>
      <w:r w:rsidR="00252B90">
        <w:rPr>
          <w:sz w:val="24"/>
          <w:szCs w:val="24"/>
        </w:rPr>
        <w:br/>
      </w:r>
    </w:p>
    <w:p w:rsidR="00497160" w:rsidRDefault="0056239D">
      <w:pPr>
        <w:pStyle w:val="Brdtextalmega"/>
        <w:spacing w:after="0"/>
        <w:rPr>
          <w:sz w:val="24"/>
          <w:szCs w:val="24"/>
        </w:rPr>
      </w:pPr>
      <w:r w:rsidRPr="00CC7141">
        <w:rPr>
          <w:sz w:val="24"/>
          <w:szCs w:val="24"/>
        </w:rPr>
        <w:t xml:space="preserve">Lena Hagman </w:t>
      </w:r>
      <w:r w:rsidR="00886001" w:rsidRPr="00CC7141">
        <w:rPr>
          <w:sz w:val="24"/>
          <w:szCs w:val="24"/>
        </w:rPr>
        <w:br/>
      </w:r>
      <w:r w:rsidRPr="00CC7141">
        <w:rPr>
          <w:sz w:val="24"/>
          <w:szCs w:val="24"/>
        </w:rPr>
        <w:t xml:space="preserve">chefekonom Almega </w:t>
      </w:r>
    </w:p>
    <w:p w:rsidR="00520438" w:rsidRPr="001523AE" w:rsidRDefault="0056239D">
      <w:pPr>
        <w:pStyle w:val="Brdtextalmega"/>
        <w:spacing w:after="0"/>
        <w:rPr>
          <w:sz w:val="24"/>
          <w:szCs w:val="24"/>
        </w:rPr>
      </w:pPr>
      <w:r w:rsidRPr="001523AE">
        <w:rPr>
          <w:sz w:val="24"/>
          <w:szCs w:val="24"/>
        </w:rPr>
        <w:t>tel. 08-762 69 61, 0761-08 52 5</w:t>
      </w:r>
      <w:r w:rsidR="00866259" w:rsidRPr="001523AE">
        <w:rPr>
          <w:sz w:val="24"/>
          <w:szCs w:val="24"/>
        </w:rPr>
        <w:t xml:space="preserve">1 </w:t>
      </w:r>
      <w:hyperlink r:id="rId13" w:history="1">
        <w:r w:rsidR="0094276C" w:rsidRPr="001523AE">
          <w:rPr>
            <w:rStyle w:val="Hyperlnk"/>
            <w:sz w:val="24"/>
            <w:szCs w:val="24"/>
          </w:rPr>
          <w:t>lena.hagman@almega.se</w:t>
        </w:r>
      </w:hyperlink>
    </w:p>
    <w:p w:rsidR="003C2D11" w:rsidRPr="001523AE" w:rsidRDefault="003C2D11">
      <w:pPr>
        <w:pStyle w:val="Brdtextalmega"/>
        <w:spacing w:after="0"/>
        <w:rPr>
          <w:sz w:val="24"/>
          <w:szCs w:val="24"/>
        </w:rPr>
      </w:pPr>
    </w:p>
    <w:p w:rsidR="00520438" w:rsidRDefault="0094276C">
      <w:pPr>
        <w:pStyle w:val="Brdtextalmega"/>
        <w:spacing w:after="0"/>
        <w:rPr>
          <w:sz w:val="24"/>
          <w:szCs w:val="24"/>
        </w:rPr>
      </w:pPr>
      <w:r>
        <w:rPr>
          <w:sz w:val="24"/>
          <w:szCs w:val="24"/>
        </w:rPr>
        <w:t xml:space="preserve">Linnea Kvist </w:t>
      </w:r>
    </w:p>
    <w:p w:rsidR="00520438" w:rsidRDefault="00766EAF">
      <w:pPr>
        <w:pStyle w:val="Brdtextalmega"/>
        <w:spacing w:after="0"/>
        <w:rPr>
          <w:sz w:val="24"/>
          <w:szCs w:val="24"/>
        </w:rPr>
      </w:pPr>
      <w:r>
        <w:rPr>
          <w:sz w:val="24"/>
          <w:szCs w:val="24"/>
        </w:rPr>
        <w:t>b</w:t>
      </w:r>
      <w:r w:rsidR="0094276C">
        <w:rPr>
          <w:sz w:val="24"/>
          <w:szCs w:val="24"/>
        </w:rPr>
        <w:t>ranschanalytiker Almega</w:t>
      </w:r>
    </w:p>
    <w:p w:rsidR="00520438" w:rsidRDefault="00064036">
      <w:pPr>
        <w:pStyle w:val="Brdtextalmega"/>
        <w:spacing w:after="0"/>
        <w:rPr>
          <w:sz w:val="24"/>
          <w:szCs w:val="24"/>
        </w:rPr>
      </w:pPr>
      <w:r w:rsidRPr="003C2D11">
        <w:rPr>
          <w:sz w:val="24"/>
          <w:szCs w:val="24"/>
        </w:rPr>
        <w:t xml:space="preserve">tel. 08-762 66 21, 070-590 </w:t>
      </w:r>
      <w:r w:rsidR="0094276C" w:rsidRPr="003C2D11">
        <w:rPr>
          <w:sz w:val="24"/>
          <w:szCs w:val="24"/>
        </w:rPr>
        <w:t>34</w:t>
      </w:r>
      <w:r w:rsidRPr="003C2D11">
        <w:rPr>
          <w:sz w:val="24"/>
          <w:szCs w:val="24"/>
        </w:rPr>
        <w:t xml:space="preserve"> </w:t>
      </w:r>
      <w:r w:rsidR="0094276C" w:rsidRPr="003C2D11">
        <w:rPr>
          <w:sz w:val="24"/>
          <w:szCs w:val="24"/>
        </w:rPr>
        <w:t>45</w:t>
      </w:r>
      <w:r w:rsidRPr="003C2D11">
        <w:rPr>
          <w:sz w:val="24"/>
          <w:szCs w:val="24"/>
        </w:rPr>
        <w:t xml:space="preserve"> </w:t>
      </w:r>
      <w:hyperlink r:id="rId14" w:history="1">
        <w:r w:rsidR="00C96206" w:rsidRPr="004051B5">
          <w:rPr>
            <w:rStyle w:val="Hyperlnk"/>
            <w:sz w:val="24"/>
            <w:szCs w:val="24"/>
          </w:rPr>
          <w:t>linnea.kvist@almega.se</w:t>
        </w:r>
      </w:hyperlink>
    </w:p>
    <w:p w:rsidR="00520438" w:rsidRPr="003C2D11" w:rsidRDefault="00520438">
      <w:pPr>
        <w:pStyle w:val="Brdtextalmega"/>
        <w:spacing w:after="0"/>
        <w:rPr>
          <w:sz w:val="24"/>
          <w:szCs w:val="24"/>
        </w:rPr>
      </w:pPr>
    </w:p>
    <w:p w:rsidR="003C2D11" w:rsidRDefault="003C2D11">
      <w:pPr>
        <w:pStyle w:val="Brdtextalmega"/>
        <w:rPr>
          <w:sz w:val="24"/>
          <w:szCs w:val="24"/>
        </w:rPr>
      </w:pPr>
      <w:bookmarkStart w:id="3" w:name="_Ref9131952"/>
      <w:bookmarkStart w:id="4" w:name="_Ref9132025"/>
    </w:p>
    <w:p w:rsidR="00464421" w:rsidRDefault="00252B90">
      <w:pPr>
        <w:pStyle w:val="Brdtextalmega"/>
        <w:rPr>
          <w:sz w:val="24"/>
          <w:szCs w:val="24"/>
        </w:rPr>
      </w:pPr>
      <w:r>
        <w:rPr>
          <w:sz w:val="24"/>
          <w:szCs w:val="24"/>
        </w:rPr>
        <w:t xml:space="preserve">Almega är de svenska tjänsteföretagarnas arbetsgivar- och intresseorganisation. Almega har 10 </w:t>
      </w:r>
      <w:r w:rsidR="00387DF1">
        <w:rPr>
          <w:sz w:val="24"/>
          <w:szCs w:val="24"/>
        </w:rPr>
        <w:t xml:space="preserve">600 </w:t>
      </w:r>
      <w:r>
        <w:rPr>
          <w:sz w:val="24"/>
          <w:szCs w:val="24"/>
        </w:rPr>
        <w:t xml:space="preserve">medlemsföretag i sju förbund, som tillsammans representerar ett 60-tal branscher inom tjänstesektorn. Medlemsföretagen har sammanlagt </w:t>
      </w:r>
      <w:r w:rsidR="00387DF1">
        <w:rPr>
          <w:sz w:val="24"/>
          <w:szCs w:val="24"/>
        </w:rPr>
        <w:t xml:space="preserve">drygt 531 </w:t>
      </w:r>
      <w:r>
        <w:rPr>
          <w:sz w:val="24"/>
          <w:szCs w:val="24"/>
        </w:rPr>
        <w:t xml:space="preserve">000 anställda. Förbunden arbetar med de frågor som rör respektive bransch. Arbetsgivarförbunden bildar tillsammans Almega och ingår i Svenskt Näringsliv. </w:t>
      </w:r>
      <w:r>
        <w:rPr>
          <w:sz w:val="24"/>
          <w:szCs w:val="24"/>
        </w:rPr>
        <w:br/>
      </w:r>
    </w:p>
    <w:p w:rsidR="00464421" w:rsidRDefault="00252B90">
      <w:pPr>
        <w:pStyle w:val="Brdtextalmega"/>
        <w:ind w:left="567"/>
        <w:rPr>
          <w:sz w:val="24"/>
          <w:szCs w:val="24"/>
        </w:rPr>
      </w:pPr>
      <w:r>
        <w:rPr>
          <w:sz w:val="24"/>
          <w:szCs w:val="24"/>
        </w:rPr>
        <w:t>•</w:t>
      </w:r>
      <w:r>
        <w:rPr>
          <w:sz w:val="24"/>
          <w:szCs w:val="24"/>
        </w:rPr>
        <w:tab/>
        <w:t>Almega Samhallförbundet</w:t>
      </w:r>
    </w:p>
    <w:p w:rsidR="00464421" w:rsidRDefault="00252B90">
      <w:pPr>
        <w:pStyle w:val="Brdtextalmega"/>
        <w:ind w:left="567"/>
        <w:rPr>
          <w:sz w:val="24"/>
          <w:szCs w:val="24"/>
        </w:rPr>
      </w:pPr>
      <w:r>
        <w:rPr>
          <w:sz w:val="24"/>
          <w:szCs w:val="24"/>
        </w:rPr>
        <w:t>•</w:t>
      </w:r>
      <w:r>
        <w:rPr>
          <w:sz w:val="24"/>
          <w:szCs w:val="24"/>
        </w:rPr>
        <w:tab/>
        <w:t>Almega Tjänsteförbunden</w:t>
      </w:r>
    </w:p>
    <w:p w:rsidR="00464421" w:rsidRDefault="00252B90">
      <w:pPr>
        <w:pStyle w:val="Brdtextalmega"/>
        <w:ind w:left="567"/>
        <w:rPr>
          <w:sz w:val="24"/>
          <w:szCs w:val="24"/>
        </w:rPr>
      </w:pPr>
      <w:r>
        <w:rPr>
          <w:sz w:val="24"/>
          <w:szCs w:val="24"/>
        </w:rPr>
        <w:t>•</w:t>
      </w:r>
      <w:r>
        <w:rPr>
          <w:sz w:val="24"/>
          <w:szCs w:val="24"/>
        </w:rPr>
        <w:tab/>
        <w:t>Almega Tjänsteföretagen</w:t>
      </w:r>
    </w:p>
    <w:p w:rsidR="00464421" w:rsidRDefault="00252B90">
      <w:pPr>
        <w:pStyle w:val="Brdtextalmega"/>
        <w:ind w:left="567"/>
        <w:rPr>
          <w:sz w:val="24"/>
          <w:szCs w:val="24"/>
        </w:rPr>
      </w:pPr>
      <w:r>
        <w:rPr>
          <w:sz w:val="24"/>
          <w:szCs w:val="24"/>
        </w:rPr>
        <w:t>•</w:t>
      </w:r>
      <w:r>
        <w:rPr>
          <w:sz w:val="24"/>
          <w:szCs w:val="24"/>
        </w:rPr>
        <w:tab/>
        <w:t>Bemanningsföretagen</w:t>
      </w:r>
    </w:p>
    <w:p w:rsidR="00464421" w:rsidRDefault="00252B90">
      <w:pPr>
        <w:pStyle w:val="Brdtextalmega"/>
        <w:ind w:left="567"/>
        <w:rPr>
          <w:sz w:val="24"/>
          <w:szCs w:val="24"/>
        </w:rPr>
      </w:pPr>
      <w:r>
        <w:rPr>
          <w:sz w:val="24"/>
          <w:szCs w:val="24"/>
        </w:rPr>
        <w:t>•</w:t>
      </w:r>
      <w:r>
        <w:rPr>
          <w:sz w:val="24"/>
          <w:szCs w:val="24"/>
        </w:rPr>
        <w:tab/>
        <w:t>IT&amp;Telekomföretagen inom Almega</w:t>
      </w:r>
    </w:p>
    <w:p w:rsidR="00464421" w:rsidRDefault="00252B90">
      <w:pPr>
        <w:pStyle w:val="Brdtextalmega"/>
        <w:ind w:left="567"/>
        <w:rPr>
          <w:sz w:val="24"/>
          <w:szCs w:val="24"/>
        </w:rPr>
      </w:pPr>
      <w:r>
        <w:rPr>
          <w:sz w:val="24"/>
          <w:szCs w:val="24"/>
        </w:rPr>
        <w:t>•</w:t>
      </w:r>
      <w:r>
        <w:rPr>
          <w:sz w:val="24"/>
          <w:szCs w:val="24"/>
        </w:rPr>
        <w:tab/>
        <w:t>Medieföretagen</w:t>
      </w:r>
    </w:p>
    <w:p w:rsidR="00464421" w:rsidRDefault="00252B90">
      <w:pPr>
        <w:pStyle w:val="Brdtextalmega"/>
        <w:ind w:left="567"/>
        <w:rPr>
          <w:sz w:val="24"/>
          <w:szCs w:val="24"/>
        </w:rPr>
      </w:pPr>
      <w:r>
        <w:rPr>
          <w:sz w:val="24"/>
          <w:szCs w:val="24"/>
        </w:rPr>
        <w:t>•</w:t>
      </w:r>
      <w:r>
        <w:rPr>
          <w:sz w:val="24"/>
          <w:szCs w:val="24"/>
        </w:rPr>
        <w:tab/>
        <w:t>Vårdföretagarna</w:t>
      </w:r>
    </w:p>
    <w:p w:rsidR="00464421" w:rsidRDefault="00464421">
      <w:pPr>
        <w:pStyle w:val="Brdtextalmega"/>
      </w:pPr>
    </w:p>
    <w:p w:rsidR="00A97711" w:rsidRDefault="00A97711">
      <w:pPr>
        <w:pStyle w:val="Innehllsfrteckningsrubrik"/>
      </w:pPr>
      <w:bookmarkStart w:id="5" w:name="_Toc207011575"/>
      <w:bookmarkStart w:id="6" w:name="_Toc247441230"/>
      <w:r>
        <w:t>Innehåll</w:t>
      </w:r>
    </w:p>
    <w:p w:rsidR="00BA33A7" w:rsidRDefault="00A97711">
      <w:pPr>
        <w:pStyle w:val="Innehll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390339793" w:history="1">
        <w:r w:rsidR="00BA33A7" w:rsidRPr="008E60FA">
          <w:rPr>
            <w:rStyle w:val="Hyperlnk"/>
          </w:rPr>
          <w:t>1</w:t>
        </w:r>
        <w:r w:rsidR="00BA33A7">
          <w:rPr>
            <w:rFonts w:asciiTheme="minorHAnsi" w:eastAsiaTheme="minorEastAsia" w:hAnsiTheme="minorHAnsi" w:cstheme="minorBidi"/>
            <w:b w:val="0"/>
            <w:szCs w:val="22"/>
          </w:rPr>
          <w:tab/>
        </w:r>
        <w:r w:rsidR="00BA33A7" w:rsidRPr="008E60FA">
          <w:rPr>
            <w:rStyle w:val="Hyperlnk"/>
          </w:rPr>
          <w:t>Sammanfattning</w:t>
        </w:r>
        <w:r w:rsidR="00BA33A7">
          <w:rPr>
            <w:webHidden/>
          </w:rPr>
          <w:tab/>
        </w:r>
        <w:r w:rsidR="00BA33A7">
          <w:rPr>
            <w:webHidden/>
          </w:rPr>
          <w:fldChar w:fldCharType="begin"/>
        </w:r>
        <w:r w:rsidR="00BA33A7">
          <w:rPr>
            <w:webHidden/>
          </w:rPr>
          <w:instrText xml:space="preserve"> PAGEREF _Toc390339793 \h </w:instrText>
        </w:r>
        <w:r w:rsidR="00BA33A7">
          <w:rPr>
            <w:webHidden/>
          </w:rPr>
        </w:r>
        <w:r w:rsidR="00BA33A7">
          <w:rPr>
            <w:webHidden/>
          </w:rPr>
          <w:fldChar w:fldCharType="separate"/>
        </w:r>
        <w:r w:rsidR="005C3E30">
          <w:rPr>
            <w:webHidden/>
          </w:rPr>
          <w:t>5</w:t>
        </w:r>
        <w:r w:rsidR="00BA33A7">
          <w:rPr>
            <w:webHidden/>
          </w:rPr>
          <w:fldChar w:fldCharType="end"/>
        </w:r>
      </w:hyperlink>
    </w:p>
    <w:p w:rsidR="00BA33A7" w:rsidRDefault="004A2251">
      <w:pPr>
        <w:pStyle w:val="Innehll1"/>
        <w:rPr>
          <w:rFonts w:asciiTheme="minorHAnsi" w:eastAsiaTheme="minorEastAsia" w:hAnsiTheme="minorHAnsi" w:cstheme="minorBidi"/>
          <w:b w:val="0"/>
          <w:szCs w:val="22"/>
        </w:rPr>
      </w:pPr>
      <w:hyperlink w:anchor="_Toc390339794" w:history="1">
        <w:r w:rsidR="00BA33A7" w:rsidRPr="008E60FA">
          <w:rPr>
            <w:rStyle w:val="Hyperlnk"/>
          </w:rPr>
          <w:t>2</w:t>
        </w:r>
        <w:r w:rsidR="00BA33A7">
          <w:rPr>
            <w:rFonts w:asciiTheme="minorHAnsi" w:eastAsiaTheme="minorEastAsia" w:hAnsiTheme="minorHAnsi" w:cstheme="minorBidi"/>
            <w:b w:val="0"/>
            <w:szCs w:val="22"/>
          </w:rPr>
          <w:tab/>
        </w:r>
        <w:r w:rsidR="00BA33A7" w:rsidRPr="008E60FA">
          <w:rPr>
            <w:rStyle w:val="Hyperlnk"/>
          </w:rPr>
          <w:t>Oförändrad tillväxttakt andra kvartalet</w:t>
        </w:r>
        <w:r w:rsidR="00BA33A7">
          <w:rPr>
            <w:webHidden/>
          </w:rPr>
          <w:tab/>
        </w:r>
        <w:r w:rsidR="00BA33A7">
          <w:rPr>
            <w:webHidden/>
          </w:rPr>
          <w:fldChar w:fldCharType="begin"/>
        </w:r>
        <w:r w:rsidR="00BA33A7">
          <w:rPr>
            <w:webHidden/>
          </w:rPr>
          <w:instrText xml:space="preserve"> PAGEREF _Toc390339794 \h </w:instrText>
        </w:r>
        <w:r w:rsidR="00BA33A7">
          <w:rPr>
            <w:webHidden/>
          </w:rPr>
        </w:r>
        <w:r w:rsidR="00BA33A7">
          <w:rPr>
            <w:webHidden/>
          </w:rPr>
          <w:fldChar w:fldCharType="separate"/>
        </w:r>
        <w:r w:rsidR="005C3E30">
          <w:rPr>
            <w:webHidden/>
          </w:rPr>
          <w:t>6</w:t>
        </w:r>
        <w:r w:rsidR="00BA33A7">
          <w:rPr>
            <w:webHidden/>
          </w:rPr>
          <w:fldChar w:fldCharType="end"/>
        </w:r>
      </w:hyperlink>
    </w:p>
    <w:p w:rsidR="00BA33A7" w:rsidRDefault="004A2251">
      <w:pPr>
        <w:pStyle w:val="Innehll2"/>
        <w:tabs>
          <w:tab w:val="left" w:pos="1134"/>
        </w:tabs>
        <w:rPr>
          <w:rFonts w:asciiTheme="minorHAnsi" w:eastAsiaTheme="minorEastAsia" w:hAnsiTheme="minorHAnsi" w:cstheme="minorBidi"/>
          <w:sz w:val="22"/>
          <w:szCs w:val="22"/>
        </w:rPr>
      </w:pPr>
      <w:hyperlink w:anchor="_Toc390339795" w:history="1">
        <w:r w:rsidR="00BA33A7" w:rsidRPr="008E60FA">
          <w:rPr>
            <w:rStyle w:val="Hyperlnk"/>
          </w:rPr>
          <w:t>2.1</w:t>
        </w:r>
        <w:r w:rsidR="00BA33A7">
          <w:rPr>
            <w:rFonts w:asciiTheme="minorHAnsi" w:eastAsiaTheme="minorEastAsia" w:hAnsiTheme="minorHAnsi" w:cstheme="minorBidi"/>
            <w:sz w:val="22"/>
            <w:szCs w:val="22"/>
          </w:rPr>
          <w:tab/>
        </w:r>
        <w:r w:rsidR="00BA33A7" w:rsidRPr="008E60FA">
          <w:rPr>
            <w:rStyle w:val="Hyperlnk"/>
          </w:rPr>
          <w:t>Företagstjänster har vänt uppåt</w:t>
        </w:r>
        <w:r w:rsidR="00BA33A7">
          <w:rPr>
            <w:webHidden/>
          </w:rPr>
          <w:tab/>
        </w:r>
        <w:r w:rsidR="00BA33A7">
          <w:rPr>
            <w:webHidden/>
          </w:rPr>
          <w:fldChar w:fldCharType="begin"/>
        </w:r>
        <w:r w:rsidR="00BA33A7">
          <w:rPr>
            <w:webHidden/>
          </w:rPr>
          <w:instrText xml:space="preserve"> PAGEREF _Toc390339795 \h </w:instrText>
        </w:r>
        <w:r w:rsidR="00BA33A7">
          <w:rPr>
            <w:webHidden/>
          </w:rPr>
        </w:r>
        <w:r w:rsidR="00BA33A7">
          <w:rPr>
            <w:webHidden/>
          </w:rPr>
          <w:fldChar w:fldCharType="separate"/>
        </w:r>
        <w:r w:rsidR="005C3E30">
          <w:rPr>
            <w:webHidden/>
          </w:rPr>
          <w:t>9</w:t>
        </w:r>
        <w:r w:rsidR="00BA33A7">
          <w:rPr>
            <w:webHidden/>
          </w:rPr>
          <w:fldChar w:fldCharType="end"/>
        </w:r>
      </w:hyperlink>
    </w:p>
    <w:p w:rsidR="00BA33A7" w:rsidRDefault="004A2251">
      <w:pPr>
        <w:pStyle w:val="Innehll2"/>
        <w:tabs>
          <w:tab w:val="left" w:pos="1134"/>
        </w:tabs>
        <w:rPr>
          <w:rFonts w:asciiTheme="minorHAnsi" w:eastAsiaTheme="minorEastAsia" w:hAnsiTheme="minorHAnsi" w:cstheme="minorBidi"/>
          <w:sz w:val="22"/>
          <w:szCs w:val="22"/>
        </w:rPr>
      </w:pPr>
      <w:hyperlink w:anchor="_Toc390339796" w:history="1">
        <w:r w:rsidR="00BA33A7" w:rsidRPr="008E60FA">
          <w:rPr>
            <w:rStyle w:val="Hyperlnk"/>
          </w:rPr>
          <w:t>2.2</w:t>
        </w:r>
        <w:r w:rsidR="00BA33A7">
          <w:rPr>
            <w:rFonts w:asciiTheme="minorHAnsi" w:eastAsiaTheme="minorEastAsia" w:hAnsiTheme="minorHAnsi" w:cstheme="minorBidi"/>
            <w:sz w:val="22"/>
            <w:szCs w:val="22"/>
          </w:rPr>
          <w:tab/>
        </w:r>
        <w:r w:rsidR="00BA33A7" w:rsidRPr="008E60FA">
          <w:rPr>
            <w:rStyle w:val="Hyperlnk"/>
          </w:rPr>
          <w:t>Investeringarna ökar inom företagstjänster</w:t>
        </w:r>
        <w:r w:rsidR="00BA33A7">
          <w:rPr>
            <w:webHidden/>
          </w:rPr>
          <w:tab/>
        </w:r>
        <w:r w:rsidR="00BA33A7">
          <w:rPr>
            <w:webHidden/>
          </w:rPr>
          <w:fldChar w:fldCharType="begin"/>
        </w:r>
        <w:r w:rsidR="00BA33A7">
          <w:rPr>
            <w:webHidden/>
          </w:rPr>
          <w:instrText xml:space="preserve"> PAGEREF _Toc390339796 \h </w:instrText>
        </w:r>
        <w:r w:rsidR="00BA33A7">
          <w:rPr>
            <w:webHidden/>
          </w:rPr>
        </w:r>
        <w:r w:rsidR="00BA33A7">
          <w:rPr>
            <w:webHidden/>
          </w:rPr>
          <w:fldChar w:fldCharType="separate"/>
        </w:r>
        <w:r w:rsidR="005C3E30">
          <w:rPr>
            <w:webHidden/>
          </w:rPr>
          <w:t>12</w:t>
        </w:r>
        <w:r w:rsidR="00BA33A7">
          <w:rPr>
            <w:webHidden/>
          </w:rPr>
          <w:fldChar w:fldCharType="end"/>
        </w:r>
      </w:hyperlink>
    </w:p>
    <w:p w:rsidR="00BA33A7" w:rsidRDefault="004A2251">
      <w:pPr>
        <w:pStyle w:val="Innehll2"/>
        <w:tabs>
          <w:tab w:val="left" w:pos="1134"/>
        </w:tabs>
        <w:rPr>
          <w:rFonts w:asciiTheme="minorHAnsi" w:eastAsiaTheme="minorEastAsia" w:hAnsiTheme="minorHAnsi" w:cstheme="minorBidi"/>
          <w:sz w:val="22"/>
          <w:szCs w:val="22"/>
        </w:rPr>
      </w:pPr>
      <w:hyperlink w:anchor="_Toc390339797" w:history="1">
        <w:r w:rsidR="00BA33A7" w:rsidRPr="008E60FA">
          <w:rPr>
            <w:rStyle w:val="Hyperlnk"/>
          </w:rPr>
          <w:t>2.3</w:t>
        </w:r>
        <w:r w:rsidR="00BA33A7">
          <w:rPr>
            <w:rFonts w:asciiTheme="minorHAnsi" w:eastAsiaTheme="minorEastAsia" w:hAnsiTheme="minorHAnsi" w:cstheme="minorBidi"/>
            <w:sz w:val="22"/>
            <w:szCs w:val="22"/>
          </w:rPr>
          <w:tab/>
        </w:r>
        <w:r w:rsidR="00BA33A7" w:rsidRPr="008E60FA">
          <w:rPr>
            <w:rStyle w:val="Hyperlnk"/>
          </w:rPr>
          <w:t>Något svagare optimism</w:t>
        </w:r>
        <w:r w:rsidR="00BA33A7">
          <w:rPr>
            <w:webHidden/>
          </w:rPr>
          <w:tab/>
        </w:r>
        <w:r w:rsidR="00BA33A7">
          <w:rPr>
            <w:webHidden/>
          </w:rPr>
          <w:fldChar w:fldCharType="begin"/>
        </w:r>
        <w:r w:rsidR="00BA33A7">
          <w:rPr>
            <w:webHidden/>
          </w:rPr>
          <w:instrText xml:space="preserve"> PAGEREF _Toc390339797 \h </w:instrText>
        </w:r>
        <w:r w:rsidR="00BA33A7">
          <w:rPr>
            <w:webHidden/>
          </w:rPr>
        </w:r>
        <w:r w:rsidR="00BA33A7">
          <w:rPr>
            <w:webHidden/>
          </w:rPr>
          <w:fldChar w:fldCharType="separate"/>
        </w:r>
        <w:r w:rsidR="005C3E30">
          <w:rPr>
            <w:webHidden/>
          </w:rPr>
          <w:t>14</w:t>
        </w:r>
        <w:r w:rsidR="00BA33A7">
          <w:rPr>
            <w:webHidden/>
          </w:rPr>
          <w:fldChar w:fldCharType="end"/>
        </w:r>
      </w:hyperlink>
    </w:p>
    <w:p w:rsidR="00BA33A7" w:rsidRDefault="004A2251">
      <w:pPr>
        <w:pStyle w:val="Innehll1"/>
        <w:rPr>
          <w:rFonts w:asciiTheme="minorHAnsi" w:eastAsiaTheme="minorEastAsia" w:hAnsiTheme="minorHAnsi" w:cstheme="minorBidi"/>
          <w:b w:val="0"/>
          <w:szCs w:val="22"/>
        </w:rPr>
      </w:pPr>
      <w:hyperlink w:anchor="_Toc390339798" w:history="1">
        <w:r w:rsidR="00BA33A7" w:rsidRPr="008E60FA">
          <w:rPr>
            <w:rStyle w:val="Hyperlnk"/>
          </w:rPr>
          <w:t>3</w:t>
        </w:r>
        <w:r w:rsidR="00BA33A7">
          <w:rPr>
            <w:rFonts w:asciiTheme="minorHAnsi" w:eastAsiaTheme="minorEastAsia" w:hAnsiTheme="minorHAnsi" w:cstheme="minorBidi"/>
            <w:b w:val="0"/>
            <w:szCs w:val="22"/>
          </w:rPr>
          <w:tab/>
        </w:r>
        <w:r w:rsidR="00BA33A7" w:rsidRPr="008E60FA">
          <w:rPr>
            <w:rStyle w:val="Hyperlnk"/>
          </w:rPr>
          <w:t>Sysselsättningstillväxten bedöms bromsa in</w:t>
        </w:r>
        <w:r w:rsidR="00BA33A7">
          <w:rPr>
            <w:webHidden/>
          </w:rPr>
          <w:tab/>
        </w:r>
        <w:r w:rsidR="00BA33A7">
          <w:rPr>
            <w:webHidden/>
          </w:rPr>
          <w:fldChar w:fldCharType="begin"/>
        </w:r>
        <w:r w:rsidR="00BA33A7">
          <w:rPr>
            <w:webHidden/>
          </w:rPr>
          <w:instrText xml:space="preserve"> PAGEREF _Toc390339798 \h </w:instrText>
        </w:r>
        <w:r w:rsidR="00BA33A7">
          <w:rPr>
            <w:webHidden/>
          </w:rPr>
        </w:r>
        <w:r w:rsidR="00BA33A7">
          <w:rPr>
            <w:webHidden/>
          </w:rPr>
          <w:fldChar w:fldCharType="separate"/>
        </w:r>
        <w:r w:rsidR="005C3E30">
          <w:rPr>
            <w:webHidden/>
          </w:rPr>
          <w:t>16</w:t>
        </w:r>
        <w:r w:rsidR="00BA33A7">
          <w:rPr>
            <w:webHidden/>
          </w:rPr>
          <w:fldChar w:fldCharType="end"/>
        </w:r>
      </w:hyperlink>
    </w:p>
    <w:p w:rsidR="00BA33A7" w:rsidRDefault="004A2251">
      <w:pPr>
        <w:pStyle w:val="Innehll1"/>
        <w:rPr>
          <w:rFonts w:asciiTheme="minorHAnsi" w:eastAsiaTheme="minorEastAsia" w:hAnsiTheme="minorHAnsi" w:cstheme="minorBidi"/>
          <w:b w:val="0"/>
          <w:szCs w:val="22"/>
        </w:rPr>
      </w:pPr>
      <w:hyperlink w:anchor="_Toc390339799" w:history="1">
        <w:r w:rsidR="00BA33A7" w:rsidRPr="008E60FA">
          <w:rPr>
            <w:rStyle w:val="Hyperlnk"/>
          </w:rPr>
          <w:t>4</w:t>
        </w:r>
        <w:r w:rsidR="00BA33A7">
          <w:rPr>
            <w:rFonts w:asciiTheme="minorHAnsi" w:eastAsiaTheme="minorEastAsia" w:hAnsiTheme="minorHAnsi" w:cstheme="minorBidi"/>
            <w:b w:val="0"/>
            <w:szCs w:val="22"/>
          </w:rPr>
          <w:tab/>
        </w:r>
        <w:r w:rsidR="00BA33A7" w:rsidRPr="008E60FA">
          <w:rPr>
            <w:rStyle w:val="Hyperlnk"/>
          </w:rPr>
          <w:t>Svagt uppåt för tjänstepriserna</w:t>
        </w:r>
        <w:r w:rsidR="00BA33A7">
          <w:rPr>
            <w:webHidden/>
          </w:rPr>
          <w:tab/>
        </w:r>
        <w:r w:rsidR="00BA33A7">
          <w:rPr>
            <w:webHidden/>
          </w:rPr>
          <w:fldChar w:fldCharType="begin"/>
        </w:r>
        <w:r w:rsidR="00BA33A7">
          <w:rPr>
            <w:webHidden/>
          </w:rPr>
          <w:instrText xml:space="preserve"> PAGEREF _Toc390339799 \h </w:instrText>
        </w:r>
        <w:r w:rsidR="00BA33A7">
          <w:rPr>
            <w:webHidden/>
          </w:rPr>
        </w:r>
        <w:r w:rsidR="00BA33A7">
          <w:rPr>
            <w:webHidden/>
          </w:rPr>
          <w:fldChar w:fldCharType="separate"/>
        </w:r>
        <w:r w:rsidR="005C3E30">
          <w:rPr>
            <w:webHidden/>
          </w:rPr>
          <w:t>21</w:t>
        </w:r>
        <w:r w:rsidR="00BA33A7">
          <w:rPr>
            <w:webHidden/>
          </w:rPr>
          <w:fldChar w:fldCharType="end"/>
        </w:r>
      </w:hyperlink>
    </w:p>
    <w:p w:rsidR="00BA33A7" w:rsidRDefault="004A2251">
      <w:pPr>
        <w:pStyle w:val="Innehll2"/>
        <w:tabs>
          <w:tab w:val="left" w:pos="1134"/>
        </w:tabs>
        <w:rPr>
          <w:rFonts w:asciiTheme="minorHAnsi" w:eastAsiaTheme="minorEastAsia" w:hAnsiTheme="minorHAnsi" w:cstheme="minorBidi"/>
          <w:sz w:val="22"/>
          <w:szCs w:val="22"/>
        </w:rPr>
      </w:pPr>
      <w:hyperlink w:anchor="_Toc390339800" w:history="1">
        <w:r w:rsidR="00BA33A7" w:rsidRPr="008E60FA">
          <w:rPr>
            <w:rStyle w:val="Hyperlnk"/>
          </w:rPr>
          <w:t>4.1</w:t>
        </w:r>
        <w:r w:rsidR="00BA33A7">
          <w:rPr>
            <w:rFonts w:asciiTheme="minorHAnsi" w:eastAsiaTheme="minorEastAsia" w:hAnsiTheme="minorHAnsi" w:cstheme="minorBidi"/>
            <w:sz w:val="22"/>
            <w:szCs w:val="22"/>
          </w:rPr>
          <w:tab/>
        </w:r>
        <w:r w:rsidR="00BA33A7" w:rsidRPr="008E60FA">
          <w:rPr>
            <w:rStyle w:val="Hyperlnk"/>
          </w:rPr>
          <w:t>Inflationen återigen på minus</w:t>
        </w:r>
        <w:r w:rsidR="00BA33A7">
          <w:rPr>
            <w:webHidden/>
          </w:rPr>
          <w:tab/>
        </w:r>
        <w:r w:rsidR="00BA33A7">
          <w:rPr>
            <w:webHidden/>
          </w:rPr>
          <w:fldChar w:fldCharType="begin"/>
        </w:r>
        <w:r w:rsidR="00BA33A7">
          <w:rPr>
            <w:webHidden/>
          </w:rPr>
          <w:instrText xml:space="preserve"> PAGEREF _Toc390339800 \h </w:instrText>
        </w:r>
        <w:r w:rsidR="00BA33A7">
          <w:rPr>
            <w:webHidden/>
          </w:rPr>
        </w:r>
        <w:r w:rsidR="00BA33A7">
          <w:rPr>
            <w:webHidden/>
          </w:rPr>
          <w:fldChar w:fldCharType="separate"/>
        </w:r>
        <w:r w:rsidR="005C3E30">
          <w:rPr>
            <w:webHidden/>
          </w:rPr>
          <w:t>24</w:t>
        </w:r>
        <w:r w:rsidR="00BA33A7">
          <w:rPr>
            <w:webHidden/>
          </w:rPr>
          <w:fldChar w:fldCharType="end"/>
        </w:r>
      </w:hyperlink>
    </w:p>
    <w:p w:rsidR="00BA33A7" w:rsidRDefault="004A2251">
      <w:pPr>
        <w:pStyle w:val="Innehll2"/>
        <w:tabs>
          <w:tab w:val="left" w:pos="1134"/>
        </w:tabs>
        <w:rPr>
          <w:rFonts w:asciiTheme="minorHAnsi" w:eastAsiaTheme="minorEastAsia" w:hAnsiTheme="minorHAnsi" w:cstheme="minorBidi"/>
          <w:sz w:val="22"/>
          <w:szCs w:val="22"/>
        </w:rPr>
      </w:pPr>
      <w:hyperlink w:anchor="_Toc390339801" w:history="1">
        <w:r w:rsidR="00BA33A7" w:rsidRPr="008E60FA">
          <w:rPr>
            <w:rStyle w:val="Hyperlnk"/>
          </w:rPr>
          <w:t>4.2</w:t>
        </w:r>
        <w:r w:rsidR="00BA33A7">
          <w:rPr>
            <w:rFonts w:asciiTheme="minorHAnsi" w:eastAsiaTheme="minorEastAsia" w:hAnsiTheme="minorHAnsi" w:cstheme="minorBidi"/>
            <w:sz w:val="22"/>
            <w:szCs w:val="22"/>
          </w:rPr>
          <w:tab/>
        </w:r>
        <w:r w:rsidR="00BA33A7" w:rsidRPr="008E60FA">
          <w:rPr>
            <w:rStyle w:val="Hyperlnk"/>
          </w:rPr>
          <w:t>Är den negativa trenden för tjänstepriserna bruten?</w:t>
        </w:r>
        <w:r w:rsidR="00BA33A7">
          <w:rPr>
            <w:webHidden/>
          </w:rPr>
          <w:tab/>
        </w:r>
        <w:r w:rsidR="00BA33A7">
          <w:rPr>
            <w:webHidden/>
          </w:rPr>
          <w:fldChar w:fldCharType="begin"/>
        </w:r>
        <w:r w:rsidR="00BA33A7">
          <w:rPr>
            <w:webHidden/>
          </w:rPr>
          <w:instrText xml:space="preserve"> PAGEREF _Toc390339801 \h </w:instrText>
        </w:r>
        <w:r w:rsidR="00BA33A7">
          <w:rPr>
            <w:webHidden/>
          </w:rPr>
        </w:r>
        <w:r w:rsidR="00BA33A7">
          <w:rPr>
            <w:webHidden/>
          </w:rPr>
          <w:fldChar w:fldCharType="separate"/>
        </w:r>
        <w:r w:rsidR="005C3E30">
          <w:rPr>
            <w:webHidden/>
          </w:rPr>
          <w:t>25</w:t>
        </w:r>
        <w:r w:rsidR="00BA33A7">
          <w:rPr>
            <w:webHidden/>
          </w:rPr>
          <w:fldChar w:fldCharType="end"/>
        </w:r>
      </w:hyperlink>
    </w:p>
    <w:p w:rsidR="00A97711" w:rsidRDefault="00A97711">
      <w:r>
        <w:rPr>
          <w:b/>
          <w:bCs/>
        </w:rPr>
        <w:fldChar w:fldCharType="end"/>
      </w:r>
    </w:p>
    <w:p w:rsidR="00A377C7" w:rsidRDefault="00A377C7"/>
    <w:p w:rsidR="0074128A" w:rsidRDefault="00A377C7" w:rsidP="00B8340C">
      <w:pPr>
        <w:pStyle w:val="Innehll1"/>
      </w:pPr>
      <w:r>
        <w:fldChar w:fldCharType="begin"/>
      </w:r>
      <w:r>
        <w:instrText xml:space="preserve"> TOC \o "1-3" \h \z \u </w:instrText>
      </w:r>
      <w:r>
        <w:fldChar w:fldCharType="end"/>
      </w:r>
    </w:p>
    <w:p w:rsidR="007A005A" w:rsidRDefault="007A005A">
      <w:pPr>
        <w:rPr>
          <w:rFonts w:ascii="Arial" w:hAnsi="Arial" w:cs="Arial"/>
          <w:b/>
          <w:sz w:val="26"/>
          <w:szCs w:val="26"/>
        </w:rPr>
      </w:pPr>
    </w:p>
    <w:p w:rsidR="00F958A0" w:rsidRDefault="00B11538">
      <w:pPr>
        <w:rPr>
          <w:rFonts w:cs="Arial"/>
          <w:szCs w:val="26"/>
        </w:rPr>
      </w:pPr>
      <w:r>
        <w:rPr>
          <w:rFonts w:ascii="Arial" w:hAnsi="Arial" w:cs="Arial"/>
          <w:b/>
          <w:sz w:val="26"/>
          <w:szCs w:val="26"/>
        </w:rPr>
        <w:br w:type="page"/>
      </w:r>
      <w:r w:rsidR="003F6311">
        <w:rPr>
          <w:rFonts w:ascii="Arial" w:hAnsi="Arial" w:cs="Arial"/>
          <w:b/>
          <w:sz w:val="26"/>
          <w:szCs w:val="26"/>
        </w:rPr>
        <w:lastRenderedPageBreak/>
        <w:t>Det här är</w:t>
      </w:r>
      <w:r w:rsidR="008972F3" w:rsidRPr="008972F3">
        <w:rPr>
          <w:rFonts w:ascii="Arial" w:hAnsi="Arial" w:cs="Arial"/>
          <w:b/>
          <w:sz w:val="26"/>
          <w:szCs w:val="26"/>
        </w:rPr>
        <w:t xml:space="preserve"> </w:t>
      </w:r>
      <w:r w:rsidR="003F6311">
        <w:rPr>
          <w:rFonts w:ascii="Arial" w:hAnsi="Arial" w:cs="Arial"/>
          <w:b/>
          <w:sz w:val="26"/>
          <w:szCs w:val="26"/>
        </w:rPr>
        <w:t>T</w:t>
      </w:r>
      <w:r w:rsidR="008972F3" w:rsidRPr="008972F3">
        <w:rPr>
          <w:rFonts w:ascii="Arial" w:hAnsi="Arial" w:cs="Arial"/>
          <w:b/>
          <w:sz w:val="26"/>
          <w:szCs w:val="26"/>
        </w:rPr>
        <w:t>jänsteindikatorn</w:t>
      </w:r>
      <w:bookmarkEnd w:id="5"/>
      <w:bookmarkEnd w:id="6"/>
    </w:p>
    <w:p w:rsidR="007A68B5" w:rsidRDefault="007A68B5" w:rsidP="00AA297E">
      <w:pPr>
        <w:pStyle w:val="ALMBrdtext"/>
        <w:rPr>
          <w:rFonts w:ascii="Arial" w:hAnsi="Arial" w:cs="Arial"/>
          <w:sz w:val="20"/>
        </w:rPr>
      </w:pPr>
    </w:p>
    <w:p w:rsidR="00F170B3" w:rsidRDefault="00F170B3" w:rsidP="00F170B3">
      <w:pPr>
        <w:pStyle w:val="ALMBrdtext"/>
        <w:rPr>
          <w:szCs w:val="24"/>
        </w:rPr>
      </w:pPr>
      <w:r w:rsidRPr="00411A7A">
        <w:rPr>
          <w:szCs w:val="24"/>
        </w:rPr>
        <w:t xml:space="preserve">Tjänsteindikatorn bygger </w:t>
      </w:r>
      <w:r>
        <w:rPr>
          <w:szCs w:val="24"/>
        </w:rPr>
        <w:t>från och med fjärde kvartalet 2013</w:t>
      </w:r>
      <w:r w:rsidRPr="00411A7A">
        <w:rPr>
          <w:szCs w:val="24"/>
        </w:rPr>
        <w:t xml:space="preserve"> på en ny skattning utifrån tidsserierna i KI-barometern i förhållande till utfallet enligt </w:t>
      </w:r>
      <w:r>
        <w:rPr>
          <w:szCs w:val="24"/>
        </w:rPr>
        <w:t>tjänsteproduktionsindex från SCB för tjänsteproduktionens tillväxt per kvartal</w:t>
      </w:r>
      <w:r w:rsidRPr="00411A7A">
        <w:rPr>
          <w:szCs w:val="24"/>
        </w:rPr>
        <w:t xml:space="preserve">, se faktarutan nedan. </w:t>
      </w:r>
    </w:p>
    <w:p w:rsidR="00F170B3" w:rsidRDefault="00F170B3" w:rsidP="00AA297E">
      <w:pPr>
        <w:pStyle w:val="ALMBrdtext"/>
        <w:rPr>
          <w:szCs w:val="24"/>
        </w:rPr>
      </w:pPr>
    </w:p>
    <w:p w:rsidR="00894B8D" w:rsidRPr="005573BE" w:rsidRDefault="00894B8D" w:rsidP="00AA297E">
      <w:pPr>
        <w:pStyle w:val="ALMBrdtext"/>
        <w:rPr>
          <w:szCs w:val="24"/>
        </w:rPr>
      </w:pPr>
    </w:p>
    <w:p w:rsidR="00F958A0" w:rsidRDefault="00F958A0">
      <w:pPr>
        <w:pStyle w:val="ALMBrdtext"/>
      </w:pPr>
    </w:p>
    <w:p w:rsidR="008F77A1" w:rsidRPr="004643AE" w:rsidRDefault="008F77A1" w:rsidP="00C32F5B">
      <w:pPr>
        <w:pBdr>
          <w:top w:val="single" w:sz="4" w:space="1" w:color="auto"/>
          <w:left w:val="single" w:sz="4" w:space="4" w:color="auto"/>
          <w:bottom w:val="single" w:sz="4" w:space="1" w:color="auto"/>
          <w:right w:val="single" w:sz="4" w:space="4" w:color="auto"/>
        </w:pBdr>
        <w:shd w:val="clear" w:color="auto" w:fill="FFFFFF"/>
        <w:spacing w:line="360" w:lineRule="auto"/>
        <w:ind w:left="142"/>
        <w:rPr>
          <w:rFonts w:ascii="Calibri" w:hAnsi="Calibri" w:cs="Calibri"/>
          <w:color w:val="E36C0A"/>
          <w:sz w:val="20"/>
          <w:szCs w:val="20"/>
        </w:rPr>
      </w:pPr>
    </w:p>
    <w:p w:rsidR="00464421" w:rsidRPr="007614BA" w:rsidRDefault="00957B3A"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r w:rsidRPr="007614BA">
        <w:rPr>
          <w:rFonts w:ascii="Calibri" w:hAnsi="Calibri" w:cs="Calibri"/>
          <w:sz w:val="20"/>
          <w:szCs w:val="20"/>
        </w:rPr>
        <w:t>Almegas tjänsteindikator togs fram 2001 av Owe Danemar, dåvarande chefekonom för Almega. Indi</w:t>
      </w:r>
      <w:r w:rsidRPr="007614BA">
        <w:rPr>
          <w:rFonts w:ascii="Calibri" w:hAnsi="Calibri" w:cs="Calibri"/>
          <w:sz w:val="20"/>
          <w:szCs w:val="20"/>
        </w:rPr>
        <w:softHyphen/>
        <w:t>ka</w:t>
      </w:r>
      <w:r w:rsidR="0021503A" w:rsidRPr="007614BA">
        <w:rPr>
          <w:rFonts w:ascii="Calibri" w:hAnsi="Calibri" w:cs="Calibri"/>
          <w:sz w:val="20"/>
          <w:szCs w:val="20"/>
        </w:rPr>
        <w:softHyphen/>
      </w:r>
      <w:r w:rsidRPr="007614BA">
        <w:rPr>
          <w:rFonts w:ascii="Calibri" w:hAnsi="Calibri" w:cs="Calibri"/>
          <w:sz w:val="20"/>
          <w:szCs w:val="20"/>
        </w:rPr>
        <w:t>torn bygger på Konjunkturbaro</w:t>
      </w:r>
      <w:r w:rsidRPr="007614BA">
        <w:rPr>
          <w:rFonts w:ascii="Calibri" w:hAnsi="Calibri" w:cs="Calibri"/>
          <w:sz w:val="20"/>
          <w:szCs w:val="20"/>
        </w:rPr>
        <w:softHyphen/>
        <w:t xml:space="preserve">metern från Konjunkturinstitutet och täcker in </w:t>
      </w:r>
      <w:r w:rsidR="00C151AA" w:rsidRPr="007614BA">
        <w:rPr>
          <w:rFonts w:ascii="Calibri" w:hAnsi="Calibri" w:cs="Calibri"/>
          <w:sz w:val="20"/>
          <w:szCs w:val="20"/>
        </w:rPr>
        <w:t xml:space="preserve">nära 90 </w:t>
      </w:r>
      <w:r w:rsidRPr="007614BA">
        <w:rPr>
          <w:rFonts w:ascii="Calibri" w:hAnsi="Calibri" w:cs="Calibri"/>
          <w:sz w:val="20"/>
          <w:szCs w:val="20"/>
        </w:rPr>
        <w:t>procent av den pri</w:t>
      </w:r>
      <w:r w:rsidR="0021503A" w:rsidRPr="007614BA">
        <w:rPr>
          <w:rFonts w:ascii="Calibri" w:hAnsi="Calibri" w:cs="Calibri"/>
          <w:sz w:val="20"/>
          <w:szCs w:val="20"/>
        </w:rPr>
        <w:softHyphen/>
      </w:r>
      <w:r w:rsidRPr="007614BA">
        <w:rPr>
          <w:rFonts w:ascii="Calibri" w:hAnsi="Calibri" w:cs="Calibri"/>
          <w:sz w:val="20"/>
          <w:szCs w:val="20"/>
        </w:rPr>
        <w:t xml:space="preserve">vata tjänstesektorn. </w:t>
      </w:r>
      <w:r w:rsidR="00C33D77" w:rsidRPr="007614BA">
        <w:rPr>
          <w:rFonts w:ascii="Calibri" w:hAnsi="Calibri" w:cs="Calibri"/>
          <w:sz w:val="20"/>
          <w:szCs w:val="20"/>
        </w:rPr>
        <w:t xml:space="preserve">De branscher som saknas </w:t>
      </w:r>
      <w:r w:rsidR="005D0A3B">
        <w:rPr>
          <w:rFonts w:ascii="Calibri" w:hAnsi="Calibri" w:cs="Calibri"/>
          <w:sz w:val="20"/>
          <w:szCs w:val="20"/>
        </w:rPr>
        <w:t xml:space="preserve">i KI-barometern </w:t>
      </w:r>
      <w:r w:rsidR="00C33D77" w:rsidRPr="007614BA">
        <w:rPr>
          <w:rFonts w:ascii="Calibri" w:hAnsi="Calibri" w:cs="Calibri"/>
          <w:sz w:val="20"/>
          <w:szCs w:val="20"/>
        </w:rPr>
        <w:t xml:space="preserve">är utbildning, hälso- och sjukvård samt samhälleliga och personliga tjänster inom näringslivet. </w:t>
      </w:r>
      <w:r w:rsidR="005D0A3B">
        <w:rPr>
          <w:rFonts w:ascii="Calibri" w:hAnsi="Calibri" w:cs="Calibri"/>
          <w:sz w:val="20"/>
          <w:szCs w:val="20"/>
        </w:rPr>
        <w:t xml:space="preserve">Dessa branscher täcks å andra sidan in i Tjänsteproduktionsindex, som däremot inte inkluderar den finansiella sektorn. </w:t>
      </w:r>
      <w:r w:rsidRPr="007614BA">
        <w:rPr>
          <w:rFonts w:ascii="Calibri" w:hAnsi="Calibri" w:cs="Calibri"/>
          <w:sz w:val="20"/>
          <w:szCs w:val="20"/>
        </w:rPr>
        <w:t>Tjänsteindikatorn är ett instrument för kortsiktiga konjunkturanaly</w:t>
      </w:r>
      <w:r w:rsidR="0021503A" w:rsidRPr="007614BA">
        <w:rPr>
          <w:rFonts w:ascii="Calibri" w:hAnsi="Calibri" w:cs="Calibri"/>
          <w:sz w:val="20"/>
          <w:szCs w:val="20"/>
        </w:rPr>
        <w:softHyphen/>
      </w:r>
      <w:r w:rsidRPr="007614BA">
        <w:rPr>
          <w:rFonts w:ascii="Calibri" w:hAnsi="Calibri" w:cs="Calibri"/>
          <w:sz w:val="20"/>
          <w:szCs w:val="20"/>
        </w:rPr>
        <w:t>ser och för att tidigt förutspå vändpunkter i kon</w:t>
      </w:r>
      <w:r w:rsidRPr="007614BA">
        <w:rPr>
          <w:rFonts w:ascii="Calibri" w:hAnsi="Calibri" w:cs="Calibri"/>
          <w:sz w:val="20"/>
          <w:szCs w:val="20"/>
        </w:rPr>
        <w:softHyphen/>
        <w:t>junkturen för tjänstesektorn.</w:t>
      </w:r>
      <w:r w:rsidR="00C151AA" w:rsidRPr="007614BA">
        <w:rPr>
          <w:rFonts w:ascii="Calibri" w:hAnsi="Calibri" w:cs="Calibri"/>
          <w:sz w:val="20"/>
          <w:szCs w:val="20"/>
        </w:rPr>
        <w:t xml:space="preserve"> </w:t>
      </w:r>
    </w:p>
    <w:p w:rsidR="00464421" w:rsidRPr="007614BA" w:rsidRDefault="00464421"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p>
    <w:p w:rsidR="00464421" w:rsidRPr="007614BA" w:rsidRDefault="00957B3A"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r w:rsidRPr="007614BA">
        <w:rPr>
          <w:rFonts w:ascii="Calibri" w:hAnsi="Calibri" w:cs="Calibri"/>
          <w:sz w:val="20"/>
          <w:szCs w:val="20"/>
        </w:rPr>
        <w:t xml:space="preserve">Tjänsteindikatorn bygger på långa tidsserier för den privata tjänstesektorn, som uppdateras varje kvartal. </w:t>
      </w:r>
      <w:r w:rsidR="00C33D77" w:rsidRPr="007614BA">
        <w:rPr>
          <w:rFonts w:ascii="Calibri" w:hAnsi="Calibri" w:cs="Calibri"/>
          <w:sz w:val="20"/>
          <w:szCs w:val="20"/>
        </w:rPr>
        <w:t>Tidsserierna har skattats mot utfallet för</w:t>
      </w:r>
      <w:r w:rsidRPr="007614BA">
        <w:rPr>
          <w:rFonts w:ascii="Calibri" w:hAnsi="Calibri" w:cs="Calibri"/>
          <w:sz w:val="20"/>
          <w:szCs w:val="20"/>
        </w:rPr>
        <w:t xml:space="preserve"> produktion</w:t>
      </w:r>
      <w:r w:rsidR="00C33D77" w:rsidRPr="007614BA">
        <w:rPr>
          <w:rFonts w:ascii="Calibri" w:hAnsi="Calibri" w:cs="Calibri"/>
          <w:sz w:val="20"/>
          <w:szCs w:val="20"/>
        </w:rPr>
        <w:t>stillväxten</w:t>
      </w:r>
      <w:r w:rsidRPr="007614BA">
        <w:rPr>
          <w:rFonts w:ascii="Calibri" w:hAnsi="Calibri" w:cs="Calibri"/>
          <w:sz w:val="20"/>
          <w:szCs w:val="20"/>
        </w:rPr>
        <w:t xml:space="preserve"> i</w:t>
      </w:r>
      <w:r w:rsidR="00C33D77" w:rsidRPr="007614BA">
        <w:rPr>
          <w:rFonts w:ascii="Calibri" w:hAnsi="Calibri" w:cs="Calibri"/>
          <w:sz w:val="20"/>
          <w:szCs w:val="20"/>
        </w:rPr>
        <w:t xml:space="preserve"> den privata</w:t>
      </w:r>
      <w:r w:rsidRPr="007614BA">
        <w:rPr>
          <w:rFonts w:ascii="Calibri" w:hAnsi="Calibri" w:cs="Calibri"/>
          <w:sz w:val="20"/>
          <w:szCs w:val="20"/>
        </w:rPr>
        <w:t xml:space="preserve"> tjänstesektorn för det närmast kom</w:t>
      </w:r>
      <w:r w:rsidRPr="007614BA">
        <w:rPr>
          <w:rFonts w:ascii="Calibri" w:hAnsi="Calibri" w:cs="Calibri"/>
          <w:sz w:val="20"/>
          <w:szCs w:val="20"/>
        </w:rPr>
        <w:softHyphen/>
        <w:t>mande kvartalet. Skattningen utgår från sambandet mel</w:t>
      </w:r>
      <w:r w:rsidRPr="007614BA">
        <w:rPr>
          <w:rFonts w:ascii="Calibri" w:hAnsi="Calibri" w:cs="Calibri"/>
          <w:sz w:val="20"/>
          <w:szCs w:val="20"/>
        </w:rPr>
        <w:softHyphen/>
        <w:t xml:space="preserve">lan </w:t>
      </w:r>
      <w:r w:rsidR="00CA3DA3" w:rsidRPr="007614BA">
        <w:rPr>
          <w:rFonts w:ascii="Calibri" w:hAnsi="Calibri" w:cs="Calibri"/>
          <w:sz w:val="20"/>
          <w:szCs w:val="20"/>
        </w:rPr>
        <w:t xml:space="preserve">bland annat </w:t>
      </w:r>
      <w:r w:rsidRPr="007614BA">
        <w:rPr>
          <w:rFonts w:ascii="Calibri" w:hAnsi="Calibri" w:cs="Calibri"/>
          <w:sz w:val="20"/>
          <w:szCs w:val="20"/>
        </w:rPr>
        <w:t>företagens förväntningar om det kommande kvartalets ef</w:t>
      </w:r>
      <w:r w:rsidRPr="007614BA">
        <w:rPr>
          <w:rFonts w:ascii="Calibri" w:hAnsi="Calibri" w:cs="Calibri"/>
          <w:sz w:val="20"/>
          <w:szCs w:val="20"/>
        </w:rPr>
        <w:softHyphen/>
        <w:t>terfråge- och pro</w:t>
      </w:r>
      <w:r w:rsidRPr="007614BA">
        <w:rPr>
          <w:rFonts w:ascii="Calibri" w:hAnsi="Calibri" w:cs="Calibri"/>
          <w:sz w:val="20"/>
          <w:szCs w:val="20"/>
        </w:rPr>
        <w:softHyphen/>
        <w:t>duktionsutveckling och den faktiska utvecklingen av tjänste</w:t>
      </w:r>
      <w:r w:rsidRPr="007614BA">
        <w:rPr>
          <w:rFonts w:ascii="Calibri" w:hAnsi="Calibri" w:cs="Calibri"/>
          <w:sz w:val="20"/>
          <w:szCs w:val="20"/>
        </w:rPr>
        <w:softHyphen/>
        <w:t xml:space="preserve">produktionen </w:t>
      </w:r>
      <w:r w:rsidR="00894B8D">
        <w:rPr>
          <w:rFonts w:ascii="Calibri" w:hAnsi="Calibri" w:cs="Calibri"/>
          <w:sz w:val="20"/>
          <w:szCs w:val="20"/>
        </w:rPr>
        <w:t xml:space="preserve">per kvartal </w:t>
      </w:r>
      <w:r w:rsidRPr="007614BA">
        <w:rPr>
          <w:rFonts w:ascii="Calibri" w:hAnsi="Calibri" w:cs="Calibri"/>
          <w:sz w:val="20"/>
          <w:szCs w:val="20"/>
        </w:rPr>
        <w:t xml:space="preserve">enligt </w:t>
      </w:r>
      <w:r w:rsidR="00894B8D">
        <w:rPr>
          <w:rFonts w:ascii="Calibri" w:hAnsi="Calibri" w:cs="Calibri"/>
          <w:sz w:val="20"/>
          <w:szCs w:val="20"/>
        </w:rPr>
        <w:t>SCB:s tjänsteproduktionsindex</w:t>
      </w:r>
      <w:r w:rsidRPr="007614BA">
        <w:rPr>
          <w:rFonts w:ascii="Calibri" w:hAnsi="Calibri" w:cs="Calibri"/>
          <w:sz w:val="20"/>
          <w:szCs w:val="20"/>
        </w:rPr>
        <w:t>.</w:t>
      </w:r>
    </w:p>
    <w:p w:rsidR="00464421" w:rsidRPr="007614BA" w:rsidRDefault="00464421"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p>
    <w:p w:rsidR="00464421" w:rsidRPr="007614BA" w:rsidRDefault="00957B3A"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r w:rsidRPr="007614BA">
        <w:rPr>
          <w:rFonts w:ascii="Calibri" w:hAnsi="Calibri" w:cs="Calibri"/>
          <w:sz w:val="20"/>
          <w:szCs w:val="20"/>
        </w:rPr>
        <w:t>Tjänsteindikatorn kan anta värden mellan 0 och 100, där värden över 50 anger ökad produktion och under 50 följaktligen minskad produktion.</w:t>
      </w:r>
    </w:p>
    <w:p w:rsidR="00464421" w:rsidRPr="007614BA" w:rsidRDefault="00464421"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p>
    <w:p w:rsidR="00464421" w:rsidRPr="007614BA" w:rsidRDefault="00957B3A"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r w:rsidRPr="007614BA">
        <w:rPr>
          <w:rFonts w:ascii="Calibri" w:hAnsi="Calibri" w:cs="Calibri"/>
          <w:sz w:val="20"/>
          <w:szCs w:val="20"/>
        </w:rPr>
        <w:t>Även Almegas arbetsmarknads- samt prisindikator bygger på historiska tidsserier från Konjunkturbaro</w:t>
      </w:r>
      <w:r w:rsidR="0021503A" w:rsidRPr="007614BA">
        <w:rPr>
          <w:rFonts w:ascii="Calibri" w:hAnsi="Calibri" w:cs="Calibri"/>
          <w:sz w:val="20"/>
          <w:szCs w:val="20"/>
        </w:rPr>
        <w:softHyphen/>
      </w:r>
      <w:r w:rsidRPr="007614BA">
        <w:rPr>
          <w:rFonts w:ascii="Calibri" w:hAnsi="Calibri" w:cs="Calibri"/>
          <w:sz w:val="20"/>
          <w:szCs w:val="20"/>
        </w:rPr>
        <w:t>metern. Samtliga tre nämnda indikatorer har visat ett högt prognosvärde.</w:t>
      </w:r>
    </w:p>
    <w:p w:rsidR="00464421" w:rsidRPr="007614BA" w:rsidRDefault="00464421"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firstLine="431"/>
        <w:rPr>
          <w:rFonts w:ascii="Calibri" w:hAnsi="Calibri" w:cs="Calibri"/>
          <w:sz w:val="20"/>
          <w:szCs w:val="20"/>
        </w:rPr>
      </w:pPr>
    </w:p>
    <w:p w:rsidR="00464421" w:rsidRDefault="00957B3A"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r w:rsidRPr="007614BA">
        <w:rPr>
          <w:rFonts w:ascii="Calibri" w:hAnsi="Calibri" w:cs="Calibri"/>
          <w:sz w:val="20"/>
          <w:szCs w:val="20"/>
        </w:rPr>
        <w:t>Förutom att ange riktningen för produktion, sysselsättning och priser under det kommande kvartalet, analyseras barometerindikatorerna i relation till den faktiska utvecklingen i kvantitativa termer enligt an</w:t>
      </w:r>
      <w:r w:rsidR="0021503A" w:rsidRPr="007614BA">
        <w:rPr>
          <w:rFonts w:ascii="Calibri" w:hAnsi="Calibri" w:cs="Calibri"/>
          <w:sz w:val="20"/>
          <w:szCs w:val="20"/>
        </w:rPr>
        <w:softHyphen/>
      </w:r>
      <w:r w:rsidRPr="007614BA">
        <w:rPr>
          <w:rFonts w:ascii="Calibri" w:hAnsi="Calibri" w:cs="Calibri"/>
          <w:sz w:val="20"/>
          <w:szCs w:val="20"/>
        </w:rPr>
        <w:t xml:space="preserve">nan statistik, exempelvis </w:t>
      </w:r>
      <w:r w:rsidR="00894B8D">
        <w:rPr>
          <w:rFonts w:ascii="Calibri" w:hAnsi="Calibri" w:cs="Calibri"/>
          <w:sz w:val="20"/>
          <w:szCs w:val="20"/>
        </w:rPr>
        <w:t xml:space="preserve">tjänsteproduktionsindex, </w:t>
      </w:r>
      <w:r w:rsidRPr="007614BA">
        <w:rPr>
          <w:rFonts w:ascii="Calibri" w:hAnsi="Calibri" w:cs="Calibri"/>
          <w:sz w:val="20"/>
          <w:szCs w:val="20"/>
        </w:rPr>
        <w:t>de svenska nationalräkenskaperna</w:t>
      </w:r>
      <w:r w:rsidR="00AA21D1">
        <w:rPr>
          <w:rFonts w:ascii="Calibri" w:hAnsi="Calibri" w:cs="Calibri"/>
          <w:sz w:val="20"/>
          <w:szCs w:val="20"/>
        </w:rPr>
        <w:t>, SCB:s Kortperiodiska sysselsättningsstatistik, Arbetskraftsundersökning</w:t>
      </w:r>
      <w:r w:rsidR="00C33D77" w:rsidRPr="007614BA">
        <w:rPr>
          <w:rFonts w:ascii="Calibri" w:hAnsi="Calibri" w:cs="Calibri"/>
          <w:sz w:val="20"/>
          <w:szCs w:val="20"/>
        </w:rPr>
        <w:t xml:space="preserve"> samt prisstatistik</w:t>
      </w:r>
      <w:r w:rsidRPr="007614BA">
        <w:rPr>
          <w:rFonts w:ascii="Calibri" w:hAnsi="Calibri" w:cs="Calibri"/>
          <w:sz w:val="20"/>
          <w:szCs w:val="20"/>
        </w:rPr>
        <w:t>.</w:t>
      </w:r>
    </w:p>
    <w:p w:rsidR="00894B8D" w:rsidRPr="007614BA" w:rsidRDefault="00894B8D" w:rsidP="004643AE">
      <w:pPr>
        <w:pBdr>
          <w:top w:val="single" w:sz="4" w:space="1" w:color="auto"/>
          <w:left w:val="single" w:sz="4" w:space="4" w:color="auto"/>
          <w:bottom w:val="single" w:sz="4" w:space="1" w:color="auto"/>
          <w:right w:val="single" w:sz="4" w:space="4" w:color="auto"/>
        </w:pBdr>
        <w:shd w:val="clear" w:color="auto" w:fill="FFFFFF"/>
        <w:spacing w:line="276" w:lineRule="auto"/>
        <w:ind w:left="142"/>
        <w:rPr>
          <w:rFonts w:ascii="Calibri" w:hAnsi="Calibri" w:cs="Calibri"/>
          <w:sz w:val="20"/>
          <w:szCs w:val="20"/>
        </w:rPr>
      </w:pPr>
    </w:p>
    <w:p w:rsidR="00464421" w:rsidRPr="00A97711" w:rsidRDefault="005425B2" w:rsidP="00A97711">
      <w:pPr>
        <w:pStyle w:val="Rubrik1"/>
      </w:pPr>
      <w:bookmarkStart w:id="7" w:name="bmAvsnittsrubrik"/>
      <w:bookmarkStart w:id="8" w:name="bmIngress"/>
      <w:bookmarkStart w:id="9" w:name="_Toc207011573"/>
      <w:bookmarkStart w:id="10" w:name="_Toc247441231"/>
      <w:bookmarkStart w:id="11" w:name="_Toc326674412"/>
      <w:bookmarkStart w:id="12" w:name="_Toc350503450"/>
      <w:bookmarkStart w:id="13" w:name="_Toc390339793"/>
      <w:bookmarkEnd w:id="3"/>
      <w:bookmarkEnd w:id="4"/>
      <w:bookmarkEnd w:id="7"/>
      <w:bookmarkEnd w:id="8"/>
      <w:r w:rsidRPr="00A97711">
        <w:lastRenderedPageBreak/>
        <w:t>Sammanfattning</w:t>
      </w:r>
      <w:bookmarkEnd w:id="9"/>
      <w:bookmarkEnd w:id="10"/>
      <w:bookmarkEnd w:id="11"/>
      <w:bookmarkEnd w:id="12"/>
      <w:bookmarkEnd w:id="13"/>
    </w:p>
    <w:p w:rsidR="00FF08B6" w:rsidRDefault="00FF08B6" w:rsidP="00FF08B6">
      <w:pPr>
        <w:pStyle w:val="ALMBrdtext"/>
      </w:pPr>
    </w:p>
    <w:p w:rsidR="00FF08B6" w:rsidRDefault="00FF08B6" w:rsidP="00FF08B6">
      <w:r>
        <w:t xml:space="preserve">Almegas </w:t>
      </w:r>
      <w:r w:rsidRPr="00B45200">
        <w:rPr>
          <w:i/>
        </w:rPr>
        <w:t>tjänsteindikator</w:t>
      </w:r>
      <w:r>
        <w:t xml:space="preserve"> pekar på att tjänsteproduktionens tillväxt under årets andra kvartal kommer att ligga kvar på ungefär samma takt som under första kvartalet</w:t>
      </w:r>
      <w:r w:rsidR="00565B62">
        <w:t>, det vill säga kring 2,5 procent</w:t>
      </w:r>
      <w:r>
        <w:t>. Det indikerar att tjänsteproduktionen kommer att visa en ökning med omkring 2</w:t>
      </w:r>
      <w:r w:rsidR="00565B62">
        <w:t>,5</w:t>
      </w:r>
      <w:r>
        <w:t xml:space="preserve"> procent </w:t>
      </w:r>
      <w:r w:rsidR="00565B62">
        <w:t xml:space="preserve">även </w:t>
      </w:r>
      <w:r>
        <w:t xml:space="preserve">under årets första halvår jämfört med första halvåret 2013. </w:t>
      </w:r>
      <w:r w:rsidR="00ED5BE1">
        <w:t xml:space="preserve">Hittills i år är det i huvudsak </w:t>
      </w:r>
      <w:r w:rsidR="000A214C">
        <w:t xml:space="preserve">den privata </w:t>
      </w:r>
      <w:r w:rsidR="00ED5BE1">
        <w:t>tjänsteproduktionen som håller uppe Sveriges totala produktionstillväxt.</w:t>
      </w:r>
    </w:p>
    <w:p w:rsidR="00FF08B6" w:rsidRDefault="00FF08B6" w:rsidP="00FF08B6">
      <w:pPr>
        <w:pStyle w:val="ALMBrdtext"/>
      </w:pPr>
    </w:p>
    <w:p w:rsidR="00FF08B6" w:rsidRDefault="000A214C" w:rsidP="00FF08B6">
      <w:r>
        <w:t xml:space="preserve">Efter en avmattning </w:t>
      </w:r>
      <w:r w:rsidR="00A45475">
        <w:t xml:space="preserve">under perioden </w:t>
      </w:r>
      <w:r>
        <w:t xml:space="preserve">2011 till och med 2013 i samband med svag efterfrågan från både omvärlden och exportindustrin i Sverige, har det börjat vända för större delen av sektorn företagstjänster. </w:t>
      </w:r>
      <w:r w:rsidR="00862DEE">
        <w:t xml:space="preserve">Det tyder på att efterfrågan på företagstjänster börjat öka från </w:t>
      </w:r>
      <w:r w:rsidR="00225F5F">
        <w:t xml:space="preserve">dels </w:t>
      </w:r>
      <w:r w:rsidR="00862DEE">
        <w:t>exportindustrin, men även från andra sektorer i ekonomin.</w:t>
      </w:r>
      <w:r w:rsidR="009829DF">
        <w:t xml:space="preserve"> </w:t>
      </w:r>
      <w:r>
        <w:t>Å</w:t>
      </w:r>
      <w:r w:rsidR="00FF08B6">
        <w:t xml:space="preserve">terhämtningen </w:t>
      </w:r>
      <w:r>
        <w:t>från förra året för bemanningsbranschen fortsätter dessutom</w:t>
      </w:r>
      <w:r w:rsidR="00862DEE">
        <w:t>, med starkast efterfrågan från industrin i början av året</w:t>
      </w:r>
      <w:r w:rsidR="00FF08B6">
        <w:t xml:space="preserve">. </w:t>
      </w:r>
    </w:p>
    <w:p w:rsidR="00FF08B6" w:rsidRDefault="00FF08B6" w:rsidP="00FF08B6">
      <w:pPr>
        <w:pStyle w:val="ALMBrdtext"/>
      </w:pPr>
    </w:p>
    <w:p w:rsidR="00FF08B6" w:rsidRDefault="00FF08B6" w:rsidP="00FF08B6">
      <w:r w:rsidRPr="00214CB1">
        <w:t>Almegas</w:t>
      </w:r>
      <w:r w:rsidRPr="00064036">
        <w:rPr>
          <w:i/>
        </w:rPr>
        <w:t xml:space="preserve"> arbetsmarknadsindikator</w:t>
      </w:r>
      <w:r>
        <w:t xml:space="preserve"> pekar på att sysselsättningen inom den privata tjänstesektorn</w:t>
      </w:r>
      <w:r w:rsidRPr="000A1C15">
        <w:t xml:space="preserve"> </w:t>
      </w:r>
      <w:r>
        <w:t xml:space="preserve">kommer fortsätta att öka under andra kvartalet i år. Men eftersom sysselsättningen ökade betydligt mer än väntat under förra året, medan tillväxten i tjänstesektorn blev svagare än vad företagen förväntat, räknar Almega med att tillväxten för sysselsättningen kommer att öka något långsammare i år jämfört med förra året. </w:t>
      </w:r>
    </w:p>
    <w:p w:rsidR="00FF08B6" w:rsidRDefault="00FF08B6" w:rsidP="00FF08B6"/>
    <w:p w:rsidR="00FF08B6" w:rsidRDefault="00F1378F" w:rsidP="00FF08B6">
      <w:pPr>
        <w:pStyle w:val="ALMBrdtext"/>
      </w:pPr>
      <w:r>
        <w:t xml:space="preserve">Det är fortfarande branscher som är orienterade mot hushållens konsumtion som har starkast ökningstakt i antal anställda. Däremot är takten fortsatt svag för större delen av den stora sektorn företagstjänster. </w:t>
      </w:r>
      <w:r w:rsidR="00244315">
        <w:t>Det förklaras också av stigande personalbrist inom vissa kunskapsintensiva branscher som nu möter ökad efterfrågan, vilket är allvarligt då det motverkar uppsvinget för tillväxten</w:t>
      </w:r>
      <w:r w:rsidR="00225F5F">
        <w:t xml:space="preserve"> inom företagstjänster</w:t>
      </w:r>
      <w:r w:rsidR="00244315">
        <w:t>.</w:t>
      </w:r>
    </w:p>
    <w:p w:rsidR="00F1378F" w:rsidRDefault="00F1378F" w:rsidP="00FF08B6">
      <w:pPr>
        <w:pStyle w:val="ALMBrdtext"/>
      </w:pPr>
    </w:p>
    <w:p w:rsidR="00FF08B6" w:rsidRDefault="00FF08B6" w:rsidP="00FF08B6">
      <w:pPr>
        <w:pStyle w:val="ALMBrdtext"/>
      </w:pPr>
      <w:r>
        <w:t>Almegas</w:t>
      </w:r>
      <w:r>
        <w:rPr>
          <w:i/>
          <w:iCs/>
        </w:rPr>
        <w:t xml:space="preserve"> prisindikator </w:t>
      </w:r>
      <w:r>
        <w:t xml:space="preserve">visar att prisökningstakten för privata tjänster pekar fortsatt svagt uppåt för andra kvartalet 2014. Det innebär att den avmattning vi sett sedan mitten av 2011 har vänt. Fortfarande ligger indikatorn </w:t>
      </w:r>
      <w:r w:rsidR="009829DF">
        <w:t xml:space="preserve">ändå </w:t>
      </w:r>
      <w:r>
        <w:t>på en nivå nära 50, en punkt där priserna är ungefär oförändrade. Det är framförallt priserna inom handeln som drar upp tjänsteprisutvecklingen totalt sett. Där räknar man med en ökning av tjänstepriserna under andra kvartalet medan övriga tjänstenäringar räknar med att priserna kommer ligga kvar på samma nivå som i början av året.</w:t>
      </w:r>
    </w:p>
    <w:p w:rsidR="00FF08B6" w:rsidRDefault="00FF08B6" w:rsidP="00FF08B6">
      <w:pPr>
        <w:pStyle w:val="ALMBrdtext"/>
      </w:pPr>
    </w:p>
    <w:p w:rsidR="00862DEE" w:rsidRDefault="00FF08B6" w:rsidP="00B45200">
      <w:pPr>
        <w:pStyle w:val="ALMBrdtext"/>
      </w:pPr>
      <w:r>
        <w:t>Sammantaget räknar Almega med att prisökningstakten för producentpriserna inom den privata tjänstesektorn kommer att öka något under andra kvartalet, men fortfarande ligga kvar på en svag utvecklingstakt. Även tjänstepriserna i konsumentledet väntas börja visa en positivare utveckling under resten av året jämfört med den mycket svaga ökningen under första kvartalet. En långdragen återhämtning av efterfrågan från omvärlden samt hård konkurrens från utländska producenter som säljer tjänster i Sverige är fortsatt bidragande orsaker till den låga prisutvecklingen för tjänster.</w:t>
      </w:r>
    </w:p>
    <w:p w:rsidR="00862DEE" w:rsidRDefault="00862DEE" w:rsidP="000D415F"/>
    <w:p w:rsidR="00DB2448" w:rsidRPr="001A09F5" w:rsidRDefault="00705410" w:rsidP="008B5CB8">
      <w:pPr>
        <w:pStyle w:val="ALMBrdtext"/>
      </w:pPr>
      <w:r w:rsidRPr="000413DD">
        <w:t xml:space="preserve">Lena Hagman och Linnea Kvist, </w:t>
      </w:r>
      <w:r w:rsidR="009F340E">
        <w:t>17</w:t>
      </w:r>
      <w:r w:rsidR="009F340E" w:rsidRPr="000413DD">
        <w:t xml:space="preserve"> </w:t>
      </w:r>
      <w:r w:rsidR="009F340E">
        <w:t>juni</w:t>
      </w:r>
      <w:r w:rsidR="009F340E" w:rsidRPr="000413DD">
        <w:t xml:space="preserve"> </w:t>
      </w:r>
      <w:r w:rsidR="00B55F00" w:rsidRPr="000413DD">
        <w:t>201</w:t>
      </w:r>
      <w:r w:rsidR="00B55F00">
        <w:t>4</w:t>
      </w:r>
    </w:p>
    <w:p w:rsidR="00C75D6E" w:rsidRDefault="0086362A" w:rsidP="00613ADB">
      <w:pPr>
        <w:pStyle w:val="Rubrik1"/>
      </w:pPr>
      <w:bookmarkStart w:id="14" w:name="_Toc390339794"/>
      <w:r>
        <w:lastRenderedPageBreak/>
        <w:t>Oförändrad tillväxttakt andra kvartalet</w:t>
      </w:r>
      <w:bookmarkEnd w:id="14"/>
    </w:p>
    <w:p w:rsidR="00007EB8" w:rsidRDefault="00613ADB" w:rsidP="00007EB8">
      <w:r>
        <w:t>T</w:t>
      </w:r>
      <w:r w:rsidR="00007EB8">
        <w:t xml:space="preserve">jänsteindikatorn </w:t>
      </w:r>
      <w:r>
        <w:t xml:space="preserve">pekar </w:t>
      </w:r>
      <w:r w:rsidR="00007EB8">
        <w:t>på att tjänsteproduktionen</w:t>
      </w:r>
      <w:r w:rsidR="0086362A">
        <w:t>s tillväxt</w:t>
      </w:r>
      <w:r w:rsidR="00007EB8">
        <w:t xml:space="preserve"> </w:t>
      </w:r>
      <w:r w:rsidR="0086362A">
        <w:t xml:space="preserve">under årets andra kvartal kommer att ligga kvar på </w:t>
      </w:r>
      <w:r w:rsidR="006A24E0">
        <w:t xml:space="preserve">ungefär </w:t>
      </w:r>
      <w:r w:rsidR="0086362A">
        <w:t xml:space="preserve">samma takt som under första kvartalet, då </w:t>
      </w:r>
      <w:r w:rsidR="006A24E0">
        <w:t>produktionsökningen</w:t>
      </w:r>
      <w:r w:rsidR="0086362A">
        <w:t xml:space="preserve"> uppgick till 2,</w:t>
      </w:r>
      <w:r w:rsidR="00565B62">
        <w:t xml:space="preserve">6 </w:t>
      </w:r>
      <w:r w:rsidR="0086362A">
        <w:t>procent</w:t>
      </w:r>
      <w:r w:rsidR="006A24E0">
        <w:t xml:space="preserve"> jämfört med första kvartalet 2013</w:t>
      </w:r>
      <w:r w:rsidR="0086362A">
        <w:t xml:space="preserve"> enligt </w:t>
      </w:r>
      <w:r w:rsidR="001014FD">
        <w:t>tjänsteproduktionsindex</w:t>
      </w:r>
      <w:r w:rsidR="0086362A">
        <w:t>,</w:t>
      </w:r>
      <w:r w:rsidR="0086362A">
        <w:rPr>
          <w:rStyle w:val="Fotnotsreferens"/>
        </w:rPr>
        <w:footnoteReference w:id="1"/>
      </w:r>
      <w:r w:rsidR="0086362A">
        <w:t xml:space="preserve"> </w:t>
      </w:r>
      <w:r w:rsidR="00007EB8">
        <w:t xml:space="preserve">se diagram 1. </w:t>
      </w:r>
      <w:r w:rsidR="000A5EA9">
        <w:t xml:space="preserve">Det </w:t>
      </w:r>
      <w:r w:rsidR="006A24E0">
        <w:t xml:space="preserve">indikerar att tjänsteproduktionen kommer att visa en ökning med </w:t>
      </w:r>
      <w:r w:rsidR="000A5EA9">
        <w:t>omkring</w:t>
      </w:r>
      <w:r w:rsidR="006A24E0">
        <w:t xml:space="preserve"> 2</w:t>
      </w:r>
      <w:r w:rsidR="00565B62">
        <w:t>,5</w:t>
      </w:r>
      <w:r w:rsidR="006A24E0">
        <w:t xml:space="preserve"> procent </w:t>
      </w:r>
      <w:r w:rsidR="000A5EA9">
        <w:t xml:space="preserve">under årets första halvår </w:t>
      </w:r>
      <w:r w:rsidR="006A24E0">
        <w:t xml:space="preserve">jämfört med första halvåret 2013. </w:t>
      </w:r>
    </w:p>
    <w:p w:rsidR="006A24E0" w:rsidRDefault="006A24E0" w:rsidP="00007EB8"/>
    <w:p w:rsidR="00C75D6E" w:rsidRDefault="00C75D6E" w:rsidP="00C75D6E"/>
    <w:p w:rsidR="00C75D6E" w:rsidRDefault="00C75D6E" w:rsidP="00C75D6E">
      <w:pPr>
        <w:rPr>
          <w:rFonts w:ascii="Arial" w:hAnsi="Arial" w:cs="Arial"/>
          <w:b/>
          <w:sz w:val="20"/>
        </w:rPr>
      </w:pPr>
      <w:r w:rsidRPr="00C047DC">
        <w:rPr>
          <w:rFonts w:ascii="Arial" w:hAnsi="Arial" w:cs="Arial"/>
          <w:b/>
          <w:sz w:val="20"/>
        </w:rPr>
        <w:t>Diagram 1</w:t>
      </w:r>
      <w:r w:rsidR="00F323EB">
        <w:rPr>
          <w:rFonts w:ascii="Arial" w:hAnsi="Arial" w:cs="Arial"/>
          <w:b/>
          <w:sz w:val="20"/>
        </w:rPr>
        <w:t>:</w:t>
      </w:r>
      <w:r w:rsidRPr="00C047DC">
        <w:rPr>
          <w:rFonts w:ascii="Arial" w:hAnsi="Arial" w:cs="Arial"/>
          <w:b/>
          <w:sz w:val="20"/>
        </w:rPr>
        <w:t xml:space="preserve"> </w:t>
      </w:r>
      <w:r w:rsidR="00B52045">
        <w:rPr>
          <w:rFonts w:ascii="Arial" w:hAnsi="Arial" w:cs="Arial"/>
          <w:b/>
          <w:sz w:val="20"/>
        </w:rPr>
        <w:t>Almegas t</w:t>
      </w:r>
      <w:r w:rsidRPr="00C047DC">
        <w:rPr>
          <w:rFonts w:ascii="Arial" w:hAnsi="Arial" w:cs="Arial"/>
          <w:b/>
          <w:sz w:val="20"/>
        </w:rPr>
        <w:t>jänsteindikator</w:t>
      </w:r>
      <w:r w:rsidR="00C0224D">
        <w:rPr>
          <w:rFonts w:ascii="Arial" w:hAnsi="Arial" w:cs="Arial"/>
          <w:b/>
          <w:sz w:val="20"/>
        </w:rPr>
        <w:t xml:space="preserve"> för produktionstillväxten i privat tjänstesektor</w:t>
      </w:r>
    </w:p>
    <w:p w:rsidR="007F1CF9" w:rsidRDefault="007F1CF9" w:rsidP="00C75D6E">
      <w:pPr>
        <w:rPr>
          <w:rFonts w:ascii="Arial" w:hAnsi="Arial" w:cs="Arial"/>
          <w:b/>
          <w:sz w:val="20"/>
        </w:rPr>
      </w:pPr>
    </w:p>
    <w:p w:rsidR="00AA6BF1" w:rsidRDefault="00565B62" w:rsidP="001F7D8B">
      <w:r>
        <w:object w:dxaOrig="11985" w:dyaOrig="8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5pt;height:318.55pt" o:ole="">
            <v:imagedata r:id="rId15" o:title=""/>
          </v:shape>
          <o:OLEObject Type="Embed" ProgID="Mbnd.mbnd" ShapeID="_x0000_i1025" DrawAspect="Content" ObjectID="_1464417900" r:id="rId16"/>
        </w:object>
      </w:r>
    </w:p>
    <w:p w:rsidR="00296C61" w:rsidRDefault="00296C61" w:rsidP="00852F30"/>
    <w:p w:rsidR="006A24E0" w:rsidRDefault="006A24E0" w:rsidP="00852F30"/>
    <w:p w:rsidR="002C7FAF" w:rsidRDefault="002D1470" w:rsidP="002D1470">
      <w:r>
        <w:t>Almegas Tjänsteindikator har fortsatt att visa ett starkt samband med SCB:s Tjänsteproduktionsindex, som följ</w:t>
      </w:r>
      <w:r w:rsidR="003B0C24">
        <w:t>er</w:t>
      </w:r>
      <w:r>
        <w:t xml:space="preserve"> den utveckling som avser </w:t>
      </w:r>
      <w:r w:rsidR="000A5EA9">
        <w:t xml:space="preserve">den privata tjänstesektorns </w:t>
      </w:r>
      <w:r>
        <w:t>produktion i Sverige.</w:t>
      </w:r>
      <w:r w:rsidR="00E517A2">
        <w:t xml:space="preserve"> Tjänsteindikatorn bygger på enkätundersökning</w:t>
      </w:r>
      <w:r w:rsidR="0076686A">
        <w:t>en</w:t>
      </w:r>
      <w:r w:rsidR="00E517A2">
        <w:t xml:space="preserve"> Konjunkturbarometern, </w:t>
      </w:r>
      <w:r w:rsidR="0076686A">
        <w:t>och</w:t>
      </w:r>
      <w:r w:rsidR="0076686A" w:rsidRPr="00E517A2">
        <w:t xml:space="preserve"> </w:t>
      </w:r>
      <w:r w:rsidR="00E517A2">
        <w:t xml:space="preserve">avser </w:t>
      </w:r>
      <w:r w:rsidR="00E51FE6">
        <w:t xml:space="preserve">företagens </w:t>
      </w:r>
      <w:r w:rsidR="00E517A2">
        <w:t>produktion i Sverige</w:t>
      </w:r>
      <w:r w:rsidR="00E517A2" w:rsidRPr="00E517A2">
        <w:t>.</w:t>
      </w:r>
      <w:r>
        <w:rPr>
          <w:rStyle w:val="Fotnotsreferens"/>
        </w:rPr>
        <w:footnoteReference w:id="2"/>
      </w:r>
      <w:r>
        <w:t xml:space="preserve"> </w:t>
      </w:r>
    </w:p>
    <w:p w:rsidR="008A65ED" w:rsidRDefault="008A65ED" w:rsidP="00852F30"/>
    <w:p w:rsidR="00F030DD" w:rsidRDefault="00F030DD" w:rsidP="00852F30">
      <w:r>
        <w:lastRenderedPageBreak/>
        <w:t xml:space="preserve">Medan både industrin och tjänstesektorn visade en långsam återhämtning under förra året tog byggproduktionen bättre fart redan från mitten av året. </w:t>
      </w:r>
      <w:r w:rsidR="005E1653">
        <w:t>Medan tjänste- och byggproduktionen fortsatt uppåt hittills i år har industrins produktion ännu inte tagit fart, se diagram 2. Hittills i år var industriproduktionen 0,7 procent lägre än motsvarande period (januari-april) förra året</w:t>
      </w:r>
      <w:r w:rsidR="00221BAF">
        <w:t>, enligt SCB:s siffror</w:t>
      </w:r>
      <w:r w:rsidR="008C477F">
        <w:t>.</w:t>
      </w:r>
      <w:r w:rsidR="00221BAF">
        <w:rPr>
          <w:rStyle w:val="Fotnotsreferens"/>
        </w:rPr>
        <w:footnoteReference w:id="3"/>
      </w:r>
      <w:r w:rsidR="00A358FC">
        <w:t xml:space="preserve"> </w:t>
      </w:r>
      <w:r w:rsidR="00091466">
        <w:t>En svag utveckling för industrin påverkar naturligtvis även utvecklingen för Sveriges export och även företagstjänster som levererar tjänster till industrin. Almega räknar i sin senaste prognos</w:t>
      </w:r>
      <w:r w:rsidR="00091466">
        <w:rPr>
          <w:rStyle w:val="Fotnotsreferens"/>
        </w:rPr>
        <w:footnoteReference w:id="4"/>
      </w:r>
      <w:r w:rsidR="00091466">
        <w:t xml:space="preserve"> med att industriproduktionen kommer att öka med 3,6 procent</w:t>
      </w:r>
      <w:r w:rsidR="00D02BB5">
        <w:t xml:space="preserve"> i år</w:t>
      </w:r>
      <w:r w:rsidR="00091466">
        <w:t>, vilket alltså förutsätter en vändning uppåt för industriproduktionen under resten av året.</w:t>
      </w:r>
    </w:p>
    <w:p w:rsidR="00F030DD" w:rsidRDefault="00F030DD" w:rsidP="00852F30"/>
    <w:p w:rsidR="00296C61" w:rsidRDefault="00296C61" w:rsidP="00852F30">
      <w:pPr>
        <w:rPr>
          <w:rFonts w:ascii="Arial" w:hAnsi="Arial" w:cs="Arial"/>
          <w:b/>
          <w:sz w:val="20"/>
        </w:rPr>
      </w:pPr>
    </w:p>
    <w:p w:rsidR="00F030DD" w:rsidRDefault="00F030DD" w:rsidP="00852F30">
      <w:pPr>
        <w:rPr>
          <w:rFonts w:ascii="Arial" w:hAnsi="Arial" w:cs="Arial"/>
          <w:b/>
          <w:sz w:val="20"/>
        </w:rPr>
      </w:pPr>
      <w:r w:rsidRPr="00C047DC">
        <w:rPr>
          <w:rFonts w:ascii="Arial" w:hAnsi="Arial" w:cs="Arial"/>
          <w:b/>
          <w:sz w:val="20"/>
        </w:rPr>
        <w:t xml:space="preserve">Diagram </w:t>
      </w:r>
      <w:r>
        <w:rPr>
          <w:rFonts w:ascii="Arial" w:hAnsi="Arial" w:cs="Arial"/>
          <w:b/>
          <w:sz w:val="20"/>
        </w:rPr>
        <w:t xml:space="preserve">2: </w:t>
      </w:r>
      <w:r w:rsidR="001C4B2E">
        <w:rPr>
          <w:rFonts w:ascii="Arial" w:hAnsi="Arial" w:cs="Arial"/>
          <w:b/>
          <w:sz w:val="20"/>
        </w:rPr>
        <w:t xml:space="preserve">Produktionsvolym, </w:t>
      </w:r>
      <w:r w:rsidR="00BF00EB">
        <w:rPr>
          <w:rFonts w:ascii="Arial" w:hAnsi="Arial" w:cs="Arial"/>
          <w:b/>
          <w:sz w:val="20"/>
        </w:rPr>
        <w:t>index 2010=100, säsongrensat</w:t>
      </w:r>
      <w:r>
        <w:rPr>
          <w:rStyle w:val="Fotnotsreferens"/>
          <w:rFonts w:ascii="Arial" w:hAnsi="Arial" w:cs="Arial"/>
          <w:b/>
          <w:sz w:val="20"/>
        </w:rPr>
        <w:footnoteReference w:id="5"/>
      </w:r>
      <w:r w:rsidR="005F5A9C">
        <w:rPr>
          <w:rFonts w:ascii="Arial" w:hAnsi="Arial" w:cs="Arial"/>
          <w:b/>
          <w:sz w:val="20"/>
        </w:rPr>
        <w:t xml:space="preserve"> </w:t>
      </w:r>
    </w:p>
    <w:p w:rsidR="00F030DD" w:rsidRDefault="00F030DD" w:rsidP="00852F30"/>
    <w:p w:rsidR="00F030DD" w:rsidRDefault="005E1653" w:rsidP="00852F30">
      <w:r>
        <w:object w:dxaOrig="11985" w:dyaOrig="8986">
          <v:shape id="_x0000_i1026" type="#_x0000_t75" style="width:424.85pt;height:318.55pt" o:ole="">
            <v:imagedata r:id="rId17" o:title=""/>
          </v:shape>
          <o:OLEObject Type="Embed" ProgID="Mbnd.mbnd" ShapeID="_x0000_i1026" DrawAspect="Content" ObjectID="_1464417901" r:id="rId18"/>
        </w:object>
      </w:r>
    </w:p>
    <w:p w:rsidR="00296C61" w:rsidRDefault="00296C61" w:rsidP="00852F30"/>
    <w:p w:rsidR="009005B2" w:rsidRDefault="009005B2" w:rsidP="00852F30"/>
    <w:p w:rsidR="00475B09" w:rsidRDefault="005E1653" w:rsidP="00071714">
      <w:r>
        <w:t>T</w:t>
      </w:r>
      <w:r w:rsidR="002D1470">
        <w:t xml:space="preserve">ack vare uppgången inom </w:t>
      </w:r>
      <w:r>
        <w:t xml:space="preserve">främst </w:t>
      </w:r>
      <w:r w:rsidR="002D1470">
        <w:t xml:space="preserve">tjänstesektorn visar näringslivet en ökad tillväxt </w:t>
      </w:r>
      <w:r>
        <w:t>hittills</w:t>
      </w:r>
      <w:r w:rsidR="002D1470">
        <w:t xml:space="preserve"> i år</w:t>
      </w:r>
      <w:r w:rsidR="00475B09">
        <w:t>, på 2,3 procent jämfört med januari-april förra året</w:t>
      </w:r>
      <w:r>
        <w:t>.</w:t>
      </w:r>
      <w:r w:rsidR="00475B09">
        <w:t xml:space="preserve"> Byggproduktionen ökade starkast, med 4,8 procent, och tjänsteproduktionen med 3,2 procent.</w:t>
      </w:r>
      <w:r>
        <w:t xml:space="preserve"> </w:t>
      </w:r>
      <w:r w:rsidR="00475B09">
        <w:t xml:space="preserve">Eftersom </w:t>
      </w:r>
      <w:r w:rsidR="00475B09">
        <w:lastRenderedPageBreak/>
        <w:t>tjänsteproduktionen väger tyngst inom näringslivets produktion</w:t>
      </w:r>
      <w:r w:rsidR="00475B09">
        <w:rPr>
          <w:rStyle w:val="Fotnotsreferens"/>
        </w:rPr>
        <w:footnoteReference w:id="6"/>
      </w:r>
      <w:r w:rsidR="00475B09">
        <w:t xml:space="preserve"> bidrar dess tillväxt ändå mest till uppgången för näringslivets produktion totalt.</w:t>
      </w:r>
    </w:p>
    <w:p w:rsidR="0021467C" w:rsidRDefault="0021467C" w:rsidP="00071714"/>
    <w:p w:rsidR="00CE267E" w:rsidRDefault="00FA5AFC" w:rsidP="00071714">
      <w:r>
        <w:t>Årstakten för Sveriges totala produktion, BNP, låg på 1,9 procent under första kvartalet</w:t>
      </w:r>
      <w:r w:rsidR="004C4B57">
        <w:t xml:space="preserve"> i år</w:t>
      </w:r>
      <w:r>
        <w:t>.</w:t>
      </w:r>
      <w:r w:rsidR="00CE267E">
        <w:t xml:space="preserve"> Det var framför allt produktionen inom den privata tjänstesektorn som lyfte BNP, genom att bidra med hela 1,</w:t>
      </w:r>
      <w:r w:rsidR="003D4237">
        <w:t xml:space="preserve">5 </w:t>
      </w:r>
      <w:r w:rsidR="00CE267E">
        <w:t xml:space="preserve">procentenheter till BNP-tillväxten. Bakom siffran döljer sig ett negativt bidrag från industrin, </w:t>
      </w:r>
      <w:r w:rsidR="00424021">
        <w:t xml:space="preserve">där </w:t>
      </w:r>
      <w:r w:rsidR="00CE267E">
        <w:t>produktion</w:t>
      </w:r>
      <w:r w:rsidR="00D02BB5">
        <w:t>en</w:t>
      </w:r>
      <w:r w:rsidR="00CE267E">
        <w:t xml:space="preserve"> minskade under första kvartalet. </w:t>
      </w:r>
    </w:p>
    <w:p w:rsidR="00A358FC" w:rsidRDefault="00A358FC" w:rsidP="00071714"/>
    <w:p w:rsidR="00AD048C" w:rsidRDefault="008A65ED" w:rsidP="00071714">
      <w:r>
        <w:t>Räknat från användningssidan</w:t>
      </w:r>
      <w:r w:rsidR="00FA5AFC">
        <w:t xml:space="preserve"> är </w:t>
      </w:r>
      <w:r>
        <w:t xml:space="preserve">det </w:t>
      </w:r>
      <w:r w:rsidR="00FA5AFC">
        <w:t xml:space="preserve">fortfarande hushållens konsumtion som </w:t>
      </w:r>
      <w:r w:rsidR="00CE267E">
        <w:t>ligger bakom en stor del av uppgången för Sveriges BNP</w:t>
      </w:r>
      <w:r w:rsidR="00FA5AFC">
        <w:t xml:space="preserve">, men även </w:t>
      </w:r>
      <w:r w:rsidR="00483279">
        <w:t xml:space="preserve">de fasta </w:t>
      </w:r>
      <w:r w:rsidR="00FA5AFC">
        <w:t xml:space="preserve">bruttoinvesteringarna </w:t>
      </w:r>
      <w:r w:rsidR="00CE267E">
        <w:t>bidrog till uppgången under första kvartalet. Det</w:t>
      </w:r>
      <w:r w:rsidR="00FA5AFC">
        <w:t xml:space="preserve"> är ett omslag efter förra årets minskning</w:t>
      </w:r>
      <w:r w:rsidR="004C4B57">
        <w:t xml:space="preserve"> </w:t>
      </w:r>
      <w:r w:rsidR="00FA5AFC">
        <w:t xml:space="preserve">och negativa bidrag </w:t>
      </w:r>
      <w:r w:rsidR="005A5418">
        <w:t xml:space="preserve">från investeringarna </w:t>
      </w:r>
      <w:r w:rsidR="00FA5AFC">
        <w:t>till BNP</w:t>
      </w:r>
      <w:r w:rsidR="004C4B57">
        <w:t>-förändringen</w:t>
      </w:r>
      <w:r w:rsidR="00FA5AFC">
        <w:t xml:space="preserve">. </w:t>
      </w:r>
      <w:r w:rsidR="004655F7">
        <w:t xml:space="preserve">Bakom uppsvinget för investeringarna </w:t>
      </w:r>
      <w:r w:rsidR="00483279">
        <w:t xml:space="preserve">står främst tjänstesektorn. Av den totala ökningen av näringslivets investeringar på 7,7 procent första kvartalet, förklarar tjänsteproducenter </w:t>
      </w:r>
      <w:r w:rsidR="00B72CB8">
        <w:t>så gott som hela ökningen</w:t>
      </w:r>
      <w:r w:rsidR="00483279">
        <w:t xml:space="preserve">, </w:t>
      </w:r>
      <w:r w:rsidR="00B72CB8">
        <w:t>samt</w:t>
      </w:r>
      <w:r w:rsidR="00483279">
        <w:t xml:space="preserve"> drygt 85 procent av </w:t>
      </w:r>
      <w:r w:rsidR="00B72CB8">
        <w:t>den totala ökningen för investeringarna i hela ekonomin</w:t>
      </w:r>
      <w:r w:rsidR="00483279">
        <w:t>. Däremot minskade</w:t>
      </w:r>
      <w:r w:rsidR="004655F7">
        <w:t xml:space="preserve"> industrins investeringar</w:t>
      </w:r>
      <w:r w:rsidR="00483279">
        <w:t>, med 4 procent, och bidrog negativt. Inom tjänstesektorn var det</w:t>
      </w:r>
      <w:r w:rsidR="00D555EA">
        <w:t xml:space="preserve"> </w:t>
      </w:r>
      <w:r w:rsidR="004655F7">
        <w:t xml:space="preserve">främst </w:t>
      </w:r>
      <w:r w:rsidR="005A5418">
        <w:t>t</w:t>
      </w:r>
      <w:r w:rsidR="004655F7" w:rsidRPr="004655F7">
        <w:t>ransport och magasinering</w:t>
      </w:r>
      <w:r w:rsidR="004655F7">
        <w:t xml:space="preserve">, </w:t>
      </w:r>
      <w:r w:rsidR="005A5418">
        <w:t>fastighetsbolag och fastighetsförvaltare samt företagstjänster</w:t>
      </w:r>
      <w:r w:rsidR="00483279">
        <w:t xml:space="preserve"> som bidrog positivt till den totala ökningen av investeringarna</w:t>
      </w:r>
      <w:r w:rsidR="004655F7">
        <w:t>.</w:t>
      </w:r>
      <w:r w:rsidR="005A5418">
        <w:t xml:space="preserve"> </w:t>
      </w:r>
    </w:p>
    <w:p w:rsidR="00AD048C" w:rsidRDefault="00AD048C" w:rsidP="00071714"/>
    <w:p w:rsidR="004B1073" w:rsidRDefault="00AD048C" w:rsidP="00071714">
      <w:r>
        <w:t xml:space="preserve">Bakom BNP-siffran </w:t>
      </w:r>
      <w:r w:rsidR="005A5418">
        <w:t xml:space="preserve">för första kvartalet </w:t>
      </w:r>
      <w:r>
        <w:t>gömmer sig negativa siffror för nettoexporten, som drog ned BNP-tillväxten med 0,7 procentenheter. Exporten ökade med 3 procent, vilket är i linje med Almegas exportprognos för helåret 2014. Däremot ökade importen starkare, med 5,2 procent, vilket gav det negativa bidraget till BNP-förändringen. Importen av varor ökade ungefär som Almega räknat med för helåret, dvs. kring 3,5 procent</w:t>
      </w:r>
      <w:r w:rsidR="00E51FE6">
        <w:t>. D</w:t>
      </w:r>
      <w:r>
        <w:t xml:space="preserve">äremot steg tjänsteimporten kraftigt, med 9,4 procent, vilket är en ovanligt stark siffra. </w:t>
      </w:r>
      <w:r w:rsidR="00D555EA">
        <w:t>Bland annat var det importen av transporttjänster samt svenskars utgifter utomlands som förklarar uppsvinget</w:t>
      </w:r>
      <w:r w:rsidR="004B1073">
        <w:t xml:space="preserve"> i tjänsteimporten</w:t>
      </w:r>
      <w:r w:rsidR="00D555EA">
        <w:t xml:space="preserve">. </w:t>
      </w:r>
      <w:r w:rsidR="00862DEE">
        <w:t>Dessutom bidrog en ökad import av olika typer av företagstjänster.</w:t>
      </w:r>
    </w:p>
    <w:p w:rsidR="004B1073" w:rsidRDefault="004B1073" w:rsidP="00071714"/>
    <w:p w:rsidR="00AD048C" w:rsidRDefault="00AD048C" w:rsidP="00071714">
      <w:r>
        <w:t>Med hjälp av statistiken över betalningsbalansen går det att följa utrikeshandeln med tjänster mer i detalj. Denna statistik</w:t>
      </w:r>
      <w:r w:rsidR="005A5418">
        <w:rPr>
          <w:rStyle w:val="Fotnotsreferens"/>
        </w:rPr>
        <w:footnoteReference w:id="7"/>
      </w:r>
      <w:r>
        <w:t xml:space="preserve"> visar för årets första kvartal ett uppsving för</w:t>
      </w:r>
      <w:r w:rsidR="00221BAF" w:rsidRPr="00221BAF">
        <w:t xml:space="preserve"> </w:t>
      </w:r>
      <w:r w:rsidR="001014FD">
        <w:t xml:space="preserve">importen av </w:t>
      </w:r>
      <w:r w:rsidR="00862DEE">
        <w:t>affär</w:t>
      </w:r>
      <w:r w:rsidR="00221BAF" w:rsidRPr="00221BAF">
        <w:t>stjänster</w:t>
      </w:r>
      <w:r w:rsidR="00862DEE">
        <w:t>,</w:t>
      </w:r>
      <w:r w:rsidR="00221BAF" w:rsidRPr="00221BAF">
        <w:t xml:space="preserve"> som </w:t>
      </w:r>
      <w:r w:rsidR="00862DEE">
        <w:t xml:space="preserve">alltså </w:t>
      </w:r>
      <w:r w:rsidR="00221BAF" w:rsidRPr="00221BAF">
        <w:t xml:space="preserve">ligger bakom </w:t>
      </w:r>
      <w:r w:rsidR="00221BAF">
        <w:t>en stor del av d</w:t>
      </w:r>
      <w:r w:rsidR="00221BAF" w:rsidRPr="00221BAF">
        <w:t xml:space="preserve">en stora ökningen </w:t>
      </w:r>
      <w:r w:rsidR="00221BAF">
        <w:t xml:space="preserve">av tjänsteimporten under </w:t>
      </w:r>
      <w:r w:rsidR="00221BAF" w:rsidRPr="00221BAF">
        <w:t xml:space="preserve">första kvartalet. </w:t>
      </w:r>
      <w:r w:rsidR="001014FD">
        <w:t xml:space="preserve">Bland affärstjänster var det importen av </w:t>
      </w:r>
      <w:r w:rsidR="00221BAF" w:rsidRPr="00221BAF">
        <w:t xml:space="preserve">data- samt ”övriga affärstjänster” som </w:t>
      </w:r>
      <w:r w:rsidR="001014FD">
        <w:t>ökade mest</w:t>
      </w:r>
      <w:r w:rsidR="00221BAF" w:rsidRPr="00221BAF">
        <w:t>, bland annat FoU-tjänster, tekniska tjänster, juridiska tjänster, leasing och varuprovisioner. Importen av affärstjänster</w:t>
      </w:r>
      <w:r w:rsidR="00221BAF">
        <w:t xml:space="preserve"> totalt</w:t>
      </w:r>
      <w:r w:rsidR="00221BAF" w:rsidRPr="00221BAF">
        <w:t xml:space="preserve"> utgör en tredjedel av </w:t>
      </w:r>
      <w:r w:rsidR="00221BAF">
        <w:t>hela</w:t>
      </w:r>
      <w:r w:rsidR="00221BAF" w:rsidRPr="00221BAF">
        <w:t xml:space="preserve"> tjänsteimporten.</w:t>
      </w:r>
    </w:p>
    <w:p w:rsidR="00AD048C" w:rsidRDefault="00AD048C" w:rsidP="00071714"/>
    <w:p w:rsidR="00E517A2" w:rsidRDefault="00AD048C" w:rsidP="00071714">
      <w:r>
        <w:t>Almega har i sin BNP-prognos för 2014</w:t>
      </w:r>
      <w:r w:rsidR="009744E1">
        <w:rPr>
          <w:rStyle w:val="Fotnotsreferens"/>
        </w:rPr>
        <w:footnoteReference w:id="8"/>
      </w:r>
      <w:r>
        <w:t xml:space="preserve"> räknat med ett negativt bidrag från nettoexporten</w:t>
      </w:r>
      <w:r w:rsidR="009744E1">
        <w:t xml:space="preserve"> på 0,1 procentenhet och att importen av tjänster ska öka med knappt 3 procent. Om den </w:t>
      </w:r>
      <w:r w:rsidR="004655F7">
        <w:t xml:space="preserve">oväntat </w:t>
      </w:r>
      <w:r w:rsidR="009744E1">
        <w:t xml:space="preserve">starka ökningen </w:t>
      </w:r>
      <w:r w:rsidR="00862DEE">
        <w:t>för tjänsteimporten i början av året</w:t>
      </w:r>
      <w:r w:rsidR="009744E1">
        <w:t xml:space="preserve"> håller i sig </w:t>
      </w:r>
      <w:r w:rsidR="009744E1">
        <w:lastRenderedPageBreak/>
        <w:t xml:space="preserve">resten av året kommer nettoexporten </w:t>
      </w:r>
      <w:r w:rsidR="004655F7">
        <w:t xml:space="preserve">sannolikt </w:t>
      </w:r>
      <w:r w:rsidR="009744E1">
        <w:t>bidra ännu mer negativt</w:t>
      </w:r>
      <w:r w:rsidR="004655F7">
        <w:t xml:space="preserve"> och dra ned BNP-tillväxten mer än Almega räknat med</w:t>
      </w:r>
      <w:r w:rsidR="009744E1">
        <w:t>.</w:t>
      </w:r>
      <w:r w:rsidR="004655F7">
        <w:t xml:space="preserve"> Almegas senaste prognos är att Sveriges BNP ska öka med 2 procent i år. </w:t>
      </w:r>
    </w:p>
    <w:p w:rsidR="00A358FC" w:rsidRDefault="00A358FC" w:rsidP="00071714"/>
    <w:p w:rsidR="0021467C" w:rsidRDefault="00643814" w:rsidP="007D44B2">
      <w:pPr>
        <w:pStyle w:val="Rubrik2"/>
        <w:ind w:left="578" w:hanging="578"/>
      </w:pPr>
      <w:bookmarkStart w:id="15" w:name="_Toc390339795"/>
      <w:r>
        <w:t>Företagstjänster har vänt uppåt</w:t>
      </w:r>
      <w:bookmarkEnd w:id="15"/>
    </w:p>
    <w:p w:rsidR="0021467C" w:rsidRDefault="0021467C" w:rsidP="00071714"/>
    <w:p w:rsidR="00C40976" w:rsidRDefault="00C40976" w:rsidP="00071714">
      <w:r>
        <w:t xml:space="preserve">Under 2013 visade tjänstebranscher som främst riktar sig mot hushållens konsumtion starkast tillväxt inom tjänstsektorn, dvs. utbildningsbranschen, kultur, nöje och fritid samt hotell och restaurang. Ett undantag var </w:t>
      </w:r>
      <w:r w:rsidR="005E6BD8">
        <w:t>h</w:t>
      </w:r>
      <w:r w:rsidR="00071714">
        <w:t>älso- och sjukvård samt omsorg</w:t>
      </w:r>
      <w:r>
        <w:t>sbranschen</w:t>
      </w:r>
      <w:r w:rsidR="00071714">
        <w:t xml:space="preserve">. </w:t>
      </w:r>
      <w:r>
        <w:t xml:space="preserve">Från att ha toppat tillväxtligan </w:t>
      </w:r>
      <w:r w:rsidR="005F5A9C">
        <w:t xml:space="preserve">bland branscherna inom den privata tjänstesektorn </w:t>
      </w:r>
      <w:r w:rsidR="00071714">
        <w:t>under 2012</w:t>
      </w:r>
      <w:r w:rsidR="00D02BB5">
        <w:t xml:space="preserve"> </w:t>
      </w:r>
      <w:r w:rsidR="005F5A9C">
        <w:t xml:space="preserve">med </w:t>
      </w:r>
      <w:r w:rsidR="00956830">
        <w:t xml:space="preserve">drygt </w:t>
      </w:r>
      <w:r w:rsidR="005662B7">
        <w:t>7 procent</w:t>
      </w:r>
      <w:r>
        <w:t xml:space="preserve">s produktionsökning, tappade </w:t>
      </w:r>
      <w:r w:rsidR="008751C6">
        <w:t>branschen</w:t>
      </w:r>
      <w:r>
        <w:t xml:space="preserve"> styrka under förra året, då produktionen ökade med mer måttliga </w:t>
      </w:r>
      <w:r w:rsidR="00071714">
        <w:t>2,</w:t>
      </w:r>
      <w:r w:rsidR="00956830">
        <w:t>4</w:t>
      </w:r>
      <w:r w:rsidR="00E47612">
        <w:t xml:space="preserve"> </w:t>
      </w:r>
      <w:r w:rsidR="00071714">
        <w:t>procent</w:t>
      </w:r>
      <w:r w:rsidR="00071714">
        <w:rPr>
          <w:rStyle w:val="Fotnotsreferens"/>
        </w:rPr>
        <w:footnoteReference w:id="9"/>
      </w:r>
      <w:r w:rsidR="00071714">
        <w:t>.</w:t>
      </w:r>
      <w:r w:rsidR="00071714" w:rsidRPr="008A6167">
        <w:rPr>
          <w:color w:val="1F497D"/>
        </w:rPr>
        <w:t xml:space="preserve"> </w:t>
      </w:r>
      <w:r w:rsidRPr="007C73DC">
        <w:t xml:space="preserve">Hittills i år har branschens produktion </w:t>
      </w:r>
      <w:r w:rsidR="00E47612">
        <w:t>emellertid tagit mer fart och ökat med 3,4 procent.</w:t>
      </w:r>
      <w:r w:rsidRPr="006F6009">
        <w:t xml:space="preserve"> </w:t>
      </w:r>
      <w:r w:rsidR="00071714" w:rsidRPr="00737108">
        <w:t xml:space="preserve">Den </w:t>
      </w:r>
      <w:r w:rsidR="00071714">
        <w:t>svagare</w:t>
      </w:r>
      <w:r w:rsidR="00071714" w:rsidRPr="00737108">
        <w:t xml:space="preserve"> produktion</w:t>
      </w:r>
      <w:r w:rsidR="00071714">
        <w:t>stillväxten</w:t>
      </w:r>
      <w:r w:rsidR="00071714" w:rsidRPr="00737108">
        <w:t xml:space="preserve"> </w:t>
      </w:r>
      <w:r w:rsidR="00071714">
        <w:t xml:space="preserve">för </w:t>
      </w:r>
      <w:r w:rsidR="007819DE">
        <w:t>hälso</w:t>
      </w:r>
      <w:r w:rsidR="00071714">
        <w:t>- och sjukvård samt omsorg</w:t>
      </w:r>
      <w:r w:rsidR="00071714" w:rsidRPr="00737108">
        <w:t xml:space="preserve"> </w:t>
      </w:r>
      <w:r w:rsidR="00D02BB5">
        <w:t xml:space="preserve">jämfört med den under 2012 </w:t>
      </w:r>
      <w:r w:rsidR="00071714" w:rsidRPr="00737108">
        <w:t xml:space="preserve">hänger </w:t>
      </w:r>
      <w:r w:rsidR="00862DEE">
        <w:t xml:space="preserve">helt klart </w:t>
      </w:r>
      <w:r w:rsidR="00071714" w:rsidRPr="00737108">
        <w:t xml:space="preserve">ihop med den politiska osäkerheten </w:t>
      </w:r>
      <w:r w:rsidR="00623B63">
        <w:t>kring</w:t>
      </w:r>
      <w:r w:rsidR="00623B63" w:rsidRPr="00737108">
        <w:t xml:space="preserve"> </w:t>
      </w:r>
      <w:r w:rsidR="00071714" w:rsidRPr="00737108">
        <w:t xml:space="preserve">villkoren för privat driven vård och omsorg. </w:t>
      </w:r>
    </w:p>
    <w:p w:rsidR="00C40976" w:rsidRDefault="00C40976" w:rsidP="00C40976"/>
    <w:p w:rsidR="005F5A9C" w:rsidRDefault="004829C8" w:rsidP="00C40976">
      <w:r>
        <w:t xml:space="preserve">En tydlig förändring </w:t>
      </w:r>
      <w:r w:rsidR="005F5A9C">
        <w:t xml:space="preserve">i början av 2014 är att </w:t>
      </w:r>
      <w:r w:rsidR="006D6D1A">
        <w:t>fler</w:t>
      </w:r>
      <w:r w:rsidR="00C40976">
        <w:t xml:space="preserve"> företagstjänster </w:t>
      </w:r>
      <w:r w:rsidR="005F5A9C">
        <w:t xml:space="preserve">har visat </w:t>
      </w:r>
      <w:r w:rsidR="00C40976">
        <w:t xml:space="preserve">en vändning uppåt i </w:t>
      </w:r>
      <w:r w:rsidR="005F5A9C">
        <w:t>produktionen</w:t>
      </w:r>
      <w:r w:rsidR="00C40976">
        <w:t xml:space="preserve">. </w:t>
      </w:r>
      <w:r w:rsidR="00D833DE">
        <w:t xml:space="preserve">Det har bidragit till att den privata tjänstesektorn i år börjat visa starkare tillväxt än under förra året. </w:t>
      </w:r>
      <w:r w:rsidR="006D6D1A">
        <w:t xml:space="preserve">Dessutom fortsätter återhämtningen </w:t>
      </w:r>
      <w:r w:rsidR="005F5A9C">
        <w:t xml:space="preserve">från förra året </w:t>
      </w:r>
      <w:r w:rsidR="006D6D1A">
        <w:t>för</w:t>
      </w:r>
      <w:r w:rsidR="00C40976">
        <w:t xml:space="preserve"> personaluthyrning</w:t>
      </w:r>
      <w:r w:rsidR="00577291">
        <w:t xml:space="preserve"> och</w:t>
      </w:r>
      <w:r w:rsidR="00C40976">
        <w:t xml:space="preserve"> resetjänster</w:t>
      </w:r>
      <w:r w:rsidR="006D6D1A">
        <w:t>, se diagram 3</w:t>
      </w:r>
      <w:r w:rsidR="00C40976">
        <w:t xml:space="preserve">. </w:t>
      </w:r>
      <w:r w:rsidR="005F5A9C">
        <w:t xml:space="preserve">Efter en avmattning </w:t>
      </w:r>
      <w:r w:rsidR="00E51FE6">
        <w:t xml:space="preserve">under perioden </w:t>
      </w:r>
      <w:r w:rsidR="005F5A9C">
        <w:t>2011 till och med 2013 i samband med svag efterfrågan från både omvärlden och exportindustrin i Sverige, har det alltså börjat vända för större delen av sektorn företagstjänster</w:t>
      </w:r>
      <w:r w:rsidR="00D833DE">
        <w:t>, vilken väger tungt inom tjänstesektorn</w:t>
      </w:r>
      <w:r w:rsidR="005F5A9C">
        <w:t>.</w:t>
      </w:r>
      <w:r w:rsidR="00D833DE" w:rsidRPr="00D833DE">
        <w:t xml:space="preserve"> </w:t>
      </w:r>
      <w:r w:rsidR="00D833DE">
        <w:t xml:space="preserve">Företagstjänster totalt sett svarar för nära 1/3 av den totala produktionen inom den privata tjänstesektorn, och har en vikt i tjänsteproduktionsindex på 30 procent. </w:t>
      </w:r>
      <w:r w:rsidR="005F5A9C">
        <w:t xml:space="preserve"> </w:t>
      </w:r>
    </w:p>
    <w:p w:rsidR="005F5A9C" w:rsidRDefault="005F5A9C" w:rsidP="00C40976"/>
    <w:p w:rsidR="00A123CC" w:rsidRDefault="004829C8" w:rsidP="00C40976">
      <w:r>
        <w:t>F</w:t>
      </w:r>
      <w:r w:rsidR="007C73DC">
        <w:t xml:space="preserve">öretagstjänster bidrar i hög grad till Sveriges export, dels med direkt export av färdiga tjänster och dels indirekt genom att vara underleverantörer till exportindustrin. </w:t>
      </w:r>
      <w:r w:rsidR="005F5A9C">
        <w:t xml:space="preserve">Därför påverkas även företagstjänster av den långsamma återhämtningen i efterfrågan från omvärlden. </w:t>
      </w:r>
    </w:p>
    <w:p w:rsidR="00A123CC" w:rsidRDefault="00A123CC" w:rsidP="00C40976"/>
    <w:p w:rsidR="006F6009" w:rsidRDefault="004829C8" w:rsidP="00C40976">
      <w:r>
        <w:t>Exempel på f</w:t>
      </w:r>
      <w:r w:rsidR="006F6009">
        <w:t xml:space="preserve">öretagstjänster som drabbades av den svagare efterfrågan </w:t>
      </w:r>
      <w:r w:rsidR="008928FE">
        <w:t xml:space="preserve">under de senaste åren </w:t>
      </w:r>
      <w:r w:rsidR="006F6009">
        <w:t>var</w:t>
      </w:r>
      <w:r w:rsidR="00C40976">
        <w:t xml:space="preserve"> exempel</w:t>
      </w:r>
      <w:r w:rsidR="006F6009">
        <w:t>vis</w:t>
      </w:r>
      <w:r w:rsidR="00C40976">
        <w:t xml:space="preserve"> datakonsulter.</w:t>
      </w:r>
      <w:r w:rsidR="00C40976" w:rsidRPr="00450009">
        <w:t xml:space="preserve"> </w:t>
      </w:r>
      <w:r w:rsidR="006F6009">
        <w:t xml:space="preserve">I början av </w:t>
      </w:r>
      <w:r w:rsidR="00A123CC">
        <w:t>2014</w:t>
      </w:r>
      <w:r w:rsidR="006F6009">
        <w:t xml:space="preserve"> visar denna bransch </w:t>
      </w:r>
      <w:r w:rsidR="008928FE">
        <w:t xml:space="preserve">emellertid </w:t>
      </w:r>
      <w:r w:rsidR="006F6009">
        <w:t xml:space="preserve">ett klart uppsving, med en produktionstillväxt </w:t>
      </w:r>
      <w:r w:rsidR="00E47612">
        <w:t xml:space="preserve">hittills i år </w:t>
      </w:r>
      <w:r w:rsidR="006F6009">
        <w:t>på 6</w:t>
      </w:r>
      <w:r w:rsidR="00E47612">
        <w:t>,6</w:t>
      </w:r>
      <w:r w:rsidR="006F6009">
        <w:t xml:space="preserve"> procent jämfört med </w:t>
      </w:r>
      <w:r w:rsidR="00E47612">
        <w:t xml:space="preserve">januari-april </w:t>
      </w:r>
      <w:r w:rsidR="006F6009">
        <w:t xml:space="preserve">förra året. </w:t>
      </w:r>
    </w:p>
    <w:p w:rsidR="006F6009" w:rsidRDefault="006F6009" w:rsidP="00C40976"/>
    <w:p w:rsidR="00071714" w:rsidRDefault="00E47612" w:rsidP="00071714">
      <w:r>
        <w:t>Uthyrnings- och resetjänster började sin återhämtning något före övriga företagstjänster, redan under förra året, då branschens produktion ökade med 2,6 procent, enligt SCB:s tjänsteproduktionsindex. Under perioden januari-april i år var branschens tillväxt ännu starkare, då den uppgick till 4,5 procent jämfört med motsvarande period förra året.</w:t>
      </w:r>
    </w:p>
    <w:p w:rsidR="006B17EF" w:rsidRDefault="006B17EF" w:rsidP="00071714"/>
    <w:p w:rsidR="006B17EF" w:rsidRDefault="006B17EF" w:rsidP="00B87227">
      <w:r>
        <w:lastRenderedPageBreak/>
        <w:t xml:space="preserve">För bemanningsbranschen för sig </w:t>
      </w:r>
      <w:r w:rsidR="00807E0E">
        <w:t xml:space="preserve">fortsatte </w:t>
      </w:r>
      <w:r>
        <w:t xml:space="preserve">omsättningen </w:t>
      </w:r>
      <w:r w:rsidR="00807E0E">
        <w:t xml:space="preserve">att öka </w:t>
      </w:r>
      <w:r>
        <w:t>under första kvartalet, med 9 procent jämfört med första kvartalet förra året.</w:t>
      </w:r>
      <w:r>
        <w:rPr>
          <w:rStyle w:val="Fotnotsreferens"/>
        </w:rPr>
        <w:footnoteReference w:id="10"/>
      </w:r>
      <w:r>
        <w:t xml:space="preserve"> </w:t>
      </w:r>
      <w:r w:rsidR="00807E0E">
        <w:t xml:space="preserve">Motsvarande ökning under fjärde kvartalet i fjol uppgick till 5 procent. </w:t>
      </w:r>
      <w:r>
        <w:t xml:space="preserve">Starkast </w:t>
      </w:r>
      <w:r w:rsidR="00577291">
        <w:t>försäljnings</w:t>
      </w:r>
      <w:r>
        <w:t xml:space="preserve">ökning </w:t>
      </w:r>
      <w:r w:rsidR="00807E0E">
        <w:t xml:space="preserve">under första kvartalet i år </w:t>
      </w:r>
      <w:r>
        <w:t xml:space="preserve">visade uthyrning av personal till tillverkning och industri, </w:t>
      </w:r>
      <w:r w:rsidR="00577291">
        <w:t xml:space="preserve"> </w:t>
      </w:r>
      <w:r>
        <w:t xml:space="preserve">med 33 procent. </w:t>
      </w:r>
      <w:r w:rsidR="00B87227">
        <w:t xml:space="preserve">De till omsättningen största yrkesområdena inom bemanningsbranschen </w:t>
      </w:r>
      <w:r w:rsidR="00807E0E">
        <w:t>var</w:t>
      </w:r>
      <w:r w:rsidR="009B7489">
        <w:t xml:space="preserve"> också</w:t>
      </w:r>
      <w:r w:rsidR="00B87227">
        <w:t xml:space="preserve"> industri och tillverkning</w:t>
      </w:r>
      <w:r w:rsidR="009B7489">
        <w:t>,</w:t>
      </w:r>
      <w:r w:rsidR="00B87227">
        <w:t xml:space="preserve"> med 25 procent av omsättningen inom branschen</w:t>
      </w:r>
      <w:r w:rsidR="00807E0E">
        <w:t xml:space="preserve"> under första kvartalet</w:t>
      </w:r>
      <w:r w:rsidR="00B87227">
        <w:t>.</w:t>
      </w:r>
      <w:r>
        <w:t xml:space="preserve"> </w:t>
      </w:r>
    </w:p>
    <w:p w:rsidR="00807E0E" w:rsidRDefault="00807E0E" w:rsidP="006D6D1A">
      <w:pPr>
        <w:rPr>
          <w:rFonts w:ascii="Arial" w:hAnsi="Arial" w:cs="Arial"/>
          <w:b/>
          <w:sz w:val="20"/>
          <w:szCs w:val="20"/>
        </w:rPr>
      </w:pPr>
    </w:p>
    <w:p w:rsidR="00807E0E" w:rsidRDefault="00807E0E" w:rsidP="006D6D1A">
      <w:pPr>
        <w:rPr>
          <w:rFonts w:ascii="Arial" w:hAnsi="Arial" w:cs="Arial"/>
          <w:b/>
          <w:sz w:val="20"/>
          <w:szCs w:val="20"/>
        </w:rPr>
      </w:pPr>
    </w:p>
    <w:p w:rsidR="006D6D1A" w:rsidRDefault="006D6D1A" w:rsidP="006D6D1A">
      <w:pPr>
        <w:rPr>
          <w:rFonts w:ascii="Arial" w:hAnsi="Arial" w:cs="Arial"/>
          <w:b/>
          <w:sz w:val="20"/>
          <w:szCs w:val="20"/>
        </w:rPr>
      </w:pPr>
      <w:r>
        <w:rPr>
          <w:rFonts w:ascii="Arial" w:hAnsi="Arial" w:cs="Arial"/>
          <w:b/>
          <w:sz w:val="20"/>
          <w:szCs w:val="20"/>
        </w:rPr>
        <w:t>Diagram 3: Produktionstillväxt för olika företagstjänster, fasta priser, kalenderkorrigerat, trend</w:t>
      </w:r>
      <w:r>
        <w:rPr>
          <w:rStyle w:val="Fotnotsreferens"/>
        </w:rPr>
        <w:footnoteReference w:id="11"/>
      </w:r>
    </w:p>
    <w:p w:rsidR="006D6D1A" w:rsidRDefault="006D6D1A" w:rsidP="00816B48">
      <w:pPr>
        <w:rPr>
          <w:rFonts w:ascii="Arial" w:hAnsi="Arial" w:cs="Arial"/>
          <w:b/>
          <w:sz w:val="20"/>
          <w:szCs w:val="20"/>
        </w:rPr>
      </w:pPr>
    </w:p>
    <w:p w:rsidR="006D6D1A" w:rsidRDefault="002A44B8" w:rsidP="00816B48">
      <w:pPr>
        <w:rPr>
          <w:rFonts w:ascii="Arial" w:hAnsi="Arial" w:cs="Arial"/>
          <w:b/>
          <w:sz w:val="20"/>
          <w:szCs w:val="20"/>
        </w:rPr>
      </w:pPr>
      <w:r>
        <w:object w:dxaOrig="11985" w:dyaOrig="8986">
          <v:shape id="_x0000_i1027" type="#_x0000_t75" style="width:424.85pt;height:318.55pt" o:ole="">
            <v:imagedata r:id="rId19" o:title=""/>
          </v:shape>
          <o:OLEObject Type="Embed" ProgID="Mbnd.mbnd" ShapeID="_x0000_i1027" DrawAspect="Content" ObjectID="_1464417902" r:id="rId20"/>
        </w:object>
      </w:r>
    </w:p>
    <w:p w:rsidR="006D6D1A" w:rsidRDefault="006D6D1A" w:rsidP="00816B48">
      <w:pPr>
        <w:rPr>
          <w:rFonts w:ascii="Arial" w:hAnsi="Arial" w:cs="Arial"/>
          <w:b/>
          <w:sz w:val="20"/>
          <w:szCs w:val="20"/>
        </w:rPr>
      </w:pPr>
    </w:p>
    <w:p w:rsidR="006D6D1A" w:rsidRDefault="006D6D1A" w:rsidP="00816B48">
      <w:pPr>
        <w:rPr>
          <w:rFonts w:ascii="Arial" w:hAnsi="Arial" w:cs="Arial"/>
          <w:b/>
          <w:sz w:val="20"/>
          <w:szCs w:val="20"/>
        </w:rPr>
      </w:pPr>
    </w:p>
    <w:p w:rsidR="006D6D1A" w:rsidRDefault="006D6D1A" w:rsidP="006D6D1A"/>
    <w:p w:rsidR="00E47612" w:rsidRDefault="00E47612" w:rsidP="006D6D1A"/>
    <w:p w:rsidR="006D6D1A" w:rsidRDefault="006D6D1A" w:rsidP="006D6D1A">
      <w:r>
        <w:t>Produktionstillväxten inom ”övriga företagstjänster”, där bland andra</w:t>
      </w:r>
      <w:r w:rsidRPr="00216D34">
        <w:t xml:space="preserve"> </w:t>
      </w:r>
      <w:r>
        <w:t xml:space="preserve">tjänsteföretag inom juridik, ekonomi, vetenskap, teknik ingår, visade under förra året en </w:t>
      </w:r>
      <w:r w:rsidR="007C73DC">
        <w:t>fortsatt avmattning,</w:t>
      </w:r>
      <w:r>
        <w:t xml:space="preserve"> se diagram </w:t>
      </w:r>
      <w:r w:rsidR="007C73DC">
        <w:t>3</w:t>
      </w:r>
      <w:r>
        <w:t xml:space="preserve">. </w:t>
      </w:r>
      <w:r w:rsidR="001B5510">
        <w:t>Först i början av 2014 märks en förbättring. Under januari-</w:t>
      </w:r>
      <w:r w:rsidR="001B5510">
        <w:lastRenderedPageBreak/>
        <w:t xml:space="preserve">april ökade produktionen inom dessa övriga företagstjänster med </w:t>
      </w:r>
      <w:r w:rsidR="00E47612">
        <w:t>nära 3</w:t>
      </w:r>
      <w:r w:rsidR="001B5510">
        <w:t xml:space="preserve"> procent jämfört med </w:t>
      </w:r>
      <w:r w:rsidR="00E47612">
        <w:t>samma period förra året.</w:t>
      </w:r>
    </w:p>
    <w:p w:rsidR="006D6D1A" w:rsidRDefault="006D6D1A" w:rsidP="006D6D1A"/>
    <w:p w:rsidR="006D6D1A" w:rsidRDefault="006D6D1A">
      <w:pPr>
        <w:rPr>
          <w:rFonts w:ascii="Arial" w:hAnsi="Arial" w:cs="Arial"/>
          <w:b/>
          <w:sz w:val="20"/>
          <w:szCs w:val="20"/>
        </w:rPr>
      </w:pPr>
    </w:p>
    <w:p w:rsidR="00E47612" w:rsidRDefault="00816B48" w:rsidP="00816B48">
      <w:pPr>
        <w:rPr>
          <w:rFonts w:ascii="Arial" w:hAnsi="Arial" w:cs="Arial"/>
          <w:b/>
          <w:sz w:val="20"/>
          <w:szCs w:val="20"/>
        </w:rPr>
      </w:pPr>
      <w:r w:rsidRPr="00AD5A13">
        <w:rPr>
          <w:rFonts w:ascii="Arial" w:hAnsi="Arial" w:cs="Arial"/>
          <w:b/>
          <w:sz w:val="20"/>
          <w:szCs w:val="20"/>
        </w:rPr>
        <w:t xml:space="preserve">Tabell 1: </w:t>
      </w:r>
      <w:r w:rsidRPr="00492B8F">
        <w:rPr>
          <w:rFonts w:ascii="Arial" w:hAnsi="Arial" w:cs="Arial"/>
          <w:b/>
          <w:sz w:val="20"/>
          <w:szCs w:val="20"/>
        </w:rPr>
        <w:t>Produktionstillväxt</w:t>
      </w:r>
      <w:r>
        <w:rPr>
          <w:rFonts w:ascii="Arial" w:hAnsi="Arial" w:cs="Arial"/>
          <w:b/>
          <w:sz w:val="20"/>
          <w:szCs w:val="20"/>
        </w:rPr>
        <w:t xml:space="preserve"> enligt tjänsteproduktionsindex</w:t>
      </w:r>
      <w:r w:rsidRPr="00492B8F">
        <w:rPr>
          <w:rFonts w:ascii="Arial" w:hAnsi="Arial" w:cs="Arial"/>
          <w:b/>
          <w:sz w:val="20"/>
          <w:szCs w:val="20"/>
        </w:rPr>
        <w:t>, fasta priser kalenderkorrigerat, procentuell förändring</w:t>
      </w:r>
    </w:p>
    <w:p w:rsidR="00816B48" w:rsidRDefault="00816B48" w:rsidP="00816B48">
      <w:pPr>
        <w:rPr>
          <w:rFonts w:ascii="Arial" w:hAnsi="Arial" w:cs="Arial"/>
          <w:b/>
          <w:sz w:val="20"/>
          <w:szCs w:val="20"/>
        </w:rPr>
      </w:pPr>
    </w:p>
    <w:p w:rsidR="002A7D1C" w:rsidRPr="00F030DD" w:rsidRDefault="002A7D1C" w:rsidP="00816B48">
      <w:pPr>
        <w:rPr>
          <w:rFonts w:ascii="Arial" w:hAnsi="Arial" w:cs="Arial"/>
          <w:b/>
          <w:sz w:val="20"/>
          <w:szCs w:val="20"/>
        </w:rPr>
      </w:pPr>
    </w:p>
    <w:p w:rsidR="00816B48" w:rsidRPr="00B34EAE" w:rsidRDefault="00E47612" w:rsidP="00816B48">
      <w:r w:rsidRPr="00E47612">
        <w:t xml:space="preserve"> </w:t>
      </w:r>
      <w:r w:rsidRPr="00E47612">
        <w:rPr>
          <w:noProof/>
        </w:rPr>
        <w:drawing>
          <wp:inline distT="0" distB="0" distL="0" distR="0" wp14:anchorId="4CC42FBB" wp14:editId="1D6805CF">
            <wp:extent cx="4819650" cy="36290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3629025"/>
                    </a:xfrm>
                    <a:prstGeom prst="rect">
                      <a:avLst/>
                    </a:prstGeom>
                    <a:noFill/>
                    <a:ln>
                      <a:noFill/>
                    </a:ln>
                  </pic:spPr>
                </pic:pic>
              </a:graphicData>
            </a:graphic>
          </wp:inline>
        </w:drawing>
      </w:r>
    </w:p>
    <w:p w:rsidR="00816B48" w:rsidRDefault="00816B48" w:rsidP="00816B48">
      <w:pPr>
        <w:rPr>
          <w:rFonts w:ascii="Arial" w:hAnsi="Arial" w:cs="Arial"/>
          <w:b/>
          <w:sz w:val="20"/>
          <w:szCs w:val="20"/>
        </w:rPr>
      </w:pPr>
    </w:p>
    <w:p w:rsidR="001B5510" w:rsidRDefault="001B5510" w:rsidP="001B5510"/>
    <w:p w:rsidR="001B5510" w:rsidRDefault="001B5510" w:rsidP="001B5510"/>
    <w:p w:rsidR="001B5510" w:rsidRDefault="001B5510" w:rsidP="001B5510">
      <w:r>
        <w:t xml:space="preserve">En del av sektorn företagstjänster som stått emot konjunkturnedgången relativt väl är </w:t>
      </w:r>
      <w:r w:rsidRPr="0056115A">
        <w:t>teknikkonsulter och arkitekter</w:t>
      </w:r>
      <w:r>
        <w:t xml:space="preserve">. En början till återhämtning inleddes under andra halvåret 2013, men indikatorer pekar på att återhämtningen hittills gått långsamt. Under första kvartalet i år ansåg så många som hälften av företagen i branschen att volymen av inneliggande uppdrag var för liten, vilket var ungefär samma andel som i oktober förra året, då den uppgick till 52 procent. Konjunkturen för branschen väntas ändå fortsätta att förbättras framöver. Nu räknar </w:t>
      </w:r>
      <w:r w:rsidR="000A5EA9">
        <w:t xml:space="preserve">en </w:t>
      </w:r>
      <w:r>
        <w:t>ungefär lika stor andel av företagen som i början av året</w:t>
      </w:r>
      <w:r w:rsidR="00A53796">
        <w:t>, dvs. 44 procent,</w:t>
      </w:r>
      <w:r>
        <w:t xml:space="preserve"> med ökad efterfrågan under det närmaste kvartalet, dvs. </w:t>
      </w:r>
      <w:r w:rsidR="00A53796">
        <w:t>nu avseende andra kvartalet</w:t>
      </w:r>
      <w:r w:rsidR="00577291">
        <w:t xml:space="preserve"> i år</w:t>
      </w:r>
      <w:r w:rsidR="00E34FA6">
        <w:t>.</w:t>
      </w:r>
      <w:r>
        <w:t xml:space="preserve"> </w:t>
      </w:r>
    </w:p>
    <w:p w:rsidR="00E47612" w:rsidRDefault="00E47612" w:rsidP="00223003"/>
    <w:p w:rsidR="00223003" w:rsidRDefault="001B5510" w:rsidP="00223003">
      <w:r>
        <w:t xml:space="preserve">Företagen </w:t>
      </w:r>
      <w:r w:rsidR="00577291">
        <w:t xml:space="preserve">inom teknikkonsulter och arkitekter </w:t>
      </w:r>
      <w:r>
        <w:t>väntar sig ökande orderingång f</w:t>
      </w:r>
      <w:r w:rsidR="00223003">
        <w:t>rån</w:t>
      </w:r>
      <w:r>
        <w:t xml:space="preserve"> nästan samtliga delsektorer och kundsegment</w:t>
      </w:r>
      <w:r w:rsidR="00223003">
        <w:t xml:space="preserve"> enligt</w:t>
      </w:r>
      <w:r w:rsidRPr="001B5510">
        <w:t xml:space="preserve"> </w:t>
      </w:r>
      <w:r w:rsidRPr="00AB0477">
        <w:t>Svenska Teknik &amp; Designföretagen</w:t>
      </w:r>
      <w:r w:rsidR="00223003">
        <w:t>s egen enkätundersökning bland företagen i branschen</w:t>
      </w:r>
      <w:r w:rsidR="008928FE">
        <w:t xml:space="preserve"> i början av </w:t>
      </w:r>
      <w:r w:rsidR="008928FE">
        <w:lastRenderedPageBreak/>
        <w:t>året</w:t>
      </w:r>
      <w:r>
        <w:rPr>
          <w:rStyle w:val="Fotnotsreferens"/>
        </w:rPr>
        <w:footnoteReference w:id="12"/>
      </w:r>
      <w:r>
        <w:t xml:space="preserve">. </w:t>
      </w:r>
      <w:r w:rsidR="00223003">
        <w:t>Företagen utgår</w:t>
      </w:r>
      <w:r w:rsidR="00F1378F">
        <w:t xml:space="preserve"> emellertid</w:t>
      </w:r>
      <w:r w:rsidR="00223003">
        <w:t xml:space="preserve"> från en förbättring från låga nivåer och väntar en långsam återhämtning. De stora utmaningarna ligger i den svaga prisutvecklingen samt kompetensbristen, (se även avsnitt</w:t>
      </w:r>
      <w:r w:rsidR="00F1378F">
        <w:t>en</w:t>
      </w:r>
      <w:r w:rsidR="00223003">
        <w:t xml:space="preserve"> om arbetsmarknaden samt prisutvecklingen</w:t>
      </w:r>
      <w:r w:rsidR="00577291">
        <w:t xml:space="preserve"> i denna rapport</w:t>
      </w:r>
      <w:r w:rsidR="00223003">
        <w:t>).</w:t>
      </w:r>
    </w:p>
    <w:p w:rsidR="001B5510" w:rsidRDefault="001B5510" w:rsidP="001B5510"/>
    <w:p w:rsidR="001B5510" w:rsidRDefault="001B5510" w:rsidP="001B5510">
      <w:r>
        <w:t xml:space="preserve">Förbättringen av efterfrågan </w:t>
      </w:r>
      <w:r w:rsidR="00223003">
        <w:t xml:space="preserve">för teknikkonsulter och arkitekter </w:t>
      </w:r>
      <w:r>
        <w:t>hör samman med att byggsektorn fått fart och att bygginvesteringarna väntas öka under 2014. Det är framförallt bostadsinvesteringarna som ökar, en utveckling som inleddes under 2013. Infrastrukturinvesteringarna minskade under 2013, men ökar igen från och med 2014. Detta innebär ökande orderingång för teknikkonsulterna inom bygg och anläggning i år.</w:t>
      </w:r>
    </w:p>
    <w:p w:rsidR="008928FE" w:rsidRDefault="008928FE" w:rsidP="001B5510"/>
    <w:p w:rsidR="00591759" w:rsidRDefault="00591759" w:rsidP="0008631F">
      <w:pPr>
        <w:pStyle w:val="Rubrik2"/>
      </w:pPr>
      <w:bookmarkStart w:id="16" w:name="_Toc390339796"/>
      <w:r>
        <w:t>Investeringarna ökar inom företagstjänster</w:t>
      </w:r>
      <w:bookmarkEnd w:id="16"/>
    </w:p>
    <w:p w:rsidR="00591759" w:rsidRPr="0008631F" w:rsidRDefault="00591759" w:rsidP="0008631F">
      <w:pPr>
        <w:pStyle w:val="ALMBrdtext"/>
      </w:pPr>
    </w:p>
    <w:p w:rsidR="002B5287" w:rsidRDefault="002B5287" w:rsidP="001B5510">
      <w:r>
        <w:t>Konjunkturförbättringen för företagstjänster överlag kan sannolikt till viss del förklaras av ökade investeringar inom företagstjänster. Den senaste investeringsenkäten från SCB från maj i år</w:t>
      </w:r>
      <w:r w:rsidR="0071520C">
        <w:rPr>
          <w:rStyle w:val="Fotnotsreferens"/>
        </w:rPr>
        <w:footnoteReference w:id="13"/>
      </w:r>
      <w:r>
        <w:t xml:space="preserve"> indikerar ett uppsving för investeringar</w:t>
      </w:r>
      <w:r w:rsidR="000F3177">
        <w:t>na inom denna typ av tjänster</w:t>
      </w:r>
      <w:r>
        <w:t xml:space="preserve">. Däremot pekar enkäten på ännu svagare investeringar inom industrin än vad motsvarande enkät i februari visade. </w:t>
      </w:r>
      <w:r w:rsidR="009155D4">
        <w:t>Då pekade enkäten på oförändrade investeringar inom industrin under 2014, men n</w:t>
      </w:r>
      <w:r>
        <w:t xml:space="preserve">u pekar </w:t>
      </w:r>
      <w:r w:rsidR="009155D4">
        <w:t xml:space="preserve">alltså </w:t>
      </w:r>
      <w:r>
        <w:t>enkäten mot en minskning med hela 9 procent i investeringsvolym för industrin totalt</w:t>
      </w:r>
      <w:r w:rsidR="000F3177">
        <w:t xml:space="preserve"> för i år</w:t>
      </w:r>
      <w:r>
        <w:t>. En stor del förklaras av en nedgång inom gruvindustrin, men flertalet övriga industribranscher planerar också för minskade investeringar.</w:t>
      </w:r>
      <w:r w:rsidR="009155D4">
        <w:t xml:space="preserve"> Enbart för tillverkningsindustrin planeras en minskning </w:t>
      </w:r>
      <w:r w:rsidR="000F3177">
        <w:t xml:space="preserve">i investeringsvolymen </w:t>
      </w:r>
      <w:r w:rsidR="009155D4">
        <w:t>med 6 procent.</w:t>
      </w:r>
      <w:r>
        <w:t xml:space="preserve"> </w:t>
      </w:r>
    </w:p>
    <w:p w:rsidR="002B5287" w:rsidRDefault="002B5287" w:rsidP="001B5510"/>
    <w:p w:rsidR="000F3177" w:rsidRDefault="002B5287" w:rsidP="009155D4">
      <w:r>
        <w:t>SCB:s investeringsenkät för industrin avser dess planer att investera i maskiner och byggnader</w:t>
      </w:r>
      <w:r w:rsidR="009155D4">
        <w:t xml:space="preserve">, och tar alltså inte med </w:t>
      </w:r>
      <w:r w:rsidR="009155D4" w:rsidRPr="0008631F">
        <w:rPr>
          <w:i/>
        </w:rPr>
        <w:t>immateriella investeringar</w:t>
      </w:r>
      <w:r w:rsidR="009155D4">
        <w:t>, såsom forskning och utveckling, tjänsteinnovationer, design, marknadsföring med mera.</w:t>
      </w:r>
      <w:r w:rsidR="009155D4">
        <w:rPr>
          <w:rStyle w:val="Fotnotsreferens"/>
        </w:rPr>
        <w:footnoteReference w:id="14"/>
      </w:r>
      <w:r w:rsidR="009155D4">
        <w:t xml:space="preserve">  I SCB:s investeringsenkät ingår inte heller investeringar i bland annat programvaror. </w:t>
      </w:r>
    </w:p>
    <w:p w:rsidR="000F3177" w:rsidRDefault="000F3177" w:rsidP="009155D4"/>
    <w:p w:rsidR="009155D4" w:rsidRDefault="009155D4" w:rsidP="009155D4">
      <w:r>
        <w:t xml:space="preserve">Den ökade efterfrågan för programvaruproducenter och datakonsulter i början av </w:t>
      </w:r>
      <w:r w:rsidR="000F3177">
        <w:t xml:space="preserve">2014 </w:t>
      </w:r>
      <w:r>
        <w:t xml:space="preserve">talar för att investeringar </w:t>
      </w:r>
      <w:r w:rsidR="003D586A">
        <w:t xml:space="preserve">i datakonsulttjänster </w:t>
      </w:r>
      <w:r>
        <w:t>tagit bättre fart. Frågan är om industrin trots de</w:t>
      </w:r>
      <w:r w:rsidR="003D586A">
        <w:t>ss svaga återhämtning</w:t>
      </w:r>
      <w:r>
        <w:t xml:space="preserve"> </w:t>
      </w:r>
      <w:r w:rsidR="003D586A">
        <w:t xml:space="preserve">ändå ökar sina </w:t>
      </w:r>
      <w:r>
        <w:t>invester</w:t>
      </w:r>
      <w:r w:rsidR="003D586A">
        <w:t>ingar</w:t>
      </w:r>
      <w:r>
        <w:t xml:space="preserve"> i immateriell</w:t>
      </w:r>
      <w:r w:rsidR="00D02BB5">
        <w:t>t kapital</w:t>
      </w:r>
      <w:r>
        <w:t xml:space="preserve">, bland </w:t>
      </w:r>
      <w:r>
        <w:lastRenderedPageBreak/>
        <w:t xml:space="preserve">annat programvaror och IT-system, eller om efterfrågan </w:t>
      </w:r>
      <w:r w:rsidR="003D586A">
        <w:t xml:space="preserve">på dessa tjänster </w:t>
      </w:r>
      <w:r>
        <w:t xml:space="preserve">kommer från andra sektorer, som exempelvis </w:t>
      </w:r>
      <w:r w:rsidR="002D57CE">
        <w:t xml:space="preserve">från </w:t>
      </w:r>
      <w:r>
        <w:t>bank- och försäkringsbranschen. Enligt Investeringsenkäten plane denna bransch öka</w:t>
      </w:r>
      <w:r w:rsidR="002D57CE">
        <w:t xml:space="preserve"> sina</w:t>
      </w:r>
      <w:r>
        <w:t xml:space="preserve"> investeringar i år. </w:t>
      </w:r>
    </w:p>
    <w:p w:rsidR="008928FE" w:rsidRDefault="002B5287" w:rsidP="001B5510">
      <w:r>
        <w:t xml:space="preserve">  </w:t>
      </w:r>
    </w:p>
    <w:p w:rsidR="00591759" w:rsidRDefault="00591759" w:rsidP="00591759">
      <w:r>
        <w:t xml:space="preserve">Investeringarna inom branschen datakonsulter och dataprogrammering vände uppåt under andra halvåret förra året, se diagram 4, en utveckling som kan kopplas till ökad efterfrågan </w:t>
      </w:r>
      <w:r w:rsidR="002D57CE">
        <w:t xml:space="preserve">för branschen </w:t>
      </w:r>
      <w:r>
        <w:t xml:space="preserve">och även förväntan om starkare konjunktur bland företagen i branschen. </w:t>
      </w:r>
      <w:r w:rsidR="00063192">
        <w:t>Branschens investeringar fortsatte öka takten under första kvartalet i år, då de steg med lite över 16 procent jämfört med motsvarande kvartal förra året, se diagram 4.</w:t>
      </w:r>
      <w:r>
        <w:t xml:space="preserve"> </w:t>
      </w:r>
      <w:r w:rsidR="00063192">
        <w:t xml:space="preserve">Kraftigast uppsving första kvartalet bland företagstjänster visar branschen </w:t>
      </w:r>
      <w:r w:rsidR="00063192" w:rsidRPr="00063192">
        <w:t>Uthyrning</w:t>
      </w:r>
      <w:r w:rsidR="00063192">
        <w:t>, arbetsförmedling och resetjänster, med en ökning på cirka 44 procent.</w:t>
      </w:r>
    </w:p>
    <w:p w:rsidR="00591759" w:rsidRDefault="00591759" w:rsidP="00591759"/>
    <w:p w:rsidR="00591759" w:rsidRDefault="00591759" w:rsidP="00591759">
      <w:pPr>
        <w:rPr>
          <w:rFonts w:ascii="Arial" w:hAnsi="Arial" w:cs="Arial"/>
          <w:b/>
          <w:sz w:val="20"/>
        </w:rPr>
      </w:pPr>
    </w:p>
    <w:p w:rsidR="00591759" w:rsidRDefault="00591759" w:rsidP="00591759">
      <w:r>
        <w:rPr>
          <w:rFonts w:ascii="Arial" w:hAnsi="Arial" w:cs="Arial"/>
          <w:b/>
          <w:sz w:val="20"/>
        </w:rPr>
        <w:t>Diagram</w:t>
      </w:r>
      <w:r w:rsidRPr="00206FBC">
        <w:rPr>
          <w:rFonts w:ascii="Arial" w:hAnsi="Arial" w:cs="Arial"/>
          <w:b/>
          <w:sz w:val="20"/>
        </w:rPr>
        <w:t xml:space="preserve"> </w:t>
      </w:r>
      <w:r>
        <w:rPr>
          <w:rFonts w:ascii="Arial" w:hAnsi="Arial" w:cs="Arial"/>
          <w:b/>
          <w:sz w:val="20"/>
        </w:rPr>
        <w:t>4: Fasta bruttoinvesteringar, fasta priser, årstakt</w:t>
      </w:r>
    </w:p>
    <w:p w:rsidR="00591759" w:rsidRDefault="00591759" w:rsidP="00591759">
      <w:r w:rsidRPr="000B44EB">
        <w:t xml:space="preserve"> </w:t>
      </w:r>
      <w:r w:rsidR="00EB0B78">
        <w:object w:dxaOrig="11985" w:dyaOrig="8986">
          <v:shape id="_x0000_i1028" type="#_x0000_t75" style="width:424.85pt;height:318.55pt" o:ole="">
            <v:imagedata r:id="rId22" o:title=""/>
          </v:shape>
          <o:OLEObject Type="Embed" ProgID="Mbnd.mbnd" ShapeID="_x0000_i1028" DrawAspect="Content" ObjectID="_1464417903" r:id="rId23"/>
        </w:object>
      </w:r>
    </w:p>
    <w:p w:rsidR="00591759" w:rsidRDefault="00591759" w:rsidP="00591759"/>
    <w:p w:rsidR="00591759" w:rsidRDefault="00591759" w:rsidP="00591759"/>
    <w:p w:rsidR="00591759" w:rsidRDefault="00591759" w:rsidP="00591759"/>
    <w:p w:rsidR="002D57CE" w:rsidRDefault="00591759" w:rsidP="004467EF">
      <w:r>
        <w:t>Det är osäkert om industrins investeringar i maskiner och byggnader kommer ta fart som under tidigare konjunkturuppgångar</w:t>
      </w:r>
      <w:r w:rsidR="00FA7C46">
        <w:t>. Detta eftersom</w:t>
      </w:r>
      <w:r>
        <w:t xml:space="preserve"> industrins produktion i Sverige fått alltmer tyngdpunkt på tjänsteproduktion, medan importen av insatsvaror</w:t>
      </w:r>
      <w:r w:rsidR="003F5F48">
        <w:t xml:space="preserve"> och insatstjänster</w:t>
      </w:r>
      <w:r>
        <w:t xml:space="preserve"> ökat över tiden. </w:t>
      </w:r>
    </w:p>
    <w:p w:rsidR="002D57CE" w:rsidRDefault="002D57CE" w:rsidP="004467EF"/>
    <w:p w:rsidR="00816B48" w:rsidRDefault="00591759" w:rsidP="004467EF">
      <w:r>
        <w:lastRenderedPageBreak/>
        <w:t xml:space="preserve">Industrins investeringar i maskiner och inventarier har minskat gradvis från 1990-talet. </w:t>
      </w:r>
      <w:r w:rsidR="00DB55F5">
        <w:t>Mätt s</w:t>
      </w:r>
      <w:r>
        <w:t xml:space="preserve">om andel av förädlingsvärdet har de minskat, från drygt 13 procent i genomsnitt per år under 1990-talet till knappt 10 procent 2011, enligt nationalräkenskaperna. Även industrins investeringar i byggnader och anläggningar har minskat som andel av industrins förädlingsvärde, från drygt 2 procent på 1990-talet till </w:t>
      </w:r>
      <w:r w:rsidR="00A4266A">
        <w:t xml:space="preserve">cirka </w:t>
      </w:r>
      <w:r>
        <w:t>1 procent. Däremot har industrins immateriella investeringar ökat från mitten av 1990-talet, då det rör sig om investeringar i exempelvis forskning och utveckling, IT-lösningar, design, marknadsföring, företagsledning och arbetsorganisation.</w:t>
      </w:r>
      <w:r>
        <w:rPr>
          <w:rStyle w:val="Fotnotsreferens"/>
        </w:rPr>
        <w:footnoteReference w:id="15"/>
      </w:r>
      <w:r>
        <w:t xml:space="preserve"> </w:t>
      </w:r>
    </w:p>
    <w:p w:rsidR="002D57CE" w:rsidRDefault="002D57CE" w:rsidP="004467EF">
      <w:pPr>
        <w:rPr>
          <w:sz w:val="20"/>
          <w:szCs w:val="20"/>
        </w:rPr>
      </w:pPr>
    </w:p>
    <w:p w:rsidR="00450009" w:rsidRPr="007C73DC" w:rsidRDefault="006F6009" w:rsidP="00450009">
      <w:pPr>
        <w:pStyle w:val="Rubrik2"/>
        <w:rPr>
          <w:sz w:val="24"/>
          <w:szCs w:val="24"/>
        </w:rPr>
      </w:pPr>
      <w:bookmarkStart w:id="17" w:name="_Toc390339797"/>
      <w:r w:rsidRPr="007C73DC">
        <w:rPr>
          <w:sz w:val="24"/>
          <w:szCs w:val="24"/>
        </w:rPr>
        <w:t>Något svagare optimism</w:t>
      </w:r>
      <w:bookmarkEnd w:id="17"/>
    </w:p>
    <w:p w:rsidR="00450009" w:rsidRDefault="00450009" w:rsidP="00450009"/>
    <w:p w:rsidR="0093409D" w:rsidRDefault="002A60AF" w:rsidP="00450009">
      <w:r>
        <w:t>Under förra året</w:t>
      </w:r>
      <w:r w:rsidR="00816D1D">
        <w:t xml:space="preserve"> förbättra</w:t>
      </w:r>
      <w:r>
        <w:t xml:space="preserve">des efterfrågan för tjänsteföretagen, men inte lika starkt som </w:t>
      </w:r>
      <w:r w:rsidR="006F6009">
        <w:t xml:space="preserve">företagen </w:t>
      </w:r>
      <w:r>
        <w:t xml:space="preserve">förväntat, se diagram </w:t>
      </w:r>
      <w:r w:rsidR="000F3177">
        <w:t>5</w:t>
      </w:r>
      <w:r>
        <w:t xml:space="preserve">. </w:t>
      </w:r>
      <w:r w:rsidR="001B4345">
        <w:t>M</w:t>
      </w:r>
      <w:r w:rsidR="0093409D">
        <w:t xml:space="preserve">an </w:t>
      </w:r>
      <w:r w:rsidR="001B4345">
        <w:t xml:space="preserve">skulle kunna </w:t>
      </w:r>
      <w:r w:rsidR="0093409D">
        <w:t xml:space="preserve">tro att uppgången i efterfrågan under 2013 enligt detta sätt att mäta </w:t>
      </w:r>
      <w:r w:rsidR="00254B24">
        <w:t xml:space="preserve">skulle </w:t>
      </w:r>
      <w:r w:rsidR="001B4345">
        <w:t>motsvara</w:t>
      </w:r>
      <w:r w:rsidR="0093409D">
        <w:t xml:space="preserve"> en stark tillväxt i tjänstesektorn</w:t>
      </w:r>
      <w:r w:rsidR="0064471C">
        <w:t>.</w:t>
      </w:r>
      <w:r w:rsidR="001B4345">
        <w:t xml:space="preserve"> </w:t>
      </w:r>
      <w:r w:rsidR="0064471C">
        <w:t>M</w:t>
      </w:r>
      <w:r w:rsidR="001B4345">
        <w:t xml:space="preserve">en som vi visat utvecklades produktionen svagt under förra året. </w:t>
      </w:r>
      <w:r w:rsidR="0093409D">
        <w:t>Nettotalen visar andelen som svarat att efterfrågan ökat minus andelen som svarat att den minskat</w:t>
      </w:r>
      <w:r w:rsidR="001B4345">
        <w:t>, men inte i vilken omfattning</w:t>
      </w:r>
      <w:r w:rsidR="0093409D">
        <w:t xml:space="preserve">. Det är alltså viktigt att kunna tolka nettotalen och sätta dem i relation till den utveckling som visas i </w:t>
      </w:r>
      <w:r w:rsidR="001B4345">
        <w:t>kvantitativa</w:t>
      </w:r>
      <w:r w:rsidR="0093409D">
        <w:t xml:space="preserve"> utvecklingstal från annan statistik</w:t>
      </w:r>
      <w:r w:rsidR="006F6009">
        <w:t>, vilket Almega gör i sina rapporter om Tjänsteindikatorn</w:t>
      </w:r>
      <w:r w:rsidR="0093409D">
        <w:t xml:space="preserve">. </w:t>
      </w:r>
    </w:p>
    <w:p w:rsidR="002D57CE" w:rsidRDefault="002D57CE" w:rsidP="00450009"/>
    <w:p w:rsidR="002D57CE" w:rsidRPr="007D44B2" w:rsidRDefault="002D57CE" w:rsidP="002D57CE">
      <w:r>
        <w:t>Den senaste statistiken från KI-barometern visar nu att tjänsteföretagen blivit något mindre optimistiska om den närmaste utvecklingen av efterfrågan på deras tjänster</w:t>
      </w:r>
      <w:r w:rsidR="006C004C">
        <w:t>, se diagram 5</w:t>
      </w:r>
      <w:r>
        <w:t xml:space="preserve">. Nu räknar </w:t>
      </w:r>
      <w:r w:rsidR="006C004C">
        <w:t>en mindre andel</w:t>
      </w:r>
      <w:r w:rsidR="005A5150">
        <w:t xml:space="preserve"> </w:t>
      </w:r>
      <w:r>
        <w:t xml:space="preserve">av tjänsteföretagen med att efterfrågan på deras tjänster ska öka under de närmaste tre månaderna, alltså till och med </w:t>
      </w:r>
      <w:r w:rsidR="005A5150">
        <w:t xml:space="preserve">augusti </w:t>
      </w:r>
      <w:r>
        <w:t>i år.</w:t>
      </w:r>
      <w:r>
        <w:rPr>
          <w:rStyle w:val="Fotnotsreferens"/>
        </w:rPr>
        <w:footnoteReference w:id="16"/>
      </w:r>
      <w:r>
        <w:t xml:space="preserve"> </w:t>
      </w:r>
    </w:p>
    <w:p w:rsidR="002D57CE" w:rsidRDefault="002D57CE" w:rsidP="00450009"/>
    <w:p w:rsidR="002D57CE" w:rsidRDefault="002D57CE" w:rsidP="002D57CE">
      <w:pPr>
        <w:rPr>
          <w:rFonts w:ascii="Arial" w:hAnsi="Arial" w:cs="Arial"/>
          <w:b/>
          <w:sz w:val="20"/>
          <w:szCs w:val="20"/>
        </w:rPr>
      </w:pPr>
      <w:r>
        <w:t xml:space="preserve">En annan indikator på efterfrågan för tjänsteföretagen visar att sektorn ännu inte befinner sig i högkonjunktur, trots den fortsatta optimismen om efterfrågans utveckling. En så stor andel som 38 procent av tjänsteförertagen anser nämligen att det främst är otillräcklig efterfrågan som håller tillbaka verksamheten, se diagram 6. Under det senaste högkonjunkturåret, 2007, var denna andel nere på 11 procent. Samtidigt ansåg då över 30 procent av tjänsteföretagen att brist på personal var främsta hindret för verksamheten. Det kan jämföras med att endast 12 procent ansåg detsamma under första kvartalet i år. </w:t>
      </w:r>
    </w:p>
    <w:p w:rsidR="006F6009" w:rsidRDefault="006F6009" w:rsidP="00450009"/>
    <w:p w:rsidR="006F6009" w:rsidRDefault="006F6009" w:rsidP="00450009"/>
    <w:p w:rsidR="002D57CE" w:rsidRDefault="002D57CE" w:rsidP="00737108">
      <w:pPr>
        <w:rPr>
          <w:rFonts w:ascii="Arial" w:hAnsi="Arial" w:cs="Arial"/>
          <w:b/>
          <w:sz w:val="20"/>
          <w:szCs w:val="20"/>
        </w:rPr>
      </w:pPr>
    </w:p>
    <w:p w:rsidR="002D57CE" w:rsidRDefault="002D57CE" w:rsidP="00737108">
      <w:pPr>
        <w:rPr>
          <w:rFonts w:ascii="Arial" w:hAnsi="Arial" w:cs="Arial"/>
          <w:b/>
          <w:sz w:val="20"/>
          <w:szCs w:val="20"/>
        </w:rPr>
      </w:pPr>
    </w:p>
    <w:p w:rsidR="002D57CE" w:rsidRPr="00AB0477" w:rsidRDefault="00450009" w:rsidP="00737108">
      <w:pPr>
        <w:rPr>
          <w:rFonts w:ascii="Arial" w:hAnsi="Arial" w:cs="Arial"/>
          <w:b/>
          <w:sz w:val="20"/>
          <w:szCs w:val="20"/>
        </w:rPr>
      </w:pPr>
      <w:r>
        <w:rPr>
          <w:rFonts w:ascii="Arial" w:hAnsi="Arial" w:cs="Arial"/>
          <w:b/>
          <w:sz w:val="20"/>
          <w:szCs w:val="20"/>
        </w:rPr>
        <w:lastRenderedPageBreak/>
        <w:t xml:space="preserve">Diagram </w:t>
      </w:r>
      <w:r w:rsidR="006F67FC">
        <w:rPr>
          <w:rFonts w:ascii="Arial" w:hAnsi="Arial" w:cs="Arial"/>
          <w:b/>
          <w:sz w:val="20"/>
          <w:szCs w:val="20"/>
        </w:rPr>
        <w:t>5</w:t>
      </w:r>
      <w:r>
        <w:rPr>
          <w:rFonts w:ascii="Arial" w:hAnsi="Arial" w:cs="Arial"/>
          <w:b/>
          <w:sz w:val="20"/>
          <w:szCs w:val="20"/>
        </w:rPr>
        <w:t xml:space="preserve">: Privata tjänstenäringar, förväntningar och utfall för efterfrågan på företagens tjänster, </w:t>
      </w:r>
      <w:r w:rsidR="006B4A2B">
        <w:rPr>
          <w:rFonts w:ascii="Arial" w:hAnsi="Arial" w:cs="Arial"/>
          <w:b/>
          <w:sz w:val="20"/>
          <w:szCs w:val="20"/>
        </w:rPr>
        <w:t>nettotal</w:t>
      </w:r>
      <w:r w:rsidR="006C004C">
        <w:rPr>
          <w:rFonts w:ascii="Arial" w:hAnsi="Arial" w:cs="Arial"/>
          <w:b/>
          <w:sz w:val="20"/>
          <w:szCs w:val="20"/>
        </w:rPr>
        <w:t>, säsongrensat</w:t>
      </w:r>
      <w:r w:rsidR="006B4A2B">
        <w:rPr>
          <w:rStyle w:val="Fotnotsreferens"/>
          <w:rFonts w:ascii="Arial" w:hAnsi="Arial" w:cs="Arial"/>
          <w:b/>
          <w:sz w:val="20"/>
          <w:szCs w:val="20"/>
        </w:rPr>
        <w:footnoteReference w:id="17"/>
      </w:r>
    </w:p>
    <w:p w:rsidR="00C84947" w:rsidRDefault="000E659B" w:rsidP="00F030DD">
      <w:r w:rsidRPr="000E659B">
        <w:t xml:space="preserve"> </w:t>
      </w:r>
      <w:r w:rsidR="005A5150" w:rsidRPr="005A5150">
        <w:t xml:space="preserve"> </w:t>
      </w:r>
      <w:r w:rsidR="005A5150">
        <w:object w:dxaOrig="11985" w:dyaOrig="8986">
          <v:shape id="_x0000_i1029" type="#_x0000_t75" style="width:340.35pt;height:255.65pt" o:ole="">
            <v:imagedata r:id="rId24" o:title=""/>
          </v:shape>
          <o:OLEObject Type="Embed" ProgID="Mbnd.mbnd" ShapeID="_x0000_i1029" DrawAspect="Content" ObjectID="_1464417904" r:id="rId25"/>
        </w:object>
      </w:r>
    </w:p>
    <w:p w:rsidR="002D57CE" w:rsidRDefault="002D57CE" w:rsidP="00450009"/>
    <w:p w:rsidR="002D57CE" w:rsidRDefault="002D57CE" w:rsidP="00450009"/>
    <w:p w:rsidR="00AC40E7" w:rsidRDefault="00450009" w:rsidP="00450009">
      <w:r>
        <w:rPr>
          <w:rFonts w:ascii="Arial" w:hAnsi="Arial" w:cs="Arial"/>
          <w:b/>
          <w:sz w:val="20"/>
          <w:szCs w:val="20"/>
        </w:rPr>
        <w:t xml:space="preserve">Diagram </w:t>
      </w:r>
      <w:r w:rsidR="00E275E3">
        <w:rPr>
          <w:rFonts w:ascii="Arial" w:hAnsi="Arial" w:cs="Arial"/>
          <w:b/>
          <w:sz w:val="20"/>
          <w:szCs w:val="20"/>
        </w:rPr>
        <w:t>6</w:t>
      </w:r>
      <w:r>
        <w:rPr>
          <w:rFonts w:ascii="Arial" w:hAnsi="Arial" w:cs="Arial"/>
          <w:b/>
          <w:sz w:val="20"/>
          <w:szCs w:val="20"/>
        </w:rPr>
        <w:t>: Främsta hindret för företagets verksamhet, privata tjänstenäringar</w:t>
      </w:r>
      <w:r w:rsidR="00C058E1">
        <w:rPr>
          <w:rFonts w:ascii="Arial" w:hAnsi="Arial" w:cs="Arial"/>
          <w:b/>
          <w:sz w:val="20"/>
          <w:szCs w:val="20"/>
        </w:rPr>
        <w:t xml:space="preserve"> </w:t>
      </w:r>
    </w:p>
    <w:p w:rsidR="00AD532E" w:rsidRDefault="002D57CE" w:rsidP="00450009">
      <w:r>
        <w:object w:dxaOrig="11985" w:dyaOrig="8986">
          <v:shape id="_x0000_i1030" type="#_x0000_t75" style="width:336.2pt;height:252.05pt" o:ole="">
            <v:imagedata r:id="rId26" o:title=""/>
          </v:shape>
          <o:OLEObject Type="Embed" ProgID="Mbnd.mbnd" ShapeID="_x0000_i1030" DrawAspect="Content" ObjectID="_1464417905" r:id="rId27"/>
        </w:object>
      </w:r>
    </w:p>
    <w:p w:rsidR="00D94398" w:rsidRPr="00A97711" w:rsidRDefault="008E0220" w:rsidP="00D94398">
      <w:pPr>
        <w:pStyle w:val="Rubrik1"/>
      </w:pPr>
      <w:bookmarkStart w:id="18" w:name="_Toc390339798"/>
      <w:r>
        <w:lastRenderedPageBreak/>
        <w:t>S</w:t>
      </w:r>
      <w:r w:rsidR="00A76BC9">
        <w:t>ysselsättning</w:t>
      </w:r>
      <w:r>
        <w:t xml:space="preserve">stillväxten </w:t>
      </w:r>
      <w:r w:rsidR="00A53796">
        <w:t>bedöms</w:t>
      </w:r>
      <w:r>
        <w:t xml:space="preserve"> bromsa in</w:t>
      </w:r>
      <w:bookmarkEnd w:id="18"/>
    </w:p>
    <w:p w:rsidR="00D94398" w:rsidRDefault="00D94398" w:rsidP="00D94398">
      <w:pPr>
        <w:pStyle w:val="ALMBrdtext"/>
      </w:pPr>
    </w:p>
    <w:p w:rsidR="00B54FB1" w:rsidRDefault="00D94398" w:rsidP="00D94398">
      <w:r w:rsidRPr="00214CB1">
        <w:t>Almegas</w:t>
      </w:r>
      <w:r w:rsidRPr="00064036">
        <w:rPr>
          <w:i/>
        </w:rPr>
        <w:t xml:space="preserve"> arbetsmarknadsindikator</w:t>
      </w:r>
      <w:r>
        <w:t xml:space="preserve"> </w:t>
      </w:r>
      <w:r w:rsidR="00795388">
        <w:t xml:space="preserve">pekar </w:t>
      </w:r>
      <w:r w:rsidR="00FA7C46">
        <w:t xml:space="preserve">på </w:t>
      </w:r>
      <w:r w:rsidR="00E6408E">
        <w:t>att</w:t>
      </w:r>
      <w:r w:rsidR="000A1C15">
        <w:t xml:space="preserve"> sysselsättningen inom den privata tjänstesektorn</w:t>
      </w:r>
      <w:r w:rsidR="000A1C15" w:rsidRPr="000A1C15">
        <w:t xml:space="preserve"> </w:t>
      </w:r>
      <w:r w:rsidR="00E6408E">
        <w:t>kommer fortsätta att öka under andra kvartalet i år</w:t>
      </w:r>
      <w:r>
        <w:t>, se diagram</w:t>
      </w:r>
      <w:r w:rsidR="008E0220">
        <w:t xml:space="preserve"> </w:t>
      </w:r>
      <w:r w:rsidR="00C315E6">
        <w:t>7</w:t>
      </w:r>
      <w:r>
        <w:t xml:space="preserve">. </w:t>
      </w:r>
      <w:r w:rsidR="008E0220">
        <w:t xml:space="preserve">Men eftersom </w:t>
      </w:r>
      <w:r w:rsidR="000D2A24">
        <w:t xml:space="preserve">sysselsättningen </w:t>
      </w:r>
      <w:r w:rsidR="008E0220">
        <w:t xml:space="preserve">ökade betydligt mer än väntat under förra året, medan tillväxten i tjänstesektorn blev svagare än vad företagen förväntat, räknar Almega med att tillväxten för sysselsättningen kommer att </w:t>
      </w:r>
      <w:r w:rsidR="00D02BB5">
        <w:t>bli</w:t>
      </w:r>
      <w:r w:rsidR="00E6408E">
        <w:t xml:space="preserve"> något långsammare i år jämfört med förra året</w:t>
      </w:r>
      <w:r w:rsidR="008E0220">
        <w:t xml:space="preserve">. </w:t>
      </w:r>
    </w:p>
    <w:p w:rsidR="00B54FB1" w:rsidRDefault="00B54FB1" w:rsidP="00D94398"/>
    <w:p w:rsidR="00AF16A7" w:rsidRDefault="00B54FB1" w:rsidP="00D94398">
      <w:r>
        <w:t>Almegas</w:t>
      </w:r>
      <w:r w:rsidR="00F4498A">
        <w:t xml:space="preserve"> tolkning av den faktiska utvecklingen för sysselsättningen i den privata tjänstesektorn är att företagen i ett tidigt skede </w:t>
      </w:r>
      <w:r w:rsidR="008E0220">
        <w:t>byggde upp en</w:t>
      </w:r>
      <w:r w:rsidR="00AD571B">
        <w:t xml:space="preserve"> </w:t>
      </w:r>
      <w:r w:rsidR="008E0220">
        <w:t>buffert av personal inför den väntade konjunkturuppgången</w:t>
      </w:r>
      <w:r w:rsidR="004141E0">
        <w:t>.</w:t>
      </w:r>
      <w:r w:rsidR="008E0220">
        <w:t xml:space="preserve"> </w:t>
      </w:r>
      <w:r w:rsidR="004141E0">
        <w:t>M</w:t>
      </w:r>
      <w:r w:rsidR="008E0220">
        <w:t xml:space="preserve">en eftersom </w:t>
      </w:r>
      <w:r w:rsidR="004141E0">
        <w:t>uppgången gick</w:t>
      </w:r>
      <w:r w:rsidR="008E0220">
        <w:t xml:space="preserve"> långsammare än väntat </w:t>
      </w:r>
      <w:r>
        <w:t xml:space="preserve">under förra året </w:t>
      </w:r>
      <w:r w:rsidR="008E0220">
        <w:t xml:space="preserve">och produktiviteten </w:t>
      </w:r>
      <w:r w:rsidR="00F4498A">
        <w:t>därmed försämrades</w:t>
      </w:r>
      <w:r w:rsidR="008E0220">
        <w:t xml:space="preserve">, bedömer vi att företagen kommer dra ned </w:t>
      </w:r>
      <w:r w:rsidR="007050ED">
        <w:t xml:space="preserve">något </w:t>
      </w:r>
      <w:r w:rsidR="008E0220">
        <w:t xml:space="preserve">på anställningstakten </w:t>
      </w:r>
      <w:r w:rsidR="00F4498A">
        <w:t>i år</w:t>
      </w:r>
      <w:r w:rsidR="008E0220">
        <w:t xml:space="preserve">. </w:t>
      </w:r>
      <w:r w:rsidR="000D2A24">
        <w:t xml:space="preserve"> Antalet sysselsatta</w:t>
      </w:r>
      <w:r w:rsidR="007B3A12">
        <w:t xml:space="preserve"> personer</w:t>
      </w:r>
      <w:r w:rsidR="000D2A24">
        <w:t xml:space="preserve"> i den privata tjänstesektorn </w:t>
      </w:r>
      <w:r w:rsidR="00F4498A">
        <w:t xml:space="preserve">ökade med hela </w:t>
      </w:r>
      <w:r w:rsidR="007B3A12">
        <w:t xml:space="preserve">45 000 </w:t>
      </w:r>
      <w:r w:rsidR="00F4498A">
        <w:t>under förra året, enligt SCB</w:t>
      </w:r>
      <w:r w:rsidR="00AD571B">
        <w:t>:s nationalräkenskaper</w:t>
      </w:r>
      <w:r w:rsidR="00F4498A">
        <w:t xml:space="preserve">. </w:t>
      </w:r>
    </w:p>
    <w:p w:rsidR="00F4498A" w:rsidRDefault="00F4498A" w:rsidP="00D94398"/>
    <w:p w:rsidR="00D94398" w:rsidRDefault="00D94398" w:rsidP="00D94398"/>
    <w:p w:rsidR="00D94398" w:rsidRDefault="00D94398" w:rsidP="00D94398">
      <w:r w:rsidRPr="00C047DC">
        <w:rPr>
          <w:rFonts w:ascii="Arial" w:hAnsi="Arial" w:cs="Arial"/>
          <w:b/>
          <w:sz w:val="20"/>
        </w:rPr>
        <w:t xml:space="preserve">Diagram </w:t>
      </w:r>
      <w:r w:rsidR="00C315E6">
        <w:rPr>
          <w:rFonts w:ascii="Arial" w:hAnsi="Arial" w:cs="Arial"/>
          <w:b/>
          <w:sz w:val="20"/>
        </w:rPr>
        <w:t>7</w:t>
      </w:r>
      <w:r>
        <w:rPr>
          <w:rFonts w:ascii="Arial" w:hAnsi="Arial" w:cs="Arial"/>
          <w:b/>
          <w:sz w:val="20"/>
        </w:rPr>
        <w:t>:</w:t>
      </w:r>
      <w:r w:rsidRPr="00761984">
        <w:rPr>
          <w:rFonts w:ascii="Arial" w:hAnsi="Arial" w:cs="Arial"/>
          <w:b/>
          <w:sz w:val="20"/>
        </w:rPr>
        <w:t xml:space="preserve"> </w:t>
      </w:r>
      <w:r>
        <w:rPr>
          <w:rFonts w:ascii="Arial" w:hAnsi="Arial" w:cs="Arial"/>
          <w:b/>
          <w:sz w:val="20"/>
        </w:rPr>
        <w:t>Arbetsmarknads</w:t>
      </w:r>
      <w:r w:rsidRPr="00C047DC">
        <w:rPr>
          <w:rFonts w:ascii="Arial" w:hAnsi="Arial" w:cs="Arial"/>
          <w:b/>
          <w:sz w:val="20"/>
        </w:rPr>
        <w:t xml:space="preserve">indikatorn och den faktiska </w:t>
      </w:r>
      <w:r>
        <w:rPr>
          <w:rFonts w:ascii="Arial" w:hAnsi="Arial" w:cs="Arial"/>
          <w:b/>
          <w:sz w:val="20"/>
        </w:rPr>
        <w:t>sysselsättnings</w:t>
      </w:r>
      <w:r w:rsidRPr="00C047DC">
        <w:rPr>
          <w:rFonts w:ascii="Arial" w:hAnsi="Arial" w:cs="Arial"/>
          <w:b/>
          <w:sz w:val="20"/>
        </w:rPr>
        <w:t xml:space="preserve">tillväxten i </w:t>
      </w:r>
      <w:r>
        <w:rPr>
          <w:rFonts w:ascii="Arial" w:hAnsi="Arial" w:cs="Arial"/>
          <w:b/>
          <w:sz w:val="20"/>
        </w:rPr>
        <w:t xml:space="preserve">den privata </w:t>
      </w:r>
      <w:r w:rsidRPr="00C047DC">
        <w:rPr>
          <w:rFonts w:ascii="Arial" w:hAnsi="Arial" w:cs="Arial"/>
          <w:b/>
          <w:sz w:val="20"/>
        </w:rPr>
        <w:t>tjänstesektorn</w:t>
      </w:r>
      <w:r>
        <w:rPr>
          <w:rFonts w:ascii="Arial" w:hAnsi="Arial" w:cs="Arial"/>
          <w:b/>
          <w:sz w:val="20"/>
        </w:rPr>
        <w:t>, förändring jämfört med motsvarande kvartal föregående år</w:t>
      </w:r>
      <w:r w:rsidR="00AD571B">
        <w:rPr>
          <w:rFonts w:ascii="Arial" w:hAnsi="Arial" w:cs="Arial"/>
          <w:b/>
          <w:sz w:val="20"/>
        </w:rPr>
        <w:t xml:space="preserve"> </w:t>
      </w:r>
    </w:p>
    <w:p w:rsidR="00D94398" w:rsidRDefault="00D94398" w:rsidP="00D94398">
      <w:pPr>
        <w:pStyle w:val="ALMBrdtext"/>
      </w:pPr>
      <w:r w:rsidRPr="00273B17">
        <w:t xml:space="preserve"> </w:t>
      </w:r>
    </w:p>
    <w:p w:rsidR="00D94398" w:rsidRDefault="00C315E6" w:rsidP="00D94398">
      <w:r>
        <w:object w:dxaOrig="11985" w:dyaOrig="8986">
          <v:shape id="_x0000_i1031" type="#_x0000_t75" style="width:424.85pt;height:318.55pt" o:ole="">
            <v:imagedata r:id="rId28" o:title=""/>
          </v:shape>
          <o:OLEObject Type="Embed" ProgID="Mbnd.mbnd" ShapeID="_x0000_i1031" DrawAspect="Content" ObjectID="_1464417906" r:id="rId29"/>
        </w:object>
      </w:r>
    </w:p>
    <w:p w:rsidR="00D94398" w:rsidRDefault="00D94398" w:rsidP="00D94398"/>
    <w:p w:rsidR="003522E8" w:rsidRDefault="00AF16A7" w:rsidP="00AF16A7">
      <w:r>
        <w:lastRenderedPageBreak/>
        <w:t xml:space="preserve">Arbetsmarknadsindikatorn bygger på uppgifter om företagens anställningsplaner samt uppgifter om brist på arbetskraft, enligt Konjunkturbarometern från Konjunkturinstitutet. För denna indikator anger värdet 100 genomsnittet för hela den observerade period som indikatorn täcker (startåret är 2003). Indikatorn </w:t>
      </w:r>
      <w:r w:rsidR="000F5397">
        <w:t>har nu för årets andra kvartal klättrat över det historiska genomsnittet, och ligger på indexvärdet 103</w:t>
      </w:r>
      <w:r>
        <w:t xml:space="preserve">, se diagram </w:t>
      </w:r>
      <w:r w:rsidR="000F5397">
        <w:t>7</w:t>
      </w:r>
      <w:r>
        <w:t xml:space="preserve">. </w:t>
      </w:r>
    </w:p>
    <w:p w:rsidR="00666109" w:rsidRDefault="00666109" w:rsidP="00AF16A7"/>
    <w:p w:rsidR="00AF16A7" w:rsidRDefault="00AF16A7" w:rsidP="00D94398">
      <w:r>
        <w:t xml:space="preserve">Enligt månadsstatistiken från SCB:s </w:t>
      </w:r>
      <w:r w:rsidR="001533F4">
        <w:t>a</w:t>
      </w:r>
      <w:r>
        <w:t>rbetskraftsundersökning</w:t>
      </w:r>
      <w:r w:rsidR="0063485B">
        <w:t xml:space="preserve"> (AKU)</w:t>
      </w:r>
      <w:r>
        <w:t xml:space="preserve"> </w:t>
      </w:r>
      <w:r w:rsidR="00056D49">
        <w:t>har</w:t>
      </w:r>
      <w:r w:rsidR="00666109">
        <w:t xml:space="preserve"> tillväxttakten för den totala </w:t>
      </w:r>
      <w:r>
        <w:t>sysselsättning</w:t>
      </w:r>
      <w:r w:rsidR="002439F2">
        <w:t xml:space="preserve">en </w:t>
      </w:r>
      <w:r w:rsidR="004939CB">
        <w:t>hållit sig kring lite över 1 procent sedan juli förra året</w:t>
      </w:r>
      <w:r w:rsidR="00056D49">
        <w:t xml:space="preserve">, se diagram </w:t>
      </w:r>
      <w:r w:rsidR="000F5397">
        <w:t>8</w:t>
      </w:r>
      <w:r w:rsidR="00056D49">
        <w:t xml:space="preserve">. </w:t>
      </w:r>
      <w:r w:rsidR="007050ED">
        <w:t xml:space="preserve">Hittills i år har alltså sysselsättningen fortsatt att öka starkt, vilket hör samman med den högre tillväxten inom tjänstesektorn. </w:t>
      </w:r>
      <w:r w:rsidR="004939CB">
        <w:t>En</w:t>
      </w:r>
      <w:r w:rsidR="00056D49">
        <w:t>ligt Almegas senaste prognos</w:t>
      </w:r>
      <w:r w:rsidR="007050ED">
        <w:rPr>
          <w:rStyle w:val="Fotnotsreferens"/>
        </w:rPr>
        <w:footnoteReference w:id="18"/>
      </w:r>
      <w:r w:rsidR="00056D49">
        <w:t xml:space="preserve"> från </w:t>
      </w:r>
      <w:r w:rsidR="000F5397">
        <w:t>april i år</w:t>
      </w:r>
      <w:r w:rsidR="00056D49">
        <w:t xml:space="preserve"> bedöms </w:t>
      </w:r>
      <w:r w:rsidR="004939CB">
        <w:t xml:space="preserve">den totala </w:t>
      </w:r>
      <w:r w:rsidR="00056D49">
        <w:t xml:space="preserve">sysselsättningen öka </w:t>
      </w:r>
      <w:r w:rsidR="007050ED">
        <w:t xml:space="preserve">något långsammare 2014 </w:t>
      </w:r>
      <w:r w:rsidR="004939CB">
        <w:t xml:space="preserve">jämfört med </w:t>
      </w:r>
      <w:r w:rsidR="007050ED">
        <w:t xml:space="preserve">förra året, mot bakgrund av </w:t>
      </w:r>
      <w:r w:rsidR="004939CB">
        <w:t xml:space="preserve">den svaga produktivitetsökning som vi förutspår </w:t>
      </w:r>
      <w:r w:rsidR="00B54FB1">
        <w:t>för tjänstesektorn,</w:t>
      </w:r>
      <w:r w:rsidR="004939CB">
        <w:t xml:space="preserve"> endast </w:t>
      </w:r>
      <w:r w:rsidR="00B54FB1">
        <w:t>1,2</w:t>
      </w:r>
      <w:r w:rsidR="004939CB">
        <w:t xml:space="preserve"> procent</w:t>
      </w:r>
      <w:r w:rsidR="00B54FB1">
        <w:t xml:space="preserve"> 2014</w:t>
      </w:r>
      <w:r w:rsidR="004939CB">
        <w:t xml:space="preserve">. Det kan jämföras med den klart högre </w:t>
      </w:r>
      <w:r w:rsidR="00C50C91">
        <w:t>produktivitetstillväxten</w:t>
      </w:r>
      <w:r w:rsidR="004939CB">
        <w:t xml:space="preserve"> som uppnåddes inom den privata tjänstesektorn under den långa perioden </w:t>
      </w:r>
      <w:r w:rsidR="00C50C91">
        <w:t>från mitten av 1990-talet fram till finanskrisen, på 2,4 procent i genomsnitt per år.</w:t>
      </w:r>
    </w:p>
    <w:p w:rsidR="00AF16A7" w:rsidRDefault="00AF16A7" w:rsidP="00D94398"/>
    <w:p w:rsidR="006A7C58" w:rsidRDefault="006A7C58" w:rsidP="00D94398"/>
    <w:p w:rsidR="00056D49" w:rsidRDefault="00722F15" w:rsidP="00D94398">
      <w:pPr>
        <w:rPr>
          <w:rFonts w:ascii="Arial" w:hAnsi="Arial" w:cs="Arial"/>
          <w:b/>
          <w:sz w:val="20"/>
        </w:rPr>
      </w:pPr>
      <w:r w:rsidRPr="00C047DC">
        <w:rPr>
          <w:rFonts w:ascii="Arial" w:hAnsi="Arial" w:cs="Arial"/>
          <w:b/>
          <w:sz w:val="20"/>
        </w:rPr>
        <w:t xml:space="preserve">Diagram </w:t>
      </w:r>
      <w:r w:rsidR="004939CB">
        <w:rPr>
          <w:rFonts w:ascii="Arial" w:hAnsi="Arial" w:cs="Arial"/>
          <w:b/>
          <w:sz w:val="20"/>
        </w:rPr>
        <w:t>8</w:t>
      </w:r>
      <w:r>
        <w:rPr>
          <w:rFonts w:ascii="Arial" w:hAnsi="Arial" w:cs="Arial"/>
          <w:b/>
          <w:sz w:val="20"/>
        </w:rPr>
        <w:t xml:space="preserve">: </w:t>
      </w:r>
      <w:r w:rsidR="00AB20AC">
        <w:rPr>
          <w:rFonts w:ascii="Arial" w:hAnsi="Arial" w:cs="Arial"/>
          <w:b/>
          <w:sz w:val="20"/>
        </w:rPr>
        <w:t>Sveriges sysselsättning</w:t>
      </w:r>
      <w:r>
        <w:rPr>
          <w:rFonts w:ascii="Arial" w:hAnsi="Arial" w:cs="Arial"/>
          <w:b/>
          <w:sz w:val="20"/>
        </w:rPr>
        <w:t xml:space="preserve">, </w:t>
      </w:r>
      <w:r w:rsidR="00AB20AC">
        <w:rPr>
          <w:rFonts w:ascii="Arial" w:hAnsi="Arial" w:cs="Arial"/>
          <w:b/>
          <w:sz w:val="20"/>
        </w:rPr>
        <w:t>12-månadersförändring</w:t>
      </w:r>
      <w:r w:rsidR="007050ED">
        <w:rPr>
          <w:rFonts w:ascii="Arial" w:hAnsi="Arial" w:cs="Arial"/>
          <w:b/>
          <w:sz w:val="20"/>
        </w:rPr>
        <w:t xml:space="preserve"> t.o.m. maj 2014</w:t>
      </w:r>
      <w:r w:rsidR="00AB20AC">
        <w:rPr>
          <w:rFonts w:ascii="Arial" w:hAnsi="Arial" w:cs="Arial"/>
          <w:b/>
          <w:sz w:val="20"/>
        </w:rPr>
        <w:t>, procent</w:t>
      </w:r>
    </w:p>
    <w:p w:rsidR="0063485B" w:rsidRDefault="0063485B" w:rsidP="00D94398">
      <w:pPr>
        <w:rPr>
          <w:rFonts w:ascii="Arial" w:hAnsi="Arial" w:cs="Arial"/>
          <w:b/>
          <w:sz w:val="20"/>
        </w:rPr>
      </w:pPr>
    </w:p>
    <w:p w:rsidR="0063485B" w:rsidRDefault="0063485B" w:rsidP="00D94398">
      <w:r>
        <w:object w:dxaOrig="11985" w:dyaOrig="8986">
          <v:shape id="_x0000_i1032" type="#_x0000_t75" style="width:424.85pt;height:318.55pt" o:ole="">
            <v:imagedata r:id="rId30" o:title=""/>
          </v:shape>
          <o:OLEObject Type="Embed" ProgID="Mbnd.mbnd" ShapeID="_x0000_i1032" DrawAspect="Content" ObjectID="_1464417907" r:id="rId31"/>
        </w:object>
      </w:r>
    </w:p>
    <w:p w:rsidR="00E77B41" w:rsidRDefault="00056D49" w:rsidP="00E77B41">
      <w:r>
        <w:lastRenderedPageBreak/>
        <w:t xml:space="preserve">Ökningen av antalet </w:t>
      </w:r>
      <w:r w:rsidR="00351BAC">
        <w:t xml:space="preserve">anställda </w:t>
      </w:r>
      <w:r>
        <w:t>under 2013 kom främst inom den privata tjänstesektorn</w:t>
      </w:r>
      <w:r w:rsidR="00DB55F5">
        <w:t>, drygt 54 000, enligt SCB.</w:t>
      </w:r>
      <w:r w:rsidR="00DB55F5">
        <w:rPr>
          <w:rStyle w:val="Fotnotsreferens"/>
        </w:rPr>
        <w:footnoteReference w:id="19"/>
      </w:r>
      <w:r>
        <w:t xml:space="preserve">. </w:t>
      </w:r>
      <w:r w:rsidR="00E77B41">
        <w:t xml:space="preserve">De kunskapsintensiva tjänstebranscherna </w:t>
      </w:r>
      <w:r w:rsidR="00F856A2">
        <w:t>(KIS)</w:t>
      </w:r>
      <w:r w:rsidR="00F856A2">
        <w:rPr>
          <w:rStyle w:val="Fotnotsreferens"/>
        </w:rPr>
        <w:footnoteReference w:id="20"/>
      </w:r>
      <w:r w:rsidR="00F856A2">
        <w:t xml:space="preserve"> </w:t>
      </w:r>
      <w:r w:rsidR="00E77B41">
        <w:t>bidrog sammantaget med nära hälften av den totala ökningen av antalet anställda i privat tjänstesektor under förra året</w:t>
      </w:r>
      <w:r w:rsidR="00DB55F5">
        <w:t>.</w:t>
      </w:r>
      <w:r w:rsidR="00351BAC">
        <w:t xml:space="preserve"> </w:t>
      </w:r>
      <w:r w:rsidR="00E77B41">
        <w:t xml:space="preserve">Bland KIS-branscherna bidrog främst vård, omsorg och socialtjänst, kultur, nöje och fritid, utbildningsföretag, teknikkonsulter och arkitekter samt datakonsulter och programvaruproducenter. </w:t>
      </w:r>
    </w:p>
    <w:p w:rsidR="00E77B41" w:rsidRDefault="00E77B41" w:rsidP="00056D49"/>
    <w:p w:rsidR="00056D49" w:rsidRDefault="00056D49" w:rsidP="00056D49">
      <w:r>
        <w:t xml:space="preserve">I samband med den ökade sysselsättningen förra året visade arbetslösheten </w:t>
      </w:r>
      <w:r w:rsidR="005B6107">
        <w:t xml:space="preserve">först </w:t>
      </w:r>
      <w:r>
        <w:t xml:space="preserve">en </w:t>
      </w:r>
      <w:r w:rsidR="005B6107">
        <w:t xml:space="preserve">svagt </w:t>
      </w:r>
      <w:r>
        <w:t>nedåtgående trend</w:t>
      </w:r>
      <w:r w:rsidR="005B6107">
        <w:t>, men</w:t>
      </w:r>
      <w:r>
        <w:t xml:space="preserve"> </w:t>
      </w:r>
      <w:r w:rsidR="00071540">
        <w:t>utvecklingen rensa</w:t>
      </w:r>
      <w:r w:rsidR="005B6107">
        <w:t xml:space="preserve">d för </w:t>
      </w:r>
      <w:r w:rsidR="003F5F48">
        <w:t xml:space="preserve">säsongvariationer och </w:t>
      </w:r>
      <w:r w:rsidR="005B6107">
        <w:t>tillfälliga förändringar</w:t>
      </w:r>
      <w:r w:rsidR="00071540">
        <w:t xml:space="preserve"> låg </w:t>
      </w:r>
      <w:r w:rsidR="005B6107">
        <w:t xml:space="preserve">i maj </w:t>
      </w:r>
      <w:r w:rsidR="00071540">
        <w:t>kvar på 8 procent</w:t>
      </w:r>
      <w:r w:rsidR="00716B89">
        <w:t>, som den gjort sedan maj förra året</w:t>
      </w:r>
      <w:r w:rsidR="00071540">
        <w:t xml:space="preserve">. </w:t>
      </w:r>
      <w:r w:rsidR="004141E0">
        <w:t xml:space="preserve">Arbetslösheten </w:t>
      </w:r>
      <w:r w:rsidR="003F5F48">
        <w:t xml:space="preserve">låg </w:t>
      </w:r>
      <w:r w:rsidR="004141E0">
        <w:t xml:space="preserve">under </w:t>
      </w:r>
      <w:r w:rsidR="00716B89">
        <w:t>2013</w:t>
      </w:r>
      <w:r w:rsidR="004141E0">
        <w:t xml:space="preserve"> </w:t>
      </w:r>
      <w:r w:rsidR="00716B89">
        <w:t>också</w:t>
      </w:r>
      <w:r w:rsidR="004141E0">
        <w:t xml:space="preserve"> </w:t>
      </w:r>
      <w:r w:rsidR="00071540">
        <w:t xml:space="preserve">i genomsnitt </w:t>
      </w:r>
      <w:r w:rsidR="004141E0">
        <w:t xml:space="preserve">på </w:t>
      </w:r>
      <w:r w:rsidR="003E33D0">
        <w:t>8 procent.</w:t>
      </w:r>
      <w:r w:rsidR="000D3FB3" w:rsidRPr="000D3FB3">
        <w:t xml:space="preserve"> </w:t>
      </w:r>
    </w:p>
    <w:p w:rsidR="00056D49" w:rsidRDefault="00056D49" w:rsidP="0021566F"/>
    <w:p w:rsidR="003E33D0" w:rsidRDefault="003E33D0" w:rsidP="0021566F"/>
    <w:p w:rsidR="00DC21D6" w:rsidRDefault="00DC21D6" w:rsidP="00DC21D6">
      <w:pPr>
        <w:rPr>
          <w:rFonts w:ascii="Arial" w:hAnsi="Arial" w:cs="Arial"/>
          <w:b/>
          <w:sz w:val="20"/>
        </w:rPr>
      </w:pPr>
      <w:r w:rsidRPr="00C047DC">
        <w:rPr>
          <w:rFonts w:ascii="Arial" w:hAnsi="Arial" w:cs="Arial"/>
          <w:b/>
          <w:sz w:val="20"/>
        </w:rPr>
        <w:t xml:space="preserve">Diagram </w:t>
      </w:r>
      <w:r w:rsidR="00F856A2">
        <w:rPr>
          <w:rFonts w:ascii="Arial" w:hAnsi="Arial" w:cs="Arial"/>
          <w:b/>
          <w:sz w:val="20"/>
        </w:rPr>
        <w:t>9</w:t>
      </w:r>
      <w:r>
        <w:rPr>
          <w:rFonts w:ascii="Arial" w:hAnsi="Arial" w:cs="Arial"/>
          <w:b/>
          <w:sz w:val="20"/>
        </w:rPr>
        <w:t xml:space="preserve">: Förändringen av antalet anställda inom </w:t>
      </w:r>
      <w:r w:rsidR="00185BFE">
        <w:rPr>
          <w:rFonts w:ascii="Arial" w:hAnsi="Arial" w:cs="Arial"/>
          <w:b/>
          <w:sz w:val="20"/>
        </w:rPr>
        <w:t>företagstjänstbranscher</w:t>
      </w:r>
      <w:r w:rsidR="00C80809">
        <w:rPr>
          <w:rFonts w:ascii="Arial" w:hAnsi="Arial" w:cs="Arial"/>
          <w:b/>
          <w:sz w:val="20"/>
        </w:rPr>
        <w:t xml:space="preserve"> 2008 t.o.m. 1:a kvartalet 2014</w:t>
      </w:r>
    </w:p>
    <w:p w:rsidR="00D22587" w:rsidRDefault="00D22587" w:rsidP="00DC21D6">
      <w:pPr>
        <w:rPr>
          <w:rFonts w:ascii="Arial" w:hAnsi="Arial" w:cs="Arial"/>
          <w:b/>
          <w:sz w:val="20"/>
          <w:szCs w:val="20"/>
        </w:rPr>
      </w:pPr>
    </w:p>
    <w:p w:rsidR="000D3FB3" w:rsidRDefault="009F340E" w:rsidP="003E33D0">
      <w:r>
        <w:object w:dxaOrig="11985" w:dyaOrig="8986">
          <v:shape id="_x0000_i1033" type="#_x0000_t75" style="width:424.85pt;height:318.55pt" o:ole="">
            <v:imagedata r:id="rId32" o:title=""/>
          </v:shape>
          <o:OLEObject Type="Embed" ProgID="Mbnd.mbnd" ShapeID="_x0000_i1033" DrawAspect="Content" ObjectID="_1464417908" r:id="rId33"/>
        </w:object>
      </w:r>
    </w:p>
    <w:p w:rsidR="008C1EE2" w:rsidRDefault="008C1EE2" w:rsidP="003E33D0"/>
    <w:p w:rsidR="008C1EE2" w:rsidRDefault="008C1EE2" w:rsidP="003E33D0"/>
    <w:p w:rsidR="003F5F48" w:rsidRDefault="003F5F48">
      <w:r>
        <w:br w:type="page"/>
      </w:r>
    </w:p>
    <w:p w:rsidR="003E33D0" w:rsidRDefault="000D3FB3" w:rsidP="003E33D0">
      <w:r>
        <w:lastRenderedPageBreak/>
        <w:t>Detaljerad statistik över antalet anställda i olika tjänstebranscher</w:t>
      </w:r>
      <w:r>
        <w:rPr>
          <w:rStyle w:val="Fotnotsreferens"/>
        </w:rPr>
        <w:footnoteReference w:id="21"/>
      </w:r>
      <w:r>
        <w:t xml:space="preserve"> visar </w:t>
      </w:r>
      <w:r w:rsidR="00C53ADD">
        <w:t>en fortsatt</w:t>
      </w:r>
      <w:r>
        <w:t xml:space="preserve"> vikande ökningstakt </w:t>
      </w:r>
      <w:r w:rsidR="00C53ADD">
        <w:t>för flera tunga branscher inom företagstjänster</w:t>
      </w:r>
      <w:r w:rsidR="00F856A2">
        <w:rPr>
          <w:rStyle w:val="Fotnotsreferens"/>
        </w:rPr>
        <w:footnoteReference w:id="22"/>
      </w:r>
      <w:r w:rsidR="00C53ADD">
        <w:t xml:space="preserve">, se diagram </w:t>
      </w:r>
      <w:r w:rsidR="00F856A2">
        <w:t>9</w:t>
      </w:r>
      <w:r>
        <w:t>. Den</w:t>
      </w:r>
      <w:r w:rsidR="00F856A2">
        <w:t>na</w:t>
      </w:r>
      <w:r>
        <w:t xml:space="preserve"> sektor </w:t>
      </w:r>
      <w:r w:rsidR="00F856A2">
        <w:t xml:space="preserve">har </w:t>
      </w:r>
      <w:r>
        <w:t>bidragit mest till ökad sysselsättning inom tjänstesektorn under de senaste åren</w:t>
      </w:r>
      <w:r w:rsidR="00F856A2">
        <w:t xml:space="preserve">, men började bromsa anställningstakten </w:t>
      </w:r>
      <w:r w:rsidR="0084667A">
        <w:t>under</w:t>
      </w:r>
      <w:r w:rsidR="00F856A2">
        <w:t xml:space="preserve"> förra året</w:t>
      </w:r>
      <w:r>
        <w:t xml:space="preserve">. </w:t>
      </w:r>
      <w:r w:rsidR="003E33D0">
        <w:t xml:space="preserve">Från att </w:t>
      </w:r>
      <w:r w:rsidR="00D22587">
        <w:t>företagstjänster</w:t>
      </w:r>
      <w:r w:rsidR="003E33D0">
        <w:t xml:space="preserve"> ökat antalet anställda under 2012 med </w:t>
      </w:r>
      <w:r w:rsidR="00C71FDA">
        <w:t>cirka</w:t>
      </w:r>
      <w:r w:rsidR="003E33D0">
        <w:t xml:space="preserve"> 20 </w:t>
      </w:r>
      <w:r w:rsidR="00C71FDA">
        <w:t>6</w:t>
      </w:r>
      <w:r w:rsidR="003E33D0">
        <w:t xml:space="preserve">00 personer, blev uppgången under 2013 endast </w:t>
      </w:r>
      <w:r w:rsidR="00C71FDA">
        <w:t>cirka 6300</w:t>
      </w:r>
      <w:r w:rsidR="003E33D0">
        <w:t xml:space="preserve"> fler anställda. </w:t>
      </w:r>
      <w:r w:rsidR="00D22587">
        <w:t>Inbromsningen</w:t>
      </w:r>
      <w:r w:rsidR="00C71FDA">
        <w:t xml:space="preserve"> under förra året kan jämföras med den mycket starka ökningen under hela perioden 2008-2012, då antalet anställda </w:t>
      </w:r>
      <w:r w:rsidR="00D22587">
        <w:t xml:space="preserve">inom företagstjänster steg </w:t>
      </w:r>
      <w:r w:rsidR="00C71FDA">
        <w:t>med totalt nära 124 000 jobb</w:t>
      </w:r>
      <w:r w:rsidR="002D3672">
        <w:t>.</w:t>
      </w:r>
    </w:p>
    <w:p w:rsidR="003E33D0" w:rsidRDefault="003E33D0" w:rsidP="003E33D0"/>
    <w:p w:rsidR="003E33D0" w:rsidRDefault="00C53ADD" w:rsidP="003E33D0">
      <w:r>
        <w:t xml:space="preserve">Medan flera </w:t>
      </w:r>
      <w:r w:rsidR="0084667A">
        <w:t>företagstjänstebranscher</w:t>
      </w:r>
      <w:r>
        <w:t xml:space="preserve"> planerar för att öka antalet anställda i år ser det </w:t>
      </w:r>
      <w:r w:rsidR="00351BAC">
        <w:t xml:space="preserve">alltså </w:t>
      </w:r>
      <w:r>
        <w:t xml:space="preserve">ut att motsvara en </w:t>
      </w:r>
      <w:r w:rsidR="00351BAC">
        <w:t xml:space="preserve">betydligt </w:t>
      </w:r>
      <w:r>
        <w:t xml:space="preserve">svagare ökning än tidigare. Exempelvis ökade antalet anställda inom teknikkonsulter och arkitekter med endast 2,3 procent under första kvartalet i år jämfört med motsvarande kvartal förra året. Trenden för tillväxttakten </w:t>
      </w:r>
      <w:r w:rsidR="0084667A">
        <w:t xml:space="preserve">i antal anställda </w:t>
      </w:r>
      <w:r>
        <w:t xml:space="preserve">har varit nedåtgående för denna bransch sedan </w:t>
      </w:r>
      <w:r w:rsidR="00A200CA">
        <w:t xml:space="preserve">2012, trots att det framför allt är denna bransch som rapporterat brist på personal. I april uppgav 41 procent av företagen att de hade personalbrist. Med andra ord talar det för att företagen har svårt att hitta den </w:t>
      </w:r>
      <w:r w:rsidR="00351BAC">
        <w:t xml:space="preserve">kompetens som </w:t>
      </w:r>
      <w:r w:rsidR="00FA7C46">
        <w:t xml:space="preserve">man </w:t>
      </w:r>
      <w:r w:rsidR="00351BAC">
        <w:t>söker</w:t>
      </w:r>
      <w:r w:rsidR="00A200CA">
        <w:t xml:space="preserve"> på arbetsmarknaden, vilket </w:t>
      </w:r>
      <w:r w:rsidR="0084667A">
        <w:t xml:space="preserve">alltså </w:t>
      </w:r>
      <w:r w:rsidR="00A200CA">
        <w:t xml:space="preserve">bromsar </w:t>
      </w:r>
      <w:r w:rsidR="00FA7C46">
        <w:t>anställnings</w:t>
      </w:r>
      <w:r w:rsidR="00A200CA">
        <w:t>takten.</w:t>
      </w:r>
      <w:r w:rsidR="0084667A">
        <w:t xml:space="preserve"> Denna bransch är i högsta grad kunskapsintensiv och söker en mängd högkvalificerad arbetskraft för att producera sina tjänster. Att en sådan bransch rapporterar personalbrist i ett läge då efterfrågan ökar innebär ett allvarligt hinder för branschen att öka sin produktionstillväxt.  </w:t>
      </w:r>
    </w:p>
    <w:p w:rsidR="008D0FC0" w:rsidRDefault="008D0FC0" w:rsidP="0021566F"/>
    <w:p w:rsidR="0042634C" w:rsidRDefault="003E33D0" w:rsidP="001D47AB">
      <w:r>
        <w:t>Under förra året var</w:t>
      </w:r>
      <w:r w:rsidR="008446ED">
        <w:t xml:space="preserve"> det </w:t>
      </w:r>
      <w:r w:rsidR="00A200CA">
        <w:t xml:space="preserve">främst </w:t>
      </w:r>
      <w:r w:rsidR="001D47AB">
        <w:t>branscher</w:t>
      </w:r>
      <w:r w:rsidR="008A6453">
        <w:t xml:space="preserve"> som är orienterade mot att sälja tjänster till hushållen</w:t>
      </w:r>
      <w:r w:rsidR="001D47AB">
        <w:t xml:space="preserve"> som </w:t>
      </w:r>
      <w:r>
        <w:t xml:space="preserve">bidrog </w:t>
      </w:r>
      <w:r w:rsidR="00D50D24">
        <w:t xml:space="preserve">mest </w:t>
      </w:r>
      <w:r w:rsidR="001D47AB">
        <w:t>till den ökade sysselsättningen</w:t>
      </w:r>
      <w:r w:rsidR="008A6453">
        <w:t xml:space="preserve">. Det gäller </w:t>
      </w:r>
      <w:r w:rsidR="007011B5">
        <w:t xml:space="preserve">hushållsnära och individuella tjänster, </w:t>
      </w:r>
      <w:r w:rsidR="008A6453">
        <w:t xml:space="preserve">hotell och restaurang, vård och omsorg, kultur, nöje och fritid. </w:t>
      </w:r>
      <w:r w:rsidR="00F75DE4">
        <w:t xml:space="preserve">”Övriga serviceföretag” </w:t>
      </w:r>
      <w:r w:rsidR="00A200CA">
        <w:t>ökade starkast</w:t>
      </w:r>
      <w:r w:rsidR="00B821CF">
        <w:t xml:space="preserve"> under 2013</w:t>
      </w:r>
      <w:r w:rsidR="00A200CA">
        <w:t xml:space="preserve">, vilka </w:t>
      </w:r>
      <w:r w:rsidR="00F75DE4">
        <w:t>avser bland annat hushållsnära tjänster</w:t>
      </w:r>
      <w:r w:rsidR="00790D42">
        <w:t>, reparationer av hushållsartiklar, hår- och skönhetsvård med mera</w:t>
      </w:r>
      <w:r w:rsidR="00F75DE4">
        <w:t>.</w:t>
      </w:r>
      <w:r w:rsidR="0042634C">
        <w:t xml:space="preserve"> ”Övriga serviceföretag” har visat en uppåtgående trend för antalet anställda från år 2009</w:t>
      </w:r>
      <w:r w:rsidR="00A200CA">
        <w:t>.</w:t>
      </w:r>
    </w:p>
    <w:p w:rsidR="00B821CF" w:rsidRDefault="00B821CF" w:rsidP="001D47AB"/>
    <w:p w:rsidR="0084667A" w:rsidRDefault="00B821CF" w:rsidP="001D47AB">
      <w:r>
        <w:t xml:space="preserve">Under första kvartalet i år är ökningstakten i antalet anställda något svagare för branscher som toppade i ökningstakt under förra året, se tabell 2. Det är ändå fortfarande branscher som är orienterade mot hushållens konsumtion som har starkast ökningstakt i antal anställda. Däremot är takten fortsatt svag för större delen av sektorn företagstjänster. En liten förbättring märks </w:t>
      </w:r>
      <w:r w:rsidR="00351BAC">
        <w:t xml:space="preserve">dock </w:t>
      </w:r>
      <w:r>
        <w:t xml:space="preserve">inom uthyrning, fastighetsservice, resetjänster med flera stödtjänster till företag. </w:t>
      </w:r>
    </w:p>
    <w:p w:rsidR="0084667A" w:rsidRDefault="0084667A" w:rsidP="001D47AB"/>
    <w:p w:rsidR="00B821CF" w:rsidRDefault="00B821CF" w:rsidP="001D47AB">
      <w:r>
        <w:t xml:space="preserve">För branschen personaluthyrning och arbetsförmedling minskade antalet anställda med 3,3 procent under första kvartalet </w:t>
      </w:r>
      <w:r w:rsidR="0084667A">
        <w:t xml:space="preserve">i år </w:t>
      </w:r>
      <w:r>
        <w:t xml:space="preserve">jämfört med första kvartalet 2013. </w:t>
      </w:r>
      <w:r w:rsidR="00711568">
        <w:t xml:space="preserve">Antalet anställda inom branschen har minskat med drygt 13 000 jämfört med det senaste toppåret </w:t>
      </w:r>
      <w:r w:rsidR="00351BAC">
        <w:t xml:space="preserve">i antal anställda </w:t>
      </w:r>
      <w:r w:rsidR="00711568">
        <w:t xml:space="preserve">2011. Försvagningen hör samman med den avmattning som </w:t>
      </w:r>
      <w:r w:rsidR="00711568">
        <w:lastRenderedPageBreak/>
        <w:t>karaktäriserat utvecklingen för både exportindustrin och företagstjänster under de senaste åren.</w:t>
      </w:r>
      <w:r>
        <w:t xml:space="preserve">  </w:t>
      </w:r>
    </w:p>
    <w:p w:rsidR="002439F2" w:rsidRDefault="002439F2" w:rsidP="001D47AB">
      <w:pPr>
        <w:rPr>
          <w:rFonts w:ascii="Arial" w:hAnsi="Arial" w:cs="Arial"/>
          <w:b/>
          <w:sz w:val="20"/>
          <w:szCs w:val="20"/>
        </w:rPr>
      </w:pPr>
    </w:p>
    <w:p w:rsidR="002439F2" w:rsidRDefault="002439F2" w:rsidP="001D47AB">
      <w:pPr>
        <w:rPr>
          <w:rFonts w:ascii="Arial" w:hAnsi="Arial" w:cs="Arial"/>
          <w:b/>
          <w:sz w:val="20"/>
          <w:szCs w:val="20"/>
        </w:rPr>
      </w:pPr>
    </w:p>
    <w:p w:rsidR="00E95B4C" w:rsidRDefault="001D47AB" w:rsidP="001D47AB">
      <w:pPr>
        <w:rPr>
          <w:rFonts w:ascii="Arial" w:hAnsi="Arial" w:cs="Arial"/>
          <w:b/>
          <w:sz w:val="20"/>
          <w:szCs w:val="20"/>
        </w:rPr>
      </w:pPr>
      <w:r w:rsidRPr="00AD5A13">
        <w:rPr>
          <w:rFonts w:ascii="Arial" w:hAnsi="Arial" w:cs="Arial"/>
          <w:b/>
          <w:sz w:val="20"/>
          <w:szCs w:val="20"/>
        </w:rPr>
        <w:t xml:space="preserve">Tabell </w:t>
      </w:r>
      <w:r>
        <w:rPr>
          <w:rFonts w:ascii="Arial" w:hAnsi="Arial" w:cs="Arial"/>
          <w:b/>
          <w:sz w:val="20"/>
          <w:szCs w:val="20"/>
        </w:rPr>
        <w:t>2</w:t>
      </w:r>
      <w:r w:rsidRPr="00AD5A13">
        <w:rPr>
          <w:rFonts w:ascii="Arial" w:hAnsi="Arial" w:cs="Arial"/>
          <w:b/>
          <w:sz w:val="20"/>
          <w:szCs w:val="20"/>
        </w:rPr>
        <w:t>:</w:t>
      </w:r>
      <w:r>
        <w:rPr>
          <w:rFonts w:ascii="Arial" w:hAnsi="Arial" w:cs="Arial"/>
          <w:b/>
          <w:sz w:val="20"/>
          <w:szCs w:val="20"/>
        </w:rPr>
        <w:t xml:space="preserve"> Förändring av antalet anställda inom tjänstebranscher, </w:t>
      </w:r>
      <w:r w:rsidR="00A200CA">
        <w:rPr>
          <w:rFonts w:ascii="Arial" w:hAnsi="Arial" w:cs="Arial"/>
          <w:b/>
          <w:sz w:val="20"/>
          <w:szCs w:val="20"/>
        </w:rPr>
        <w:t>1</w:t>
      </w:r>
      <w:r>
        <w:rPr>
          <w:rFonts w:ascii="Arial" w:hAnsi="Arial" w:cs="Arial"/>
          <w:b/>
          <w:sz w:val="20"/>
          <w:szCs w:val="20"/>
        </w:rPr>
        <w:t>:</w:t>
      </w:r>
      <w:r w:rsidR="00A200CA">
        <w:rPr>
          <w:rFonts w:ascii="Arial" w:hAnsi="Arial" w:cs="Arial"/>
          <w:b/>
          <w:sz w:val="20"/>
          <w:szCs w:val="20"/>
        </w:rPr>
        <w:t xml:space="preserve">a </w:t>
      </w:r>
      <w:r>
        <w:rPr>
          <w:rFonts w:ascii="Arial" w:hAnsi="Arial" w:cs="Arial"/>
          <w:b/>
          <w:sz w:val="20"/>
          <w:szCs w:val="20"/>
        </w:rPr>
        <w:t xml:space="preserve">kvartalet </w:t>
      </w:r>
      <w:r w:rsidR="00A200CA">
        <w:rPr>
          <w:rFonts w:ascii="Arial" w:hAnsi="Arial" w:cs="Arial"/>
          <w:b/>
          <w:sz w:val="20"/>
          <w:szCs w:val="20"/>
        </w:rPr>
        <w:t xml:space="preserve">2014 </w:t>
      </w:r>
      <w:r w:rsidR="00A53796">
        <w:rPr>
          <w:rFonts w:ascii="Arial" w:hAnsi="Arial" w:cs="Arial"/>
          <w:b/>
          <w:sz w:val="20"/>
          <w:szCs w:val="20"/>
        </w:rPr>
        <w:t>samt 4:e kvartalet 2013</w:t>
      </w:r>
    </w:p>
    <w:p w:rsidR="009F340E" w:rsidRDefault="009F340E" w:rsidP="001D47AB">
      <w:pPr>
        <w:rPr>
          <w:rFonts w:ascii="Arial" w:hAnsi="Arial" w:cs="Arial"/>
          <w:b/>
          <w:sz w:val="20"/>
          <w:szCs w:val="20"/>
        </w:rPr>
      </w:pPr>
    </w:p>
    <w:p w:rsidR="00B821CF" w:rsidRDefault="00B821CF" w:rsidP="001D47AB">
      <w:pPr>
        <w:rPr>
          <w:rFonts w:ascii="Arial" w:hAnsi="Arial" w:cs="Arial"/>
          <w:b/>
          <w:sz w:val="20"/>
          <w:szCs w:val="20"/>
        </w:rPr>
      </w:pPr>
    </w:p>
    <w:p w:rsidR="001D47AB" w:rsidRPr="0042634C" w:rsidRDefault="00845385" w:rsidP="001D47AB">
      <w:r w:rsidRPr="00845385">
        <w:rPr>
          <w:noProof/>
        </w:rPr>
        <w:drawing>
          <wp:inline distT="0" distB="0" distL="0" distR="0" wp14:anchorId="2DBF8E9D" wp14:editId="28CEDB3A">
            <wp:extent cx="5400040" cy="2604725"/>
            <wp:effectExtent l="0" t="0" r="0" b="571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604725"/>
                    </a:xfrm>
                    <a:prstGeom prst="rect">
                      <a:avLst/>
                    </a:prstGeom>
                    <a:noFill/>
                    <a:ln>
                      <a:noFill/>
                    </a:ln>
                  </pic:spPr>
                </pic:pic>
              </a:graphicData>
            </a:graphic>
          </wp:inline>
        </w:drawing>
      </w:r>
      <w:r w:rsidR="00A200CA">
        <w:rPr>
          <w:rFonts w:ascii="Arial" w:hAnsi="Arial" w:cs="Arial"/>
          <w:b/>
          <w:sz w:val="20"/>
          <w:szCs w:val="20"/>
        </w:rPr>
        <w:t xml:space="preserve"> </w:t>
      </w:r>
    </w:p>
    <w:p w:rsidR="001D47AB" w:rsidRDefault="001D47AB" w:rsidP="001D47AB"/>
    <w:p w:rsidR="001D47AB" w:rsidRDefault="001D47AB" w:rsidP="001D47AB"/>
    <w:p w:rsidR="0084667A" w:rsidRDefault="0084667A" w:rsidP="001D47AB"/>
    <w:p w:rsidR="006D2E35" w:rsidRDefault="006D2E35" w:rsidP="001D47AB">
      <w:r>
        <w:t xml:space="preserve">Ökningen av antalet anställda inom </w:t>
      </w:r>
      <w:r w:rsidRPr="00086FC6">
        <w:rPr>
          <w:i/>
        </w:rPr>
        <w:t>hotell och restaurang</w:t>
      </w:r>
      <w:r>
        <w:t xml:space="preserve"> </w:t>
      </w:r>
      <w:r w:rsidR="002D3672">
        <w:t xml:space="preserve">uppgick till </w:t>
      </w:r>
      <w:r w:rsidR="006877F7">
        <w:t xml:space="preserve">cirka 9 400 </w:t>
      </w:r>
      <w:r w:rsidR="002D3672">
        <w:t xml:space="preserve">jobb </w:t>
      </w:r>
      <w:r>
        <w:t xml:space="preserve">under </w:t>
      </w:r>
      <w:r w:rsidR="006877F7">
        <w:t xml:space="preserve">första </w:t>
      </w:r>
      <w:r>
        <w:t>kvartalet</w:t>
      </w:r>
      <w:r w:rsidR="002D3672">
        <w:t xml:space="preserve"> </w:t>
      </w:r>
      <w:r w:rsidR="006877F7">
        <w:t>i år</w:t>
      </w:r>
      <w:r w:rsidR="00D50D24">
        <w:t xml:space="preserve"> </w:t>
      </w:r>
      <w:r w:rsidR="002D3672">
        <w:t xml:space="preserve">jämfört med motsvarande kvartal </w:t>
      </w:r>
      <w:r w:rsidR="006877F7">
        <w:t>2013</w:t>
      </w:r>
      <w:r w:rsidR="002D3672">
        <w:t>.</w:t>
      </w:r>
      <w:r>
        <w:t xml:space="preserve"> </w:t>
      </w:r>
      <w:r w:rsidR="006877F7">
        <w:t>Ökningen i början av året ligger på ungefär samma nivå som under helåret</w:t>
      </w:r>
      <w:r w:rsidR="002D3672">
        <w:t xml:space="preserve"> 2013</w:t>
      </w:r>
      <w:r w:rsidR="006877F7">
        <w:t xml:space="preserve">, dvs. då antalet anställda ökade med drygt 9 000. </w:t>
      </w:r>
      <w:r>
        <w:t xml:space="preserve">Hittills har sänkningen av restaurangmomsen från och med januari 2012 resulterat i en ökad sysselsättning </w:t>
      </w:r>
      <w:r w:rsidRPr="006D2E35">
        <w:t xml:space="preserve">i </w:t>
      </w:r>
      <w:r w:rsidR="00D50D24">
        <w:t xml:space="preserve">enbart </w:t>
      </w:r>
      <w:r>
        <w:t>restaurang</w:t>
      </w:r>
      <w:r w:rsidRPr="006D2E35">
        <w:t xml:space="preserve">branschen med </w:t>
      </w:r>
      <w:r w:rsidR="009F3F5F" w:rsidRPr="006D2E35">
        <w:t>uppskattningsvis</w:t>
      </w:r>
      <w:r w:rsidR="006877F7">
        <w:t xml:space="preserve"> </w:t>
      </w:r>
      <w:r w:rsidR="009F3F5F">
        <w:t>4</w:t>
      </w:r>
      <w:r w:rsidRPr="006D2E35">
        <w:t xml:space="preserve"> 000 jobb</w:t>
      </w:r>
      <w:r>
        <w:t>, enligt Konjunkturinstitutet</w:t>
      </w:r>
      <w:r w:rsidRPr="006D2E35">
        <w:t>.</w:t>
      </w:r>
      <w:r>
        <w:rPr>
          <w:rStyle w:val="Fotnotsreferens"/>
        </w:rPr>
        <w:footnoteReference w:id="23"/>
      </w:r>
      <w:r w:rsidRPr="006D2E35">
        <w:t xml:space="preserve"> </w:t>
      </w:r>
    </w:p>
    <w:p w:rsidR="006D2E35" w:rsidRDefault="006D2E35" w:rsidP="001D47AB"/>
    <w:p w:rsidR="00390127" w:rsidRDefault="00390127" w:rsidP="001D47AB"/>
    <w:p w:rsidR="00B14185" w:rsidRDefault="00B14185" w:rsidP="00E874B7"/>
    <w:p w:rsidR="004018C6" w:rsidRPr="00044F17" w:rsidRDefault="004018C6">
      <w:pPr>
        <w:pStyle w:val="Rubrik1"/>
      </w:pPr>
      <w:bookmarkStart w:id="19" w:name="_Toc390339799"/>
      <w:r w:rsidRPr="00044F17">
        <w:lastRenderedPageBreak/>
        <w:t>Svagt uppåt för tjänstepriserna</w:t>
      </w:r>
      <w:bookmarkEnd w:id="19"/>
    </w:p>
    <w:p w:rsidR="004018C6" w:rsidRDefault="004018C6" w:rsidP="004018C6"/>
    <w:p w:rsidR="004018C6" w:rsidRDefault="004018C6" w:rsidP="004018C6">
      <w:r w:rsidRPr="00044808">
        <w:t>Almegas</w:t>
      </w:r>
      <w:r w:rsidRPr="00044808">
        <w:rPr>
          <w:i/>
        </w:rPr>
        <w:t xml:space="preserve"> prisindikator</w:t>
      </w:r>
      <w:r w:rsidRPr="00044808">
        <w:rPr>
          <w:rStyle w:val="Fotnotsreferens"/>
          <w:i/>
        </w:rPr>
        <w:footnoteReference w:id="24"/>
      </w:r>
      <w:r w:rsidRPr="00044808">
        <w:rPr>
          <w:i/>
        </w:rPr>
        <w:t xml:space="preserve"> </w:t>
      </w:r>
      <w:r w:rsidRPr="00044808">
        <w:t xml:space="preserve">visar att prisökningstakten för privata tjänster pekar </w:t>
      </w:r>
      <w:r>
        <w:t xml:space="preserve">fortsatt </w:t>
      </w:r>
      <w:r w:rsidRPr="00044808">
        <w:t xml:space="preserve">svagt uppåt för </w:t>
      </w:r>
      <w:r>
        <w:t>andra</w:t>
      </w:r>
      <w:r w:rsidRPr="00044808">
        <w:t xml:space="preserve"> kvartalet 2014. Det innebär att den avmattning vi sett sedan mitten av 2011 </w:t>
      </w:r>
      <w:r>
        <w:t>har vänt</w:t>
      </w:r>
      <w:r w:rsidRPr="00044808">
        <w:t xml:space="preserve">. Fortfarande ligger indikatorn på en nivå nära 50, en punkt där priserna är ungefär oförändrade. Indikatorn för </w:t>
      </w:r>
      <w:r>
        <w:t>andra kvartalet ligger på 54,5</w:t>
      </w:r>
      <w:r w:rsidRPr="00044808">
        <w:t>. Om prisindikatorn faller under 50-strecket indikerar det fallande priser.</w:t>
      </w:r>
    </w:p>
    <w:p w:rsidR="004018C6" w:rsidRDefault="004018C6" w:rsidP="004018C6"/>
    <w:p w:rsidR="00044F17" w:rsidRDefault="00044F17" w:rsidP="004018C6">
      <w:pPr>
        <w:pStyle w:val="ALMBrdtext"/>
        <w:rPr>
          <w:rFonts w:ascii="Arial" w:hAnsi="Arial" w:cs="Arial"/>
          <w:b/>
          <w:sz w:val="20"/>
        </w:rPr>
      </w:pPr>
    </w:p>
    <w:p w:rsidR="004018C6" w:rsidRPr="00853B63" w:rsidRDefault="004018C6" w:rsidP="004018C6">
      <w:pPr>
        <w:pStyle w:val="ALMBrdtext"/>
        <w:rPr>
          <w:rFonts w:ascii="Arial" w:hAnsi="Arial" w:cs="Arial"/>
          <w:b/>
          <w:sz w:val="20"/>
        </w:rPr>
      </w:pPr>
      <w:r w:rsidRPr="00853B63">
        <w:rPr>
          <w:rFonts w:ascii="Arial" w:hAnsi="Arial" w:cs="Arial"/>
          <w:b/>
          <w:sz w:val="20"/>
        </w:rPr>
        <w:t xml:space="preserve">Diagram </w:t>
      </w:r>
      <w:r w:rsidR="00044F17">
        <w:rPr>
          <w:rFonts w:ascii="Arial" w:hAnsi="Arial" w:cs="Arial"/>
          <w:b/>
          <w:sz w:val="20"/>
        </w:rPr>
        <w:t>10</w:t>
      </w:r>
      <w:r w:rsidRPr="00853B63">
        <w:rPr>
          <w:rFonts w:ascii="Arial" w:hAnsi="Arial" w:cs="Arial"/>
          <w:b/>
          <w:sz w:val="20"/>
        </w:rPr>
        <w:t>: Almegas prisindikator för prisutvecklingen i den privata tjänstesektorn</w:t>
      </w:r>
    </w:p>
    <w:p w:rsidR="004018C6" w:rsidRDefault="004018C6" w:rsidP="004018C6">
      <w:r w:rsidRPr="00044808">
        <w:t xml:space="preserve"> </w:t>
      </w:r>
    </w:p>
    <w:p w:rsidR="004018C6" w:rsidRPr="00044808" w:rsidRDefault="004018C6" w:rsidP="004018C6">
      <w:r>
        <w:object w:dxaOrig="11985" w:dyaOrig="8986">
          <v:shape id="_x0000_i1034" type="#_x0000_t75" style="width:424.85pt;height:318.55pt" o:ole="">
            <v:imagedata r:id="rId35" o:title=""/>
          </v:shape>
          <o:OLEObject Type="Embed" ProgID="Mbnd.mbnd" ShapeID="_x0000_i1034" DrawAspect="Content" ObjectID="_1464417909" r:id="rId36"/>
        </w:object>
      </w:r>
    </w:p>
    <w:p w:rsidR="004018C6" w:rsidRPr="00044808" w:rsidRDefault="004018C6" w:rsidP="004018C6"/>
    <w:p w:rsidR="004018C6" w:rsidRPr="00A55FF6" w:rsidRDefault="004018C6" w:rsidP="004018C6">
      <w:pPr>
        <w:pStyle w:val="ALMBrdtext"/>
        <w:rPr>
          <w:rFonts w:ascii="Arial" w:hAnsi="Arial" w:cs="Arial"/>
          <w:b/>
          <w:color w:val="808080"/>
          <w:sz w:val="20"/>
        </w:rPr>
      </w:pPr>
    </w:p>
    <w:p w:rsidR="004018C6" w:rsidRPr="00A55FF6" w:rsidRDefault="004018C6" w:rsidP="004018C6">
      <w:pPr>
        <w:pStyle w:val="ALMBrdtext"/>
        <w:rPr>
          <w:color w:val="808080"/>
        </w:rPr>
      </w:pPr>
    </w:p>
    <w:p w:rsidR="004018C6" w:rsidRPr="00853B63" w:rsidRDefault="004018C6" w:rsidP="004018C6">
      <w:pPr>
        <w:pStyle w:val="ALMBrdtext"/>
      </w:pPr>
      <w:r w:rsidRPr="00853B63">
        <w:t>Det är framförallt priserna inom handeln som drar upp tjänsteprisutvecklingen totalt sett.</w:t>
      </w:r>
      <w:r>
        <w:t xml:space="preserve"> </w:t>
      </w:r>
      <w:r w:rsidR="00C80809">
        <w:t>Företagen d</w:t>
      </w:r>
      <w:r>
        <w:t>är räknar med en ökning av tjänstepriserna under andra kvartalet medan övriga tjänstenäringar räknar med att priserna kommer ligga kvar på samma nivå.</w:t>
      </w:r>
    </w:p>
    <w:p w:rsidR="004018C6" w:rsidRPr="00A55FF6" w:rsidRDefault="004018C6" w:rsidP="004018C6">
      <w:pPr>
        <w:pStyle w:val="ALMBrdtext"/>
        <w:rPr>
          <w:color w:val="808080"/>
        </w:rPr>
      </w:pPr>
    </w:p>
    <w:p w:rsidR="004018C6" w:rsidRPr="003B08D6" w:rsidRDefault="004018C6" w:rsidP="004018C6">
      <w:pPr>
        <w:pStyle w:val="ALMBrdtext"/>
      </w:pPr>
      <w:r w:rsidRPr="003B08D6">
        <w:t xml:space="preserve">Ungefär hälften så </w:t>
      </w:r>
      <w:r>
        <w:t>stor andel företag</w:t>
      </w:r>
      <w:r w:rsidRPr="003B08D6">
        <w:t xml:space="preserve"> som förväntat inom de privata tjänstenäringarna höjde sina priser under första kvartalet, 12 jämfört med förväntade 21 procent. Inom handel</w:t>
      </w:r>
      <w:r>
        <w:t>n</w:t>
      </w:r>
      <w:r w:rsidRPr="003B08D6">
        <w:t xml:space="preserve"> var det </w:t>
      </w:r>
      <w:r>
        <w:t xml:space="preserve">en </w:t>
      </w:r>
      <w:r w:rsidRPr="003B08D6">
        <w:t xml:space="preserve">lika stor andel som förväntat som höjde sina priser, lite drygt 20 procent. Inom de privata tjänstenäringarna väntar sig </w:t>
      </w:r>
      <w:r>
        <w:t>12 procent av företagen att</w:t>
      </w:r>
      <w:r w:rsidRPr="003B08D6">
        <w:t xml:space="preserve"> </w:t>
      </w:r>
      <w:r>
        <w:t xml:space="preserve">kunna </w:t>
      </w:r>
      <w:r w:rsidRPr="003B08D6">
        <w:t xml:space="preserve">höja sina priser under andra kvartalet. Även inom handeln väntas ungefär en lika stor andel som förra kvartalet kunna höja sina priser under </w:t>
      </w:r>
      <w:r>
        <w:t>andra</w:t>
      </w:r>
      <w:r w:rsidRPr="003B08D6">
        <w:t xml:space="preserve"> kvartal</w:t>
      </w:r>
      <w:r>
        <w:t>et</w:t>
      </w:r>
      <w:r w:rsidRPr="003B08D6">
        <w:t xml:space="preserve">, cirka 20 procent. </w:t>
      </w:r>
    </w:p>
    <w:p w:rsidR="004018C6" w:rsidRDefault="004018C6" w:rsidP="004018C6">
      <w:pPr>
        <w:pStyle w:val="ALMBrdtext"/>
        <w:rPr>
          <w:color w:val="808080"/>
        </w:rPr>
      </w:pPr>
    </w:p>
    <w:p w:rsidR="004018C6" w:rsidRPr="002571AB" w:rsidRDefault="004018C6" w:rsidP="004018C6">
      <w:pPr>
        <w:pStyle w:val="ALMBrdtext"/>
      </w:pPr>
      <w:r w:rsidRPr="002571AB">
        <w:t>Inom handeln var det störst andel företag inom annan specialiserad partihandel som höjde sina priser</w:t>
      </w:r>
      <w:r>
        <w:t xml:space="preserve"> under första kvartalet</w:t>
      </w:r>
      <w:r w:rsidRPr="002571AB">
        <w:t>, 40 procent. Inom övriga tjänstenäringar var det störst andel företag som höjde sina priser bland arkitekter.</w:t>
      </w:r>
    </w:p>
    <w:p w:rsidR="004018C6" w:rsidRPr="002571AB" w:rsidRDefault="004018C6" w:rsidP="004018C6">
      <w:pPr>
        <w:pStyle w:val="ALMBrdtext"/>
      </w:pPr>
    </w:p>
    <w:p w:rsidR="004018C6" w:rsidRPr="002571AB" w:rsidRDefault="004018C6" w:rsidP="004018C6">
      <w:pPr>
        <w:pStyle w:val="ALMBrdtext"/>
      </w:pPr>
      <w:r w:rsidRPr="002571AB">
        <w:t xml:space="preserve">Störst andel företag som sänkte sina priser inom handeln </w:t>
      </w:r>
      <w:r>
        <w:t>hade</w:t>
      </w:r>
      <w:r w:rsidRPr="002571AB">
        <w:t xml:space="preserve"> partihandel med maskiner och utrustning samt butiker för kultur- och fritidsartiklar. Inom båda dessa branscher sänkte 14 procent av företagen sina priser. Inom övriga privata tjänstenäringar </w:t>
      </w:r>
      <w:r>
        <w:t>hade</w:t>
      </w:r>
      <w:r w:rsidRPr="002571AB">
        <w:t xml:space="preserve"> researrangörer och resebyråer</w:t>
      </w:r>
      <w:r>
        <w:t xml:space="preserve"> störst andel</w:t>
      </w:r>
      <w:r w:rsidRPr="002571AB">
        <w:t xml:space="preserve"> företag </w:t>
      </w:r>
      <w:r>
        <w:t xml:space="preserve">som </w:t>
      </w:r>
      <w:r w:rsidRPr="002571AB">
        <w:t>sänkte sina priser</w:t>
      </w:r>
      <w:r>
        <w:t xml:space="preserve"> under första kvartalet, 27 procent</w:t>
      </w:r>
      <w:r w:rsidRPr="002571AB">
        <w:t>.</w:t>
      </w:r>
    </w:p>
    <w:p w:rsidR="004018C6" w:rsidRPr="00A55FF6" w:rsidRDefault="004018C6" w:rsidP="004018C6">
      <w:pPr>
        <w:pStyle w:val="ALMBrdtext"/>
        <w:rPr>
          <w:color w:val="808080"/>
        </w:rPr>
      </w:pPr>
    </w:p>
    <w:p w:rsidR="004018C6" w:rsidRPr="000227C2" w:rsidRDefault="004018C6" w:rsidP="004018C6">
      <w:pPr>
        <w:pStyle w:val="ALMBrdtext"/>
      </w:pPr>
      <w:r w:rsidRPr="000227C2">
        <w:t xml:space="preserve">SCB:s tjänsteprisindex (TPI) steg med 0,8 procent under första kvartalet 2014 jämfört med första kvartalet 2013. Det innebär en något högre årsförändringstakt jämfört med under fjärde kvartalet 2013. Dessförinnan föll tjänsteprisindex fem kvartal i rad. Det var framförallt fastighetstjänster som bidrog till ökningen av tjänstepriserna första kvartalet, med 0,24 procentenheter. </w:t>
      </w:r>
    </w:p>
    <w:p w:rsidR="004018C6" w:rsidRPr="00A55FF6" w:rsidRDefault="004018C6" w:rsidP="004018C6">
      <w:pPr>
        <w:pStyle w:val="ALMBrdtext"/>
        <w:rPr>
          <w:color w:val="808080"/>
        </w:rPr>
      </w:pPr>
    </w:p>
    <w:p w:rsidR="004018C6" w:rsidRPr="0089538F" w:rsidRDefault="004018C6" w:rsidP="004018C6">
      <w:pPr>
        <w:pStyle w:val="ALMBrdtext"/>
      </w:pPr>
      <w:r w:rsidRPr="0089538F">
        <w:t xml:space="preserve">TPI steg med 0,4 procent från fjärde kvartalet 2013 till första kvartalet 2014. Till den ökningen bidrog främst en prisökning på informations- och kommunikationstjänster, med 0,1 procentenhet. Kvartalshöjningen motverkades av en </w:t>
      </w:r>
      <w:r>
        <w:t>pris</w:t>
      </w:r>
      <w:r w:rsidRPr="0089538F">
        <w:t>nedgång för hotell- och restaurangtjänster.</w:t>
      </w:r>
    </w:p>
    <w:p w:rsidR="004018C6" w:rsidRPr="00A55FF6" w:rsidRDefault="004018C6" w:rsidP="004018C6">
      <w:pPr>
        <w:pStyle w:val="ALMBrdtext"/>
        <w:rPr>
          <w:color w:val="808080"/>
        </w:rPr>
      </w:pPr>
    </w:p>
    <w:p w:rsidR="004018C6" w:rsidRPr="00B93E5E" w:rsidRDefault="004018C6" w:rsidP="004018C6">
      <w:pPr>
        <w:pStyle w:val="ALMBrdtext"/>
        <w:rPr>
          <w:iCs/>
        </w:rPr>
      </w:pPr>
      <w:r w:rsidRPr="00B93E5E">
        <w:rPr>
          <w:iCs/>
        </w:rPr>
        <w:t>Bland datakonsulter och programvaruproducenter var det under första kvartalet</w:t>
      </w:r>
      <w:r>
        <w:rPr>
          <w:iCs/>
        </w:rPr>
        <w:t xml:space="preserve"> en större andel än under det föregående kvartalet som sänkte sina priser, 17 procent jämfört med 3 procent under fjärde kvartalet förra året. Fortfarande är det dock en större andel som höjt sina priser än de som sänkt dem, dvs. 27 procent. De indikerar en prisökning inom branschen under första kvartalet i år</w:t>
      </w:r>
      <w:r w:rsidRPr="00B93E5E">
        <w:rPr>
          <w:iCs/>
        </w:rPr>
        <w:t xml:space="preserve">. Under andra kvartalet väntar sig en betydligt lägre andel </w:t>
      </w:r>
      <w:r>
        <w:rPr>
          <w:iCs/>
        </w:rPr>
        <w:t xml:space="preserve">av företagen </w:t>
      </w:r>
      <w:r w:rsidRPr="00B93E5E">
        <w:rPr>
          <w:iCs/>
        </w:rPr>
        <w:t>kunna höja sina priser, 11 procent</w:t>
      </w:r>
      <w:r>
        <w:rPr>
          <w:iCs/>
        </w:rPr>
        <w:t>.</w:t>
      </w:r>
    </w:p>
    <w:p w:rsidR="004018C6" w:rsidRDefault="004018C6" w:rsidP="004018C6">
      <w:pPr>
        <w:pStyle w:val="ALMBrdtext"/>
        <w:rPr>
          <w:iCs/>
        </w:rPr>
      </w:pPr>
    </w:p>
    <w:p w:rsidR="004018C6" w:rsidRPr="000E0759" w:rsidRDefault="004018C6" w:rsidP="004018C6">
      <w:pPr>
        <w:pStyle w:val="ALMBrdtext"/>
        <w:rPr>
          <w:iCs/>
        </w:rPr>
      </w:pPr>
      <w:r w:rsidRPr="000E0759">
        <w:rPr>
          <w:iCs/>
        </w:rPr>
        <w:t>Även SCB:s Tjänsteprisindex visar på en ökning av priserna för datakonsult- och dataprogrameringetjänster under f</w:t>
      </w:r>
      <w:r>
        <w:rPr>
          <w:iCs/>
        </w:rPr>
        <w:t>örsta</w:t>
      </w:r>
      <w:r w:rsidRPr="000E0759">
        <w:rPr>
          <w:iCs/>
        </w:rPr>
        <w:t xml:space="preserve"> kvartalet. Jämfört med </w:t>
      </w:r>
      <w:r>
        <w:rPr>
          <w:iCs/>
        </w:rPr>
        <w:t xml:space="preserve">sista </w:t>
      </w:r>
      <w:r w:rsidRPr="000E0759">
        <w:rPr>
          <w:iCs/>
        </w:rPr>
        <w:t xml:space="preserve">kvartalet </w:t>
      </w:r>
      <w:r>
        <w:rPr>
          <w:iCs/>
        </w:rPr>
        <w:t xml:space="preserve">förra året </w:t>
      </w:r>
      <w:r w:rsidRPr="000E0759">
        <w:rPr>
          <w:iCs/>
        </w:rPr>
        <w:t xml:space="preserve">ökade de med 0,5 procent. Trenden för prisutvecklingen har varit svagt positiv sedan slutet av 2010, men under tredje kvartalet 2013 </w:t>
      </w:r>
      <w:r>
        <w:rPr>
          <w:iCs/>
        </w:rPr>
        <w:t>föll</w:t>
      </w:r>
      <w:r w:rsidRPr="000E0759">
        <w:rPr>
          <w:iCs/>
        </w:rPr>
        <w:t xml:space="preserve"> priserna. Under fjärde kvartalet förra året samt första kvartalet i år ökade priserna</w:t>
      </w:r>
      <w:r>
        <w:rPr>
          <w:iCs/>
        </w:rPr>
        <w:t xml:space="preserve"> igen</w:t>
      </w:r>
      <w:r w:rsidRPr="000E0759">
        <w:rPr>
          <w:iCs/>
        </w:rPr>
        <w:t xml:space="preserve">, om än mycket svagt. Tittar man på årstakten </w:t>
      </w:r>
      <w:r>
        <w:rPr>
          <w:iCs/>
        </w:rPr>
        <w:t>för</w:t>
      </w:r>
      <w:r w:rsidRPr="000E0759">
        <w:rPr>
          <w:iCs/>
        </w:rPr>
        <w:t xml:space="preserve"> prisutvecklingen har den varit positiv under hela 2013</w:t>
      </w:r>
      <w:r>
        <w:rPr>
          <w:iCs/>
        </w:rPr>
        <w:t>,</w:t>
      </w:r>
      <w:r w:rsidRPr="000E0759">
        <w:rPr>
          <w:iCs/>
        </w:rPr>
        <w:t xml:space="preserve"> och under första kvartalet 2014 ökade den till 1,4 procent jämfört med första kvartalet 2013. </w:t>
      </w:r>
    </w:p>
    <w:p w:rsidR="004018C6" w:rsidRPr="00A55FF6" w:rsidRDefault="004018C6" w:rsidP="004018C6">
      <w:pPr>
        <w:pStyle w:val="ALMBrdtext"/>
        <w:rPr>
          <w:iCs/>
          <w:color w:val="808080"/>
        </w:rPr>
      </w:pPr>
    </w:p>
    <w:p w:rsidR="004018C6" w:rsidRPr="003A29E1" w:rsidRDefault="004018C6" w:rsidP="004018C6">
      <w:r w:rsidRPr="003A29E1">
        <w:t>Enligt KI-barometern var det en betydlig mindre andel av arkitekt- och teknikkonsultföretag än förväntat som höjde priserna under första kvartalet</w:t>
      </w:r>
      <w:r>
        <w:t xml:space="preserve"> i år</w:t>
      </w:r>
      <w:r w:rsidRPr="003A29E1">
        <w:t xml:space="preserve">, endast </w:t>
      </w:r>
      <w:r w:rsidRPr="003A29E1">
        <w:lastRenderedPageBreak/>
        <w:t xml:space="preserve">19 procent jämfört med förväntade 32 procent. Det är framförallt för de tekniska konsulterna som prisutvecklingen varit sämre än förväntat. </w:t>
      </w:r>
    </w:p>
    <w:p w:rsidR="004018C6" w:rsidRDefault="004018C6" w:rsidP="004018C6">
      <w:pPr>
        <w:rPr>
          <w:color w:val="808080"/>
        </w:rPr>
      </w:pPr>
    </w:p>
    <w:p w:rsidR="00062842" w:rsidRPr="00F41337" w:rsidRDefault="00062842" w:rsidP="00062842">
      <w:r w:rsidRPr="00F41337">
        <w:t xml:space="preserve">Enligt </w:t>
      </w:r>
      <w:r w:rsidRPr="00F41337">
        <w:rPr>
          <w:i/>
        </w:rPr>
        <w:t>Svenska Teknik&amp;Designföretagen</w:t>
      </w:r>
      <w:r w:rsidRPr="00F41337">
        <w:t xml:space="preserve"> kan man dock mellan januari och maj i år ana en svag förbättring av arvodesnivåerna sett över hela sektorn. Det är färre företag som sänkt priserna än andelen företag som höjt priserna. Hälften av dem har dock oförändrade priser. Det skiljer sig lite beroende på vilken inriktning företagen har.</w:t>
      </w:r>
    </w:p>
    <w:p w:rsidR="00062842" w:rsidRPr="00F41337" w:rsidRDefault="00062842" w:rsidP="00062842"/>
    <w:p w:rsidR="00062842" w:rsidRPr="00F41337" w:rsidRDefault="00062842" w:rsidP="00062842">
      <w:r w:rsidRPr="00F41337">
        <w:t>Industrikonsulterna har starkast utveckling, där är det relativt många företag som höjt sina arvoden. Relativt få har sänkt dem. Bland arkitekterna verkar det ha planat ut. De flesta redovisar oförändrade nivåer. Andelen arkitektföretag som rapporterar om höjda priser har ökat och andelen som sänkt priserna har minskat. Bland teknikkonsulter, inom bygg- och anläggning råder dock fortsatt prispress. Detta beror dels på att en stor del av uppdragen är mot offentliga beställare, med offentlig upphandling där lägsta pris oftast avgör. Samtidigt ökar konkurrensen på den sektorn, vilket också bidrar till pressade priser.</w:t>
      </w:r>
      <w:r w:rsidRPr="00F41337">
        <w:rPr>
          <w:rStyle w:val="Fotnotsreferens"/>
        </w:rPr>
        <w:footnoteReference w:id="25"/>
      </w:r>
      <w:r w:rsidRPr="00F41337">
        <w:t xml:space="preserve"> </w:t>
      </w:r>
    </w:p>
    <w:p w:rsidR="00062842" w:rsidRPr="00A55FF6" w:rsidRDefault="00062842" w:rsidP="00062842">
      <w:pPr>
        <w:rPr>
          <w:color w:val="808080"/>
        </w:rPr>
      </w:pPr>
    </w:p>
    <w:p w:rsidR="004018C6" w:rsidRPr="00A55FF6" w:rsidRDefault="004018C6" w:rsidP="004018C6">
      <w:pPr>
        <w:pStyle w:val="ALMBrdtext"/>
        <w:rPr>
          <w:rFonts w:ascii="Arial" w:hAnsi="Arial" w:cs="Arial"/>
          <w:b/>
          <w:color w:val="808080"/>
          <w:sz w:val="20"/>
        </w:rPr>
      </w:pPr>
    </w:p>
    <w:p w:rsidR="004018C6" w:rsidRPr="00273569" w:rsidRDefault="004018C6" w:rsidP="004018C6">
      <w:pPr>
        <w:pStyle w:val="ALMBrdtext"/>
        <w:rPr>
          <w:rFonts w:ascii="Arial" w:hAnsi="Arial" w:cs="Arial"/>
          <w:b/>
          <w:sz w:val="20"/>
        </w:rPr>
      </w:pPr>
      <w:r w:rsidRPr="00273569">
        <w:rPr>
          <w:rFonts w:ascii="Arial" w:hAnsi="Arial" w:cs="Arial"/>
          <w:b/>
          <w:sz w:val="20"/>
        </w:rPr>
        <w:t xml:space="preserve">Diagram </w:t>
      </w:r>
      <w:r w:rsidR="00044F17">
        <w:rPr>
          <w:rFonts w:ascii="Arial" w:hAnsi="Arial" w:cs="Arial"/>
          <w:b/>
          <w:sz w:val="20"/>
        </w:rPr>
        <w:t>11</w:t>
      </w:r>
      <w:r w:rsidRPr="00273569">
        <w:rPr>
          <w:rFonts w:ascii="Arial" w:hAnsi="Arial" w:cs="Arial"/>
          <w:b/>
          <w:sz w:val="20"/>
        </w:rPr>
        <w:t xml:space="preserve">: Försäljningspriserna, utfall, nettotal, glidande medelvärde, 2002 – </w:t>
      </w:r>
      <w:r>
        <w:rPr>
          <w:rFonts w:ascii="Arial" w:hAnsi="Arial" w:cs="Arial"/>
          <w:b/>
          <w:sz w:val="20"/>
        </w:rPr>
        <w:t>apr</w:t>
      </w:r>
      <w:r w:rsidRPr="00273569">
        <w:rPr>
          <w:rFonts w:ascii="Arial" w:hAnsi="Arial" w:cs="Arial"/>
          <w:b/>
          <w:sz w:val="20"/>
        </w:rPr>
        <w:t xml:space="preserve"> 2014</w:t>
      </w:r>
    </w:p>
    <w:p w:rsidR="004018C6" w:rsidRPr="00A55FF6" w:rsidRDefault="004018C6" w:rsidP="004018C6">
      <w:pPr>
        <w:pStyle w:val="ALMBrdtext"/>
        <w:rPr>
          <w:color w:val="808080"/>
        </w:rPr>
      </w:pPr>
    </w:p>
    <w:p w:rsidR="004018C6" w:rsidRPr="00A55FF6" w:rsidRDefault="004018C6" w:rsidP="004018C6">
      <w:pPr>
        <w:pStyle w:val="ALMBrdtext"/>
        <w:rPr>
          <w:color w:val="808080"/>
        </w:rPr>
      </w:pPr>
      <w:r>
        <w:object w:dxaOrig="11985" w:dyaOrig="8986">
          <v:shape id="_x0000_i1035" type="#_x0000_t75" style="width:424.85pt;height:318.55pt" o:ole="">
            <v:imagedata r:id="rId37" o:title=""/>
          </v:shape>
          <o:OLEObject Type="Embed" ProgID="Mbnd.mbnd" ShapeID="_x0000_i1035" DrawAspect="Content" ObjectID="_1464417910" r:id="rId38"/>
        </w:object>
      </w:r>
    </w:p>
    <w:p w:rsidR="004018C6" w:rsidRPr="00A55FF6" w:rsidRDefault="004018C6" w:rsidP="004018C6">
      <w:pPr>
        <w:pStyle w:val="ALMBrdtext"/>
        <w:rPr>
          <w:color w:val="808080"/>
        </w:rPr>
      </w:pPr>
    </w:p>
    <w:p w:rsidR="004018C6" w:rsidRPr="00B45200" w:rsidRDefault="00271802">
      <w:pPr>
        <w:pStyle w:val="Rubrik2"/>
      </w:pPr>
      <w:bookmarkStart w:id="20" w:name="_Toc390339800"/>
      <w:r>
        <w:lastRenderedPageBreak/>
        <w:t xml:space="preserve">Inflationen </w:t>
      </w:r>
      <w:r w:rsidR="00AB24FA">
        <w:t>återigen på minus</w:t>
      </w:r>
      <w:bookmarkEnd w:id="20"/>
      <w:r w:rsidR="004018C6" w:rsidRPr="00B45200">
        <w:t xml:space="preserve"> </w:t>
      </w:r>
    </w:p>
    <w:p w:rsidR="004018C6" w:rsidRPr="00A55FF6" w:rsidRDefault="004018C6" w:rsidP="004018C6">
      <w:pPr>
        <w:pStyle w:val="ALMBrdtext"/>
        <w:rPr>
          <w:b/>
          <w:color w:val="808080"/>
        </w:rPr>
      </w:pPr>
      <w:r w:rsidRPr="0044728B">
        <w:t xml:space="preserve">Inflationstakten, det vill säga 12-månaderstakten för konsumentprisindex (KPI), var i </w:t>
      </w:r>
      <w:r w:rsidR="00271802">
        <w:t>maj</w:t>
      </w:r>
      <w:r w:rsidRPr="0044728B">
        <w:t xml:space="preserve"> </w:t>
      </w:r>
      <w:r w:rsidR="00271802">
        <w:t xml:space="preserve">minus </w:t>
      </w:r>
      <w:r w:rsidRPr="0044728B">
        <w:t>0</w:t>
      </w:r>
      <w:r w:rsidR="00271802">
        <w:t>,2</w:t>
      </w:r>
      <w:r w:rsidRPr="0044728B">
        <w:t xml:space="preserve"> procent, vilket är en </w:t>
      </w:r>
      <w:r w:rsidR="00271802">
        <w:t>nedgång</w:t>
      </w:r>
      <w:r w:rsidR="00271802" w:rsidRPr="0044728B">
        <w:t xml:space="preserve"> </w:t>
      </w:r>
      <w:r w:rsidRPr="0044728B">
        <w:t xml:space="preserve">sedan </w:t>
      </w:r>
      <w:r w:rsidR="00271802">
        <w:t>april</w:t>
      </w:r>
      <w:r w:rsidR="00271802" w:rsidRPr="0044728B">
        <w:t xml:space="preserve"> </w:t>
      </w:r>
      <w:r w:rsidRPr="0044728B">
        <w:t>då den var 0 procent. Den</w:t>
      </w:r>
      <w:r>
        <w:t xml:space="preserve"> största effekten på inflationstakten hade minskade räntekostnader vilka bidrog nedåt med 0,3 procentenheter</w:t>
      </w:r>
      <w:r w:rsidR="00AB24FA">
        <w:t>.</w:t>
      </w:r>
      <w:r>
        <w:t xml:space="preserve"> Nedgången motverkades främst av höjda hyror vilka bidrog uppåt med 0,2 procentenheter. </w:t>
      </w:r>
    </w:p>
    <w:p w:rsidR="004018C6" w:rsidRDefault="004018C6" w:rsidP="004018C6">
      <w:pPr>
        <w:pStyle w:val="ALMBrdtext"/>
        <w:rPr>
          <w:color w:val="808080"/>
        </w:rPr>
      </w:pPr>
    </w:p>
    <w:p w:rsidR="00AB24FA" w:rsidRPr="005A08D1" w:rsidRDefault="00AB24FA" w:rsidP="00AB24FA">
      <w:r w:rsidRPr="005A08D1">
        <w:t xml:space="preserve">Jämfört med föregående månad steg KPI i </w:t>
      </w:r>
      <w:r>
        <w:t>maj</w:t>
      </w:r>
      <w:r w:rsidRPr="005A08D1">
        <w:t>, med 0,</w:t>
      </w:r>
      <w:r>
        <w:t>1</w:t>
      </w:r>
      <w:r w:rsidRPr="005A08D1">
        <w:t xml:space="preserve"> procent. Prisökningar på </w:t>
      </w:r>
      <w:r>
        <w:t xml:space="preserve">livsmedel, el, paketresor och logi bidrog uppåt med vardera 0,1 procenenhet. Lägre priser på </w:t>
      </w:r>
      <w:r w:rsidRPr="005A08D1">
        <w:t xml:space="preserve">utrikes flygresor bidrog </w:t>
      </w:r>
      <w:r>
        <w:t>nedåt med 0,2 procentenheter</w:t>
      </w:r>
      <w:r w:rsidRPr="005A08D1">
        <w:t xml:space="preserve">. </w:t>
      </w:r>
    </w:p>
    <w:p w:rsidR="00AB24FA" w:rsidRDefault="00AB24FA" w:rsidP="004018C6">
      <w:pPr>
        <w:pStyle w:val="ALMBrdtext"/>
        <w:rPr>
          <w:color w:val="808080"/>
        </w:rPr>
      </w:pPr>
    </w:p>
    <w:p w:rsidR="00044F17" w:rsidRDefault="00044F17">
      <w:pPr>
        <w:rPr>
          <w:rFonts w:ascii="Arial" w:hAnsi="Arial" w:cs="Arial"/>
          <w:b/>
          <w:sz w:val="20"/>
          <w:szCs w:val="20"/>
          <w:lang w:eastAsia="en-US"/>
        </w:rPr>
      </w:pPr>
    </w:p>
    <w:p w:rsidR="004018C6" w:rsidRPr="005A0657" w:rsidRDefault="004018C6" w:rsidP="004018C6">
      <w:pPr>
        <w:pStyle w:val="ALMBrdtext"/>
        <w:rPr>
          <w:rFonts w:ascii="Arial" w:hAnsi="Arial" w:cs="Arial"/>
          <w:b/>
          <w:sz w:val="20"/>
        </w:rPr>
      </w:pPr>
      <w:r w:rsidRPr="005A0657">
        <w:rPr>
          <w:rFonts w:ascii="Arial" w:hAnsi="Arial" w:cs="Arial"/>
          <w:b/>
          <w:sz w:val="20"/>
        </w:rPr>
        <w:t xml:space="preserve">Diagram </w:t>
      </w:r>
      <w:r w:rsidR="00044F17">
        <w:rPr>
          <w:rFonts w:ascii="Arial" w:hAnsi="Arial" w:cs="Arial"/>
          <w:b/>
          <w:sz w:val="20"/>
        </w:rPr>
        <w:t>12</w:t>
      </w:r>
      <w:r w:rsidRPr="005A0657">
        <w:rPr>
          <w:rFonts w:ascii="Arial" w:hAnsi="Arial" w:cs="Arial"/>
          <w:b/>
          <w:sz w:val="20"/>
        </w:rPr>
        <w:t xml:space="preserve">: Sveriges inflation långt under inflationsmålet. KPI samt KPIF 2000- </w:t>
      </w:r>
      <w:r w:rsidR="00760FF8">
        <w:rPr>
          <w:rFonts w:ascii="Arial" w:hAnsi="Arial" w:cs="Arial"/>
          <w:b/>
          <w:sz w:val="20"/>
        </w:rPr>
        <w:t>maj</w:t>
      </w:r>
      <w:r w:rsidRPr="005A0657">
        <w:rPr>
          <w:rFonts w:ascii="Arial" w:hAnsi="Arial" w:cs="Arial"/>
          <w:b/>
          <w:sz w:val="20"/>
        </w:rPr>
        <w:t xml:space="preserve"> 2014</w:t>
      </w:r>
    </w:p>
    <w:p w:rsidR="004018C6" w:rsidRPr="00A55FF6" w:rsidRDefault="004018C6" w:rsidP="004018C6">
      <w:pPr>
        <w:rPr>
          <w:color w:val="808080"/>
        </w:rPr>
      </w:pPr>
      <w:r w:rsidRPr="00A55FF6">
        <w:rPr>
          <w:color w:val="808080"/>
        </w:rPr>
        <w:t xml:space="preserve">  </w:t>
      </w:r>
      <w:r w:rsidR="00760FF8">
        <w:object w:dxaOrig="11985" w:dyaOrig="8986">
          <v:shape id="_x0000_i1036" type="#_x0000_t75" style="width:424.85pt;height:318.55pt" o:ole="">
            <v:imagedata r:id="rId39" o:title=""/>
          </v:shape>
          <o:OLEObject Type="Embed" ProgID="Mbnd.mbnd" ShapeID="_x0000_i1036" DrawAspect="Content" ObjectID="_1464417911" r:id="rId40"/>
        </w:object>
      </w:r>
    </w:p>
    <w:p w:rsidR="004018C6" w:rsidRPr="00A55FF6" w:rsidRDefault="004018C6" w:rsidP="004018C6">
      <w:pPr>
        <w:rPr>
          <w:color w:val="808080"/>
        </w:rPr>
      </w:pPr>
    </w:p>
    <w:p w:rsidR="004018C6" w:rsidRPr="00A55FF6" w:rsidRDefault="004018C6" w:rsidP="004018C6">
      <w:pPr>
        <w:rPr>
          <w:color w:val="808080"/>
        </w:rPr>
      </w:pPr>
    </w:p>
    <w:p w:rsidR="004018C6" w:rsidRPr="00BD2C84" w:rsidRDefault="004018C6" w:rsidP="004018C6">
      <w:r w:rsidRPr="00BD2C84">
        <w:t>Inflationstakten enligt KPIF (KPI med fast ränta) var 0,</w:t>
      </w:r>
      <w:r w:rsidR="00271802">
        <w:t>4</w:t>
      </w:r>
      <w:r w:rsidRPr="00BD2C84">
        <w:t xml:space="preserve"> procent i </w:t>
      </w:r>
      <w:r w:rsidR="00271802">
        <w:t>maj</w:t>
      </w:r>
      <w:r w:rsidR="00271802" w:rsidRPr="00BD2C84">
        <w:t xml:space="preserve"> </w:t>
      </w:r>
      <w:r w:rsidRPr="00BD2C84">
        <w:t xml:space="preserve">vilket är en </w:t>
      </w:r>
      <w:r w:rsidR="00271802">
        <w:t>nedgång</w:t>
      </w:r>
      <w:r w:rsidR="00271802" w:rsidRPr="00BD2C84">
        <w:t xml:space="preserve"> </w:t>
      </w:r>
      <w:r w:rsidRPr="00BD2C84">
        <w:t xml:space="preserve">från </w:t>
      </w:r>
      <w:r w:rsidR="00271802">
        <w:t>april</w:t>
      </w:r>
      <w:r w:rsidR="00271802" w:rsidRPr="00BD2C84">
        <w:t xml:space="preserve"> </w:t>
      </w:r>
      <w:r w:rsidRPr="00BD2C84">
        <w:t>då den var 0,</w:t>
      </w:r>
      <w:r w:rsidR="00271802">
        <w:t>5</w:t>
      </w:r>
      <w:r w:rsidRPr="00BD2C84">
        <w:t xml:space="preserve"> procent. Som tidigare nämnts hade minskade räntekostnader en stor neddragande effekt på KPI, vilket återspeglas i det högre KPIF-talet där räntesänkningarna alltså inte ingår.</w:t>
      </w:r>
    </w:p>
    <w:p w:rsidR="004018C6" w:rsidRPr="00A55FF6" w:rsidRDefault="004018C6" w:rsidP="004018C6">
      <w:pPr>
        <w:rPr>
          <w:color w:val="808080"/>
        </w:rPr>
      </w:pPr>
    </w:p>
    <w:p w:rsidR="004018C6" w:rsidRDefault="004018C6" w:rsidP="004018C6">
      <w:r w:rsidRPr="00BD2C84">
        <w:lastRenderedPageBreak/>
        <w:t>Almega räknade i sin senaste prognos från i april med en inflationstakt på i genomsnitt 0,0 procent under 2014. Det förutsätter att prisutvecklingen tar mer fart under andra delen av året med tanke på att det varit deflation under hela första kvartalet</w:t>
      </w:r>
      <w:r w:rsidR="00AB24FA">
        <w:t xml:space="preserve"> samt även under maj månad</w:t>
      </w:r>
      <w:r w:rsidRPr="00BD2C84">
        <w:t>.</w:t>
      </w:r>
    </w:p>
    <w:p w:rsidR="004018C6" w:rsidRDefault="004018C6" w:rsidP="004018C6"/>
    <w:p w:rsidR="004018C6" w:rsidRPr="00B45200" w:rsidRDefault="004018C6" w:rsidP="00B45200">
      <w:pPr>
        <w:pStyle w:val="Rubrik2"/>
        <w:rPr>
          <w:b w:val="0"/>
        </w:rPr>
      </w:pPr>
      <w:bookmarkStart w:id="21" w:name="_Toc390339801"/>
      <w:r w:rsidRPr="00B45200">
        <w:t>Är den negativa trenden för tjänstepriserna bruten?</w:t>
      </w:r>
      <w:bookmarkEnd w:id="21"/>
    </w:p>
    <w:p w:rsidR="004018C6" w:rsidRPr="00592D10" w:rsidRDefault="004018C6" w:rsidP="004018C6">
      <w:pPr>
        <w:rPr>
          <w:b/>
        </w:rPr>
      </w:pPr>
    </w:p>
    <w:p w:rsidR="004018C6" w:rsidRDefault="004018C6" w:rsidP="004018C6">
      <w:r w:rsidRPr="00504A70">
        <w:t xml:space="preserve">Tjänstepriserna </w:t>
      </w:r>
      <w:r>
        <w:t xml:space="preserve">i KPI </w:t>
      </w:r>
      <w:r w:rsidRPr="00504A70">
        <w:t xml:space="preserve">ökade i genomsnitt med 2 procent per år under perioden 2000-2012. </w:t>
      </w:r>
      <w:r>
        <w:t>Ända sedan slutet av 2012 har dock tjänstprisutvecklingen mattats av och u</w:t>
      </w:r>
      <w:r w:rsidRPr="00504A70">
        <w:t>nder 201</w:t>
      </w:r>
      <w:r>
        <w:t xml:space="preserve">3 var ökningstakten </w:t>
      </w:r>
      <w:r w:rsidRPr="00504A70">
        <w:t xml:space="preserve">i genomsnitt 1,2 procent. </w:t>
      </w:r>
      <w:r>
        <w:t>Under första kvartalet i år har tjänstepriser fortsatt att mattas av och i snitt ökade de med endast 0,6 procent.</w:t>
      </w:r>
    </w:p>
    <w:p w:rsidR="004018C6" w:rsidRDefault="004018C6" w:rsidP="004018C6"/>
    <w:p w:rsidR="004018C6" w:rsidRDefault="004018C6" w:rsidP="004018C6">
      <w:r>
        <w:t>I april tog emellertid tjänstepriserna som ingår i KPI fart och steg med 1,1 procent.</w:t>
      </w:r>
      <w:r>
        <w:rPr>
          <w:rStyle w:val="Fotnotsreferens"/>
        </w:rPr>
        <w:footnoteReference w:id="26"/>
      </w:r>
      <w:r>
        <w:t xml:space="preserve"> Det kan innebära att tjänstepriserna börjar vända uppåt</w:t>
      </w:r>
      <w:r w:rsidR="00C80809">
        <w:t xml:space="preserve"> och</w:t>
      </w:r>
      <w:r>
        <w:t xml:space="preserve"> kan tolkas som tecken på en starkare konjunktur för de tjänstebranscher som är riktade till hushållens konsumtion (vilka är de som ingår i KPI). Vändningen ligger också i linje med Almegas prisindikator som pekat på en svag uppgång för tjänstepriserna i producentledet sedan första kvartalet i år.</w:t>
      </w:r>
      <w:r w:rsidR="00634B07">
        <w:t xml:space="preserve"> I maj mattades ökningstakten </w:t>
      </w:r>
      <w:r w:rsidR="00F4269F">
        <w:t xml:space="preserve">för tjänstepriserna i KPI </w:t>
      </w:r>
      <w:r w:rsidR="00634B07">
        <w:t>av något igen, men fortfarande ligger den på en högre nivå än under första kvartalet 2014.</w:t>
      </w:r>
    </w:p>
    <w:p w:rsidR="004018C6" w:rsidRDefault="004018C6" w:rsidP="004018C6"/>
    <w:p w:rsidR="0063485B" w:rsidRDefault="0063485B" w:rsidP="0063485B">
      <w:r>
        <w:t xml:space="preserve">Det tjänsteslag som bidrog mest till uppgången i tjänstepriserna </w:t>
      </w:r>
      <w:r w:rsidRPr="00FE03FD">
        <w:t xml:space="preserve">under maj var </w:t>
      </w:r>
      <w:r>
        <w:t>hyreskostnader, vilka bidrog med 0,44 procentenheter till ökningen på 0,84 procent för tjänstepriserna totalt. Nöjen och rekreation samt personlig hygien bidrog med 0,18 respektive 0,14 procentenheter. Störst förändring jämfört med början av året har priserna för utrikesresor haft. De har gått från ett negativt bidrag under första kvartalet, till positivt bidrag på 0,1 procentenhet i april till återigen ett negativt bidrag i maj. Den totala uppgången för tjänstepriserna i maj motverkades av en minskning av priserna för teletjänster, utrikesresor, lotteri samt körskoleutbildning och bilförsäkring.</w:t>
      </w:r>
      <w:r w:rsidRPr="001E2A75">
        <w:t xml:space="preserve"> </w:t>
      </w:r>
    </w:p>
    <w:p w:rsidR="004018C6" w:rsidRDefault="004018C6" w:rsidP="004018C6"/>
    <w:p w:rsidR="0063485B" w:rsidRDefault="0063485B">
      <w:pPr>
        <w:rPr>
          <w:rFonts w:ascii="Arial" w:hAnsi="Arial" w:cs="Arial"/>
          <w:b/>
          <w:sz w:val="20"/>
          <w:szCs w:val="20"/>
          <w:lang w:eastAsia="en-US"/>
        </w:rPr>
      </w:pPr>
      <w:r>
        <w:rPr>
          <w:rFonts w:ascii="Arial" w:hAnsi="Arial" w:cs="Arial"/>
          <w:b/>
          <w:sz w:val="20"/>
        </w:rPr>
        <w:br w:type="page"/>
      </w:r>
    </w:p>
    <w:p w:rsidR="004018C6" w:rsidRPr="005A0657" w:rsidRDefault="004018C6" w:rsidP="004018C6">
      <w:pPr>
        <w:pStyle w:val="ALMBrdtext"/>
        <w:rPr>
          <w:rFonts w:ascii="Arial" w:hAnsi="Arial" w:cs="Arial"/>
          <w:b/>
          <w:sz w:val="20"/>
        </w:rPr>
      </w:pPr>
      <w:r w:rsidRPr="005A0657">
        <w:rPr>
          <w:rFonts w:ascii="Arial" w:hAnsi="Arial" w:cs="Arial"/>
          <w:b/>
          <w:sz w:val="20"/>
        </w:rPr>
        <w:lastRenderedPageBreak/>
        <w:t xml:space="preserve">Diagram </w:t>
      </w:r>
      <w:r w:rsidR="00044F17">
        <w:rPr>
          <w:rFonts w:ascii="Arial" w:hAnsi="Arial" w:cs="Arial"/>
          <w:b/>
          <w:sz w:val="20"/>
        </w:rPr>
        <w:t>13</w:t>
      </w:r>
      <w:r w:rsidRPr="005A0657">
        <w:rPr>
          <w:rFonts w:ascii="Arial" w:hAnsi="Arial" w:cs="Arial"/>
          <w:b/>
          <w:sz w:val="20"/>
        </w:rPr>
        <w:t xml:space="preserve">: </w:t>
      </w:r>
      <w:r>
        <w:rPr>
          <w:rFonts w:ascii="Arial" w:hAnsi="Arial" w:cs="Arial"/>
          <w:b/>
          <w:sz w:val="20"/>
        </w:rPr>
        <w:t xml:space="preserve">Tjänstepriserna som ingår i KPI, 2008 t.o.m. </w:t>
      </w:r>
      <w:r w:rsidR="009D5769">
        <w:rPr>
          <w:rFonts w:ascii="Arial" w:hAnsi="Arial" w:cs="Arial"/>
          <w:b/>
          <w:sz w:val="20"/>
        </w:rPr>
        <w:t>maj</w:t>
      </w:r>
      <w:r>
        <w:rPr>
          <w:rFonts w:ascii="Arial" w:hAnsi="Arial" w:cs="Arial"/>
          <w:b/>
          <w:sz w:val="20"/>
        </w:rPr>
        <w:t xml:space="preserve"> 2014</w:t>
      </w:r>
    </w:p>
    <w:p w:rsidR="004018C6" w:rsidRDefault="004018C6" w:rsidP="004018C6"/>
    <w:p w:rsidR="004018C6" w:rsidRDefault="00F4269F" w:rsidP="004018C6">
      <w:r>
        <w:object w:dxaOrig="11985" w:dyaOrig="8986">
          <v:shape id="_x0000_i1037" type="#_x0000_t75" style="width:424.85pt;height:318.55pt" o:ole="">
            <v:imagedata r:id="rId41" o:title=""/>
          </v:shape>
          <o:OLEObject Type="Embed" ProgID="Mbnd.mbnd" ShapeID="_x0000_i1037" DrawAspect="Content" ObjectID="_1464417912" r:id="rId42"/>
        </w:object>
      </w:r>
      <w:r w:rsidR="009D5769">
        <w:fldChar w:fldCharType="begin"/>
      </w:r>
      <w:r w:rsidR="009D5769">
        <w:instrText xml:space="preserve"> EMBEDMbnd.mbnd </w:instrText>
      </w:r>
      <w:r w:rsidR="009D5769">
        <w:fldChar w:fldCharType="separate"/>
      </w:r>
      <w:r w:rsidR="004A2251">
        <w:pict>
          <v:shape id="_x0000_i1038" type="#_x0000_t75" style="width:424.25pt;height:318.5pt">
            <v:imagedata r:id="rId43" o:title=""/>
          </v:shape>
        </w:pict>
      </w:r>
      <w:r w:rsidR="009D5769">
        <w:fldChar w:fldCharType="end"/>
      </w:r>
    </w:p>
    <w:p w:rsidR="004018C6" w:rsidRDefault="004018C6" w:rsidP="004018C6"/>
    <w:p w:rsidR="0063485B" w:rsidRDefault="0063485B" w:rsidP="004018C6"/>
    <w:p w:rsidR="0063485B" w:rsidRDefault="0063485B" w:rsidP="004018C6"/>
    <w:p w:rsidR="004018C6" w:rsidRPr="00E706D8" w:rsidRDefault="004018C6" w:rsidP="004018C6">
      <w:r>
        <w:t xml:space="preserve">Priserna för teletjänster har fortsatt att falla och ger ett fortsatt relativt stort negativt bidrag till KPI. </w:t>
      </w:r>
      <w:r w:rsidRPr="00E706D8">
        <w:t>Vad gäller telekom och teletjänster så beror avmattningen i prisutvecklingen på</w:t>
      </w:r>
      <w:r w:rsidRPr="00E706D8">
        <w:rPr>
          <w:color w:val="1F497D"/>
        </w:rPr>
        <w:t xml:space="preserve"> </w:t>
      </w:r>
      <w:r w:rsidRPr="00E706D8">
        <w:t>den hårda inhemska konkurrens som rått efter avregleringen av telemarknaden 1993 då Televerket bolagiserades. Sverige har numera väldigt låga tele- och datatrafikpriser vilket är resultatet av en mycket effektiv marknad med hård konkurrens.</w:t>
      </w:r>
      <w:r w:rsidRPr="00E706D8">
        <w:rPr>
          <w:rStyle w:val="Fotnotsreferens"/>
        </w:rPr>
        <w:footnoteReference w:id="27"/>
      </w:r>
      <w:r w:rsidRPr="00E706D8">
        <w:t xml:space="preserve"> </w:t>
      </w:r>
    </w:p>
    <w:p w:rsidR="004018C6" w:rsidRDefault="004018C6" w:rsidP="004018C6">
      <w:r>
        <w:t xml:space="preserve"> </w:t>
      </w:r>
    </w:p>
    <w:p w:rsidR="004018C6" w:rsidRDefault="004018C6" w:rsidP="004018C6">
      <w:r>
        <w:t>Hyreskostnader är det tjänsteslag som bidragit överlägset mest till tjänstepris</w:t>
      </w:r>
      <w:r w:rsidR="00D02BB5">
        <w:t>ökningen</w:t>
      </w:r>
      <w:r>
        <w:t xml:space="preserve"> </w:t>
      </w:r>
      <w:r w:rsidR="0063485B">
        <w:t>hittills i år</w:t>
      </w:r>
      <w:r w:rsidR="00D02BB5">
        <w:t>, se diagram 14</w:t>
      </w:r>
      <w:r>
        <w:t xml:space="preserve">. I princip alla tjänsteslag har haft en stabil utveckling under 2014 med undantag för utrikesresor samt teletjänster. Utrikesresor </w:t>
      </w:r>
      <w:r w:rsidR="006C2CA0">
        <w:t>har med undantag för april haft</w:t>
      </w:r>
      <w:r>
        <w:t xml:space="preserve"> en svag prisutveckling </w:t>
      </w:r>
      <w:r w:rsidR="0063485B">
        <w:t>hittills i år</w:t>
      </w:r>
      <w:r w:rsidR="00E10BA4">
        <w:t xml:space="preserve"> </w:t>
      </w:r>
      <w:r>
        <w:t>och bidr</w:t>
      </w:r>
      <w:r w:rsidR="00E10BA4">
        <w:t>agit</w:t>
      </w:r>
      <w:r>
        <w:t xml:space="preserve"> negativt till tjänsteprisutvecklingen. </w:t>
      </w:r>
    </w:p>
    <w:p w:rsidR="004018C6" w:rsidRDefault="004018C6" w:rsidP="004018C6"/>
    <w:p w:rsidR="0063485B" w:rsidRDefault="0063485B" w:rsidP="004018C6"/>
    <w:p w:rsidR="0063485B" w:rsidRDefault="0063485B">
      <w:pPr>
        <w:rPr>
          <w:rFonts w:ascii="Arial" w:hAnsi="Arial" w:cs="Arial"/>
          <w:b/>
          <w:sz w:val="20"/>
          <w:szCs w:val="20"/>
          <w:lang w:eastAsia="en-US"/>
        </w:rPr>
      </w:pPr>
      <w:r>
        <w:rPr>
          <w:rFonts w:ascii="Arial" w:hAnsi="Arial" w:cs="Arial"/>
          <w:b/>
          <w:sz w:val="20"/>
        </w:rPr>
        <w:br w:type="page"/>
      </w:r>
    </w:p>
    <w:p w:rsidR="004018C6" w:rsidRPr="005A0657" w:rsidRDefault="004018C6" w:rsidP="004018C6">
      <w:pPr>
        <w:pStyle w:val="ALMBrdtext"/>
        <w:rPr>
          <w:rFonts w:ascii="Arial" w:hAnsi="Arial" w:cs="Arial"/>
          <w:b/>
          <w:sz w:val="20"/>
        </w:rPr>
      </w:pPr>
      <w:r w:rsidRPr="005A0657">
        <w:rPr>
          <w:rFonts w:ascii="Arial" w:hAnsi="Arial" w:cs="Arial"/>
          <w:b/>
          <w:sz w:val="20"/>
        </w:rPr>
        <w:lastRenderedPageBreak/>
        <w:t xml:space="preserve">Diagram </w:t>
      </w:r>
      <w:r w:rsidR="00044F17">
        <w:rPr>
          <w:rFonts w:ascii="Arial" w:hAnsi="Arial" w:cs="Arial"/>
          <w:b/>
          <w:sz w:val="20"/>
        </w:rPr>
        <w:t>14</w:t>
      </w:r>
      <w:r w:rsidRPr="005A0657">
        <w:rPr>
          <w:rFonts w:ascii="Arial" w:hAnsi="Arial" w:cs="Arial"/>
          <w:b/>
          <w:sz w:val="20"/>
        </w:rPr>
        <w:t xml:space="preserve">: </w:t>
      </w:r>
      <w:r>
        <w:rPr>
          <w:rFonts w:ascii="Arial" w:hAnsi="Arial" w:cs="Arial"/>
          <w:b/>
          <w:sz w:val="20"/>
        </w:rPr>
        <w:t xml:space="preserve">Olika tjänsters bidrag till tjänsteprisutvecklingen i KPI </w:t>
      </w:r>
      <w:r w:rsidR="001A28B8">
        <w:rPr>
          <w:rFonts w:ascii="Arial" w:hAnsi="Arial" w:cs="Arial"/>
          <w:b/>
          <w:sz w:val="20"/>
        </w:rPr>
        <w:t xml:space="preserve">maj </w:t>
      </w:r>
      <w:r>
        <w:rPr>
          <w:rFonts w:ascii="Arial" w:hAnsi="Arial" w:cs="Arial"/>
          <w:b/>
          <w:sz w:val="20"/>
        </w:rPr>
        <w:t>2014, procentenheter</w:t>
      </w:r>
    </w:p>
    <w:p w:rsidR="004018C6" w:rsidRDefault="004018C6" w:rsidP="004018C6"/>
    <w:p w:rsidR="004018C6" w:rsidRDefault="001A28B8" w:rsidP="004018C6">
      <w:r>
        <w:rPr>
          <w:noProof/>
        </w:rPr>
        <w:drawing>
          <wp:inline distT="0" distB="0" distL="0" distR="0" wp14:anchorId="56BC7E88" wp14:editId="184F00CC">
            <wp:extent cx="5992530" cy="3749917"/>
            <wp:effectExtent l="0" t="0" r="8255"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756" cy="3747555"/>
                    </a:xfrm>
                    <a:prstGeom prst="rect">
                      <a:avLst/>
                    </a:prstGeom>
                    <a:noFill/>
                  </pic:spPr>
                </pic:pic>
              </a:graphicData>
            </a:graphic>
          </wp:inline>
        </w:drawing>
      </w:r>
    </w:p>
    <w:p w:rsidR="004018C6" w:rsidRDefault="004018C6" w:rsidP="004018C6"/>
    <w:p w:rsidR="004018C6" w:rsidRDefault="004018C6" w:rsidP="004018C6">
      <w:r>
        <w:t>Källa: SCB</w:t>
      </w:r>
    </w:p>
    <w:p w:rsidR="004018C6" w:rsidRDefault="004018C6" w:rsidP="004018C6"/>
    <w:p w:rsidR="004018C6" w:rsidRDefault="004018C6" w:rsidP="004018C6"/>
    <w:p w:rsidR="0063485B" w:rsidRDefault="0063485B" w:rsidP="004018C6"/>
    <w:p w:rsidR="004018C6" w:rsidRPr="005A08D1" w:rsidRDefault="004018C6" w:rsidP="004018C6">
      <w:r w:rsidRPr="005A08D1">
        <w:t>Sammanfattningsvis väntar sig Almega att prisökningstakten</w:t>
      </w:r>
      <w:r>
        <w:t xml:space="preserve"> för producentpriserna</w:t>
      </w:r>
      <w:r w:rsidRPr="005A08D1">
        <w:t xml:space="preserve"> inom den privata tjänstesektorn kommer att öka något under andra kvartalet</w:t>
      </w:r>
      <w:r>
        <w:t>,</w:t>
      </w:r>
      <w:r w:rsidRPr="005A08D1">
        <w:t xml:space="preserve"> men fortfarande ligga kvar på en svag utveckling</w:t>
      </w:r>
      <w:r>
        <w:t>stakt</w:t>
      </w:r>
      <w:r w:rsidRPr="005A08D1">
        <w:t xml:space="preserve">. </w:t>
      </w:r>
      <w:r>
        <w:t xml:space="preserve">Även tjänstepriserna i konsumentledet väntas börja visa en positivare utveckling under resten av året jämfört med den mycket svaga ökningen under första kvartalet. </w:t>
      </w:r>
      <w:r w:rsidRPr="005A08D1">
        <w:t>En långdragen återhämtning av efterfrågan från omvärlden samt hård konkurrens från utländska producenter som säljer tjänster i Sverige är fortsatt bidragande orsaker till den låga prisutvecklingen.</w:t>
      </w:r>
    </w:p>
    <w:p w:rsidR="004018C6" w:rsidRPr="00A55FF6" w:rsidRDefault="004018C6" w:rsidP="004018C6">
      <w:pPr>
        <w:spacing w:after="200" w:line="276" w:lineRule="auto"/>
        <w:rPr>
          <w:color w:val="808080"/>
        </w:rPr>
      </w:pPr>
    </w:p>
    <w:p w:rsidR="004018C6" w:rsidRPr="00A55FF6" w:rsidRDefault="004018C6" w:rsidP="004018C6">
      <w:pPr>
        <w:rPr>
          <w:rFonts w:ascii="Arial" w:hAnsi="Arial" w:cs="Arial"/>
          <w:b/>
          <w:color w:val="808080"/>
          <w:sz w:val="20"/>
          <w:szCs w:val="20"/>
          <w:lang w:eastAsia="en-US"/>
        </w:rPr>
      </w:pPr>
    </w:p>
    <w:p w:rsidR="004018C6" w:rsidRPr="00A55FF6" w:rsidRDefault="004018C6" w:rsidP="004018C6">
      <w:pPr>
        <w:rPr>
          <w:color w:val="808080"/>
        </w:rPr>
      </w:pPr>
    </w:p>
    <w:p w:rsidR="00DA39FE" w:rsidRDefault="00DA39FE" w:rsidP="00086FC6">
      <w:pPr>
        <w:pStyle w:val="ALMBrdtext"/>
      </w:pPr>
    </w:p>
    <w:p w:rsidR="00DA39FE" w:rsidRPr="00086FC6" w:rsidRDefault="00DA39FE" w:rsidP="00086FC6">
      <w:pPr>
        <w:rPr>
          <w:b/>
        </w:rPr>
      </w:pPr>
      <w:r>
        <w:br w:type="page"/>
      </w:r>
    </w:p>
    <w:p w:rsidR="000C4D76" w:rsidRDefault="00B73E85" w:rsidP="00A226A9">
      <w:bookmarkStart w:id="22" w:name="_Toc358031884"/>
      <w:r>
        <w:rPr>
          <w:i/>
          <w:iCs/>
          <w:noProof/>
        </w:rPr>
        <w:lastRenderedPageBreak/>
        <w:drawing>
          <wp:inline distT="0" distB="0" distL="0" distR="0" wp14:anchorId="2E7EBF3E" wp14:editId="4F7B81BE">
            <wp:extent cx="4037330" cy="1080770"/>
            <wp:effectExtent l="0" t="0" r="0" b="0"/>
            <wp:docPr id="21" name="Bild 21" descr="Almega_pay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mega_pay_pm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7330" cy="1080770"/>
                    </a:xfrm>
                    <a:prstGeom prst="rect">
                      <a:avLst/>
                    </a:prstGeom>
                    <a:noFill/>
                    <a:ln>
                      <a:noFill/>
                    </a:ln>
                  </pic:spPr>
                </pic:pic>
              </a:graphicData>
            </a:graphic>
          </wp:inline>
        </w:drawing>
      </w:r>
      <w:bookmarkEnd w:id="22"/>
    </w:p>
    <w:sectPr w:rsidR="000C4D76" w:rsidSect="0075551F">
      <w:headerReference w:type="even" r:id="rId46"/>
      <w:footerReference w:type="even" r:id="rId47"/>
      <w:footerReference w:type="default" r:id="rId48"/>
      <w:pgSz w:w="11900" w:h="16840" w:code="9"/>
      <w:pgMar w:top="2268" w:right="1695" w:bottom="1843" w:left="1701" w:header="567" w:footer="567" w:gutter="0"/>
      <w:cols w:space="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1CF" w:rsidRDefault="00B821CF">
      <w:r>
        <w:separator/>
      </w:r>
    </w:p>
  </w:endnote>
  <w:endnote w:type="continuationSeparator" w:id="0">
    <w:p w:rsidR="00B821CF" w:rsidRDefault="00B8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PCL6)">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ITC Galliard St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LT Std">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CF" w:rsidRDefault="00B821CF">
    <w:pPr>
      <w:pStyle w:val="ALMSidfot"/>
      <w:rPr>
        <w:lang w:val="en-US"/>
      </w:rPr>
    </w:pPr>
    <w:r>
      <w:rPr>
        <w:noProof/>
      </w:rPr>
      <mc:AlternateContent>
        <mc:Choice Requires="wps">
          <w:drawing>
            <wp:anchor distT="4294967292" distB="4294967292" distL="114300" distR="114300" simplePos="0" relativeHeight="251658240" behindDoc="0" locked="0" layoutInCell="1" allowOverlap="1" wp14:anchorId="059128C6" wp14:editId="2CD5D4AD">
              <wp:simplePos x="0" y="0"/>
              <wp:positionH relativeFrom="column">
                <wp:posOffset>-24130</wp:posOffset>
              </wp:positionH>
              <wp:positionV relativeFrom="paragraph">
                <wp:posOffset>-19686</wp:posOffset>
              </wp:positionV>
              <wp:extent cx="5610225"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9525">
                        <a:solidFill>
                          <a:srgbClr val="0013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pt,-1.55pt" to="439.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" strokecolor="#00137b"/>
          </w:pict>
        </mc:Fallback>
      </mc:AlternateContent>
    </w:r>
    <w:r>
      <w:rPr>
        <w:rStyle w:val="ALMSidnummer"/>
      </w:rPr>
      <w:fldChar w:fldCharType="begin"/>
    </w:r>
    <w:r>
      <w:rPr>
        <w:rStyle w:val="ALMSidnummer"/>
        <w:lang w:val="en-US"/>
      </w:rPr>
      <w:instrText xml:space="preserve">PAGE  </w:instrText>
    </w:r>
    <w:r>
      <w:rPr>
        <w:rStyle w:val="ALMSidnummer"/>
      </w:rPr>
      <w:fldChar w:fldCharType="separate"/>
    </w:r>
    <w:r>
      <w:rPr>
        <w:rStyle w:val="ALMSidnummer"/>
        <w:noProof/>
        <w:lang w:val="en-US"/>
      </w:rPr>
      <w:t>20</w:t>
    </w:r>
    <w:r>
      <w:rPr>
        <w:rStyle w:val="ALMSidnummer"/>
      </w:rPr>
      <w:fldChar w:fldCharType="end"/>
    </w:r>
    <w:r>
      <w:rPr>
        <w:rStyle w:val="ALMSidnummer"/>
        <w:lang w:val="en-US"/>
      </w:rPr>
      <w:t xml:space="preserve"> (</w:t>
    </w:r>
    <w:r>
      <w:rPr>
        <w:rStyle w:val="ALMSidnummer"/>
      </w:rPr>
      <w:fldChar w:fldCharType="begin"/>
    </w:r>
    <w:r>
      <w:rPr>
        <w:rStyle w:val="ALMSidnummer"/>
        <w:lang w:val="en-US"/>
      </w:rPr>
      <w:instrText xml:space="preserve"> NUMPAGES </w:instrText>
    </w:r>
    <w:r>
      <w:rPr>
        <w:rStyle w:val="ALMSidnummer"/>
      </w:rPr>
      <w:fldChar w:fldCharType="separate"/>
    </w:r>
    <w:r w:rsidR="005C3E30">
      <w:rPr>
        <w:rStyle w:val="ALMSidnummer"/>
        <w:noProof/>
        <w:lang w:val="en-US"/>
      </w:rPr>
      <w:t>28</w:t>
    </w:r>
    <w:r>
      <w:rPr>
        <w:rStyle w:val="ALMSidnummer"/>
      </w:rPr>
      <w:fldChar w:fldCharType="end"/>
    </w:r>
    <w:r>
      <w:rPr>
        <w:rStyle w:val="ALMSidnummer"/>
        <w:lang w:val="en-US"/>
      </w:rPr>
      <w:t>)</w:t>
    </w:r>
    <w:r>
      <w:rPr>
        <w:lang w:val="en-US"/>
      </w:rPr>
      <w:tab/>
      <w:t>Multicom Sweden AB</w:t>
    </w:r>
  </w:p>
  <w:p w:rsidR="00B821CF" w:rsidRDefault="00B821CF">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CF" w:rsidRDefault="00B821CF">
    <w:pPr>
      <w:pStyle w:val="Sidfot"/>
      <w:jc w:val="center"/>
    </w:pPr>
    <w:r>
      <w:fldChar w:fldCharType="begin"/>
    </w:r>
    <w:r>
      <w:instrText xml:space="preserve"> PAGE   \* MERGEFORMAT </w:instrText>
    </w:r>
    <w:r>
      <w:fldChar w:fldCharType="separate"/>
    </w:r>
    <w:r w:rsidR="004A2251">
      <w:rPr>
        <w:noProof/>
      </w:rPr>
      <w:t>4</w:t>
    </w:r>
    <w:r>
      <w:rPr>
        <w:noProof/>
      </w:rPr>
      <w:fldChar w:fldCharType="end"/>
    </w:r>
  </w:p>
  <w:p w:rsidR="00B821CF" w:rsidRDefault="00B821CF">
    <w:pPr>
      <w:pStyle w:val="ALMSidfot"/>
      <w:rPr>
        <w:rStyle w:val="ALMSidnumme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1CF" w:rsidRDefault="00B821CF">
      <w:r>
        <w:separator/>
      </w:r>
    </w:p>
  </w:footnote>
  <w:footnote w:type="continuationSeparator" w:id="0">
    <w:p w:rsidR="00B821CF" w:rsidRDefault="00B821CF">
      <w:r>
        <w:continuationSeparator/>
      </w:r>
    </w:p>
  </w:footnote>
  <w:footnote w:id="1">
    <w:p w:rsidR="00B821CF" w:rsidRDefault="00B821CF">
      <w:pPr>
        <w:pStyle w:val="Fotnotstext"/>
      </w:pPr>
      <w:r>
        <w:rPr>
          <w:rStyle w:val="Fotnotsreferens"/>
        </w:rPr>
        <w:footnoteRef/>
      </w:r>
      <w:r>
        <w:t xml:space="preserve"> Räknat i fasta priser och korrigerat för olika antal arbetsdagar mellan åren.</w:t>
      </w:r>
    </w:p>
  </w:footnote>
  <w:footnote w:id="2">
    <w:p w:rsidR="00B821CF" w:rsidRDefault="00B821CF">
      <w:pPr>
        <w:pStyle w:val="Fotnotstext"/>
      </w:pPr>
      <w:r>
        <w:rPr>
          <w:rStyle w:val="Fotnotsreferens"/>
        </w:rPr>
        <w:footnoteRef/>
      </w:r>
      <w:r>
        <w:t xml:space="preserve"> Konjunkturbarometern tas fram av Konjunkturinstitutet.</w:t>
      </w:r>
    </w:p>
  </w:footnote>
  <w:footnote w:id="3">
    <w:p w:rsidR="00221BAF" w:rsidRDefault="00221BAF">
      <w:pPr>
        <w:pStyle w:val="Fotnotstext"/>
      </w:pPr>
      <w:r>
        <w:rPr>
          <w:rStyle w:val="Fotnotsreferens"/>
        </w:rPr>
        <w:footnoteRef/>
      </w:r>
      <w:r>
        <w:t xml:space="preserve"> Se SCB:s månadsvisa produktionsindex för näringslivets produktion</w:t>
      </w:r>
      <w:r w:rsidR="005E1653">
        <w:t>, 11 juni 2014</w:t>
      </w:r>
      <w:r>
        <w:t>.</w:t>
      </w:r>
    </w:p>
  </w:footnote>
  <w:footnote w:id="4">
    <w:p w:rsidR="00091466" w:rsidRDefault="00091466">
      <w:pPr>
        <w:pStyle w:val="Fotnotstext"/>
      </w:pPr>
      <w:r>
        <w:rPr>
          <w:rStyle w:val="Fotnotsreferens"/>
        </w:rPr>
        <w:footnoteRef/>
      </w:r>
      <w:r>
        <w:t xml:space="preserve"> Se Almegas konjunkturrapport från 29 april 2014, som kan hämtas från www.almega.se</w:t>
      </w:r>
    </w:p>
  </w:footnote>
  <w:footnote w:id="5">
    <w:p w:rsidR="00B821CF" w:rsidRDefault="00B821CF">
      <w:pPr>
        <w:pStyle w:val="Fotnotstext"/>
      </w:pPr>
      <w:r>
        <w:rPr>
          <w:rStyle w:val="Fotnotsreferens"/>
        </w:rPr>
        <w:footnoteRef/>
      </w:r>
      <w:r>
        <w:t xml:space="preserve"> Här inkluderas vatten och avfallshantering i tjänsterproduktionen, medan finans och försäkringsverksamhet exkluderas. Detta index ingår i SCB:s månadsstatistik över näringslivets produktion.</w:t>
      </w:r>
    </w:p>
  </w:footnote>
  <w:footnote w:id="6">
    <w:p w:rsidR="00475B09" w:rsidRDefault="00475B09">
      <w:pPr>
        <w:pStyle w:val="Fotnotstext"/>
      </w:pPr>
      <w:r>
        <w:rPr>
          <w:rStyle w:val="Fotnotsreferens"/>
        </w:rPr>
        <w:footnoteRef/>
      </w:r>
      <w:r>
        <w:t xml:space="preserve"> I SCB:s index för näringslivets produktion har tjänsteproducenter en vikt på 67,3 procent, byggverksamhet 7,5 procent och industrin 25,2 procent.</w:t>
      </w:r>
    </w:p>
  </w:footnote>
  <w:footnote w:id="7">
    <w:p w:rsidR="005A5418" w:rsidRDefault="005A5418">
      <w:pPr>
        <w:pStyle w:val="Fotnotstext"/>
      </w:pPr>
      <w:r>
        <w:rPr>
          <w:rStyle w:val="Fotnotsreferens"/>
        </w:rPr>
        <w:footnoteRef/>
      </w:r>
      <w:r>
        <w:t xml:space="preserve"> Se Betalningsbalansstatistiken från SCB för första kvartalet, 3 juni 2014.</w:t>
      </w:r>
    </w:p>
  </w:footnote>
  <w:footnote w:id="8">
    <w:p w:rsidR="009744E1" w:rsidRDefault="009744E1">
      <w:pPr>
        <w:pStyle w:val="Fotnotstext"/>
      </w:pPr>
      <w:r>
        <w:rPr>
          <w:rStyle w:val="Fotnotsreferens"/>
        </w:rPr>
        <w:footnoteRef/>
      </w:r>
      <w:r>
        <w:t xml:space="preserve"> Se Almegas konjunkturprognos ”Svensk ekonomi fem år efter krisen”, 29 april 2014.</w:t>
      </w:r>
    </w:p>
  </w:footnote>
  <w:footnote w:id="9">
    <w:p w:rsidR="00B821CF" w:rsidRDefault="00B821CF" w:rsidP="00071714">
      <w:pPr>
        <w:pStyle w:val="Fotnotstext"/>
      </w:pPr>
      <w:r>
        <w:rPr>
          <w:rStyle w:val="Fotnotsreferens"/>
        </w:rPr>
        <w:footnoteRef/>
      </w:r>
      <w:r>
        <w:t xml:space="preserve"> Enligt tjänsteproduktionsindex, SCB.</w:t>
      </w:r>
    </w:p>
  </w:footnote>
  <w:footnote w:id="10">
    <w:p w:rsidR="006B17EF" w:rsidRDefault="006B17EF">
      <w:pPr>
        <w:pStyle w:val="Fotnotstext"/>
      </w:pPr>
      <w:r>
        <w:rPr>
          <w:rStyle w:val="Fotnotsreferens"/>
        </w:rPr>
        <w:footnoteRef/>
      </w:r>
      <w:r>
        <w:t xml:space="preserve"> Se </w:t>
      </w:r>
      <w:r w:rsidRPr="006B17EF">
        <w:rPr>
          <w:i/>
        </w:rPr>
        <w:t>Bemanningsindikatorn</w:t>
      </w:r>
      <w:r>
        <w:t>, Q1 2014, Bemanningsföretagen, juni 2014.</w:t>
      </w:r>
    </w:p>
  </w:footnote>
  <w:footnote w:id="11">
    <w:p w:rsidR="00B821CF" w:rsidRDefault="00B821CF" w:rsidP="006D6D1A">
      <w:pPr>
        <w:pStyle w:val="Fotnotstext"/>
      </w:pPr>
      <w:r>
        <w:rPr>
          <w:rStyle w:val="Fotnotsreferens"/>
        </w:rPr>
        <w:footnoteRef/>
      </w:r>
      <w:r>
        <w:t xml:space="preserve"> I diagram </w:t>
      </w:r>
      <w:r w:rsidR="002A44B8">
        <w:t xml:space="preserve">3 </w:t>
      </w:r>
      <w:r>
        <w:t>är månadsstatistiken trendskattad av SCB, det vill säga rensad för tillfälliga variationer, vilket gör det lättare att följa den långsiktiga trenden för produktionens utveckling.</w:t>
      </w:r>
    </w:p>
  </w:footnote>
  <w:footnote w:id="12">
    <w:p w:rsidR="00B821CF" w:rsidRDefault="00B821CF" w:rsidP="001B5510">
      <w:pPr>
        <w:pStyle w:val="Fotnotstext"/>
      </w:pPr>
      <w:r>
        <w:rPr>
          <w:rStyle w:val="Fotnotsreferens"/>
        </w:rPr>
        <w:footnoteRef/>
      </w:r>
      <w:r>
        <w:t xml:space="preserve"> Se </w:t>
      </w:r>
      <w:r w:rsidRPr="00D709A4">
        <w:rPr>
          <w:i/>
        </w:rPr>
        <w:t>Investeringssignalen</w:t>
      </w:r>
      <w:r>
        <w:t xml:space="preserve">, </w:t>
      </w:r>
      <w:r w:rsidRPr="00D709A4">
        <w:t>Svenska Teknik&amp;Designföretagen</w:t>
      </w:r>
      <w:r>
        <w:t>,</w:t>
      </w:r>
      <w:r w:rsidRPr="00D709A4">
        <w:t xml:space="preserve"> 4 mars 2014</w:t>
      </w:r>
      <w:r>
        <w:t>.</w:t>
      </w:r>
    </w:p>
  </w:footnote>
  <w:footnote w:id="13">
    <w:p w:rsidR="00B821CF" w:rsidRDefault="00B821CF">
      <w:pPr>
        <w:pStyle w:val="Fotnotstext"/>
      </w:pPr>
      <w:r>
        <w:rPr>
          <w:rStyle w:val="Fotnotsreferens"/>
        </w:rPr>
        <w:footnoteRef/>
      </w:r>
      <w:r>
        <w:t xml:space="preserve"> Se </w:t>
      </w:r>
      <w:r w:rsidRPr="0071520C">
        <w:t xml:space="preserve">Investeringsenkäten, </w:t>
      </w:r>
      <w:r>
        <w:t xml:space="preserve">SCB, 22 </w:t>
      </w:r>
      <w:r w:rsidRPr="0071520C">
        <w:t>maj 2014</w:t>
      </w:r>
      <w:r>
        <w:t>.</w:t>
      </w:r>
    </w:p>
  </w:footnote>
  <w:footnote w:id="14">
    <w:p w:rsidR="00B210B1" w:rsidRDefault="00B821CF" w:rsidP="009155D4">
      <w:pPr>
        <w:pStyle w:val="Fotnotstext"/>
      </w:pPr>
      <w:r>
        <w:rPr>
          <w:rStyle w:val="Fotnotsreferens"/>
        </w:rPr>
        <w:footnoteRef/>
      </w:r>
      <w:r>
        <w:t xml:space="preserve"> </w:t>
      </w:r>
      <w:r w:rsidRPr="00D4374D">
        <w:t xml:space="preserve">Investeringsenkätens uppgifter avviker från nationalräkenskapernas </w:t>
      </w:r>
      <w:r>
        <w:t>som</w:t>
      </w:r>
      <w:r w:rsidRPr="00D4374D">
        <w:t xml:space="preserve"> inkluderar fler branscher och använder ett vidare investeringsbegrepp. I det</w:t>
      </w:r>
      <w:r>
        <w:t>ta</w:t>
      </w:r>
      <w:r w:rsidRPr="00D4374D">
        <w:t xml:space="preserve"> </w:t>
      </w:r>
      <w:r>
        <w:t>begrepp</w:t>
      </w:r>
      <w:r w:rsidRPr="00D4374D">
        <w:t xml:space="preserve"> ingår köpt och egenproducerad mjukvara, finansiell leasing av kapitalföremål fördelat på användande bransch samt korttidsinventarier. Nationalräkenskaperna kompletterar även investeringsenkätens uppgifter med skattningar för småföretag som ej undersöks i enkäten.</w:t>
      </w:r>
      <w:r w:rsidR="00B210B1" w:rsidRPr="00B210B1">
        <w:t xml:space="preserve"> </w:t>
      </w:r>
    </w:p>
    <w:p w:rsidR="00B210B1" w:rsidRDefault="00B210B1" w:rsidP="009155D4">
      <w:pPr>
        <w:pStyle w:val="Fotnotstext"/>
      </w:pPr>
    </w:p>
    <w:p w:rsidR="00B821CF" w:rsidRDefault="00E61F0E" w:rsidP="009155D4">
      <w:pPr>
        <w:pStyle w:val="Fotnotstext"/>
      </w:pPr>
      <w:r>
        <w:t>Den 18</w:t>
      </w:r>
      <w:r w:rsidR="00B210B1">
        <w:t xml:space="preserve"> september i år kommer </w:t>
      </w:r>
      <w:r w:rsidR="00B210B1" w:rsidRPr="00B210B1">
        <w:t xml:space="preserve">nationalräkenskaperna </w:t>
      </w:r>
      <w:r>
        <w:t xml:space="preserve">(NR) </w:t>
      </w:r>
      <w:r w:rsidR="00B210B1" w:rsidRPr="00B210B1">
        <w:t>att börja redovisa utgifter för forskning och utveckling som investeringar</w:t>
      </w:r>
      <w:r>
        <w:t>, i stället för som hittills som förbrukning. Denna utvidgning av investeringsbegreppet i NR görs i samband med en uppdatering av regelverken för NR (Regionalräkenskapssystemet, ENS 2010)</w:t>
      </w:r>
      <w:r w:rsidR="00B210B1" w:rsidRPr="00B210B1">
        <w:t>.</w:t>
      </w:r>
    </w:p>
  </w:footnote>
  <w:footnote w:id="15">
    <w:p w:rsidR="00B821CF" w:rsidRPr="005015D5" w:rsidRDefault="00B821CF" w:rsidP="00591759">
      <w:pPr>
        <w:pStyle w:val="Fotnotstext"/>
      </w:pPr>
      <w:r>
        <w:rPr>
          <w:rStyle w:val="Fotnotsreferens"/>
        </w:rPr>
        <w:footnoteRef/>
      </w:r>
      <w:r w:rsidRPr="002B07CE">
        <w:rPr>
          <w:lang w:val="en-US"/>
        </w:rPr>
        <w:t xml:space="preserve"> Se </w:t>
      </w:r>
      <w:r w:rsidRPr="002B07CE">
        <w:rPr>
          <w:i/>
          <w:lang w:val="en-US"/>
        </w:rPr>
        <w:t>Intangible Investment and the Swedish Manufacturing and Service Paradox</w:t>
      </w:r>
      <w:r w:rsidRPr="002B07CE">
        <w:rPr>
          <w:lang w:val="en-US"/>
        </w:rPr>
        <w:t>, Harald Edquist, IFN, februari 2011.</w:t>
      </w:r>
      <w:r>
        <w:rPr>
          <w:lang w:val="en-US"/>
        </w:rPr>
        <w:t xml:space="preserve"> </w:t>
      </w:r>
      <w:r w:rsidRPr="005015D5">
        <w:t xml:space="preserve">Denna typ av investeringar ingår än så länge inte </w:t>
      </w:r>
      <w:r>
        <w:t>i</w:t>
      </w:r>
      <w:r w:rsidRPr="005015D5">
        <w:t xml:space="preserve"> beräkningen av fasta bruttoinvesteringar i nationalräkenskaperna, men i </w:t>
      </w:r>
      <w:r>
        <w:t>s</w:t>
      </w:r>
      <w:r w:rsidRPr="005015D5">
        <w:t xml:space="preserve">eptember i år kommer investeringar i forskning och utveckling börja räknas in, </w:t>
      </w:r>
      <w:r>
        <w:t>i</w:t>
      </w:r>
      <w:r w:rsidRPr="005015D5">
        <w:t xml:space="preserve"> samband med övergång till nytt</w:t>
      </w:r>
      <w:r>
        <w:t xml:space="preserve"> </w:t>
      </w:r>
      <w:r w:rsidRPr="005015D5">
        <w:t>system för nationalräkenskaperna</w:t>
      </w:r>
      <w:r>
        <w:t xml:space="preserve"> som tillämpas internationellt</w:t>
      </w:r>
      <w:r w:rsidRPr="005015D5">
        <w:t>.</w:t>
      </w:r>
    </w:p>
  </w:footnote>
  <w:footnote w:id="16">
    <w:p w:rsidR="002D57CE" w:rsidRDefault="002D57CE" w:rsidP="002D57CE">
      <w:pPr>
        <w:pStyle w:val="Fotnotstext"/>
      </w:pPr>
      <w:r>
        <w:rPr>
          <w:rStyle w:val="Fotnotsreferens"/>
        </w:rPr>
        <w:footnoteRef/>
      </w:r>
      <w:r>
        <w:t xml:space="preserve"> Talen är säsongrensade av Konjunkturinstitutet.</w:t>
      </w:r>
    </w:p>
  </w:footnote>
  <w:footnote w:id="17">
    <w:p w:rsidR="00B821CF" w:rsidRDefault="00B821CF">
      <w:pPr>
        <w:pStyle w:val="Fotnotstext"/>
      </w:pPr>
      <w:r>
        <w:rPr>
          <w:rStyle w:val="Fotnotsreferens"/>
        </w:rPr>
        <w:footnoteRef/>
      </w:r>
      <w:r>
        <w:t xml:space="preserve"> Med nettotal menas andelen företag som, i det här fallet, svarat att efterfrågan ökat minus andelen som svarat att den minskat. Nettotalet för vad företagen förväntar sig för utveckling av efterfrågan under det närmast kommande kvartalet beräknas på motsvarande sätt, dvs. hur stor andel som räknar med ökad efterfrågan minus andelen som räknar med att efterfrågan kommer att minska.</w:t>
      </w:r>
    </w:p>
  </w:footnote>
  <w:footnote w:id="18">
    <w:p w:rsidR="007050ED" w:rsidRDefault="007050ED" w:rsidP="007050ED">
      <w:pPr>
        <w:pStyle w:val="Fotnotstext"/>
      </w:pPr>
      <w:r>
        <w:rPr>
          <w:rStyle w:val="Fotnotsreferens"/>
        </w:rPr>
        <w:footnoteRef/>
      </w:r>
      <w:r>
        <w:t xml:space="preserve"> Se Almegas konjunkturrapport </w:t>
      </w:r>
      <w:r w:rsidRPr="00C23114">
        <w:rPr>
          <w:i/>
        </w:rPr>
        <w:t>Svensk ekonomi fem år efter krisen</w:t>
      </w:r>
      <w:r>
        <w:t>, 29 april 2014</w:t>
      </w:r>
      <w:r w:rsidRPr="00056D49">
        <w:t xml:space="preserve">.  </w:t>
      </w:r>
    </w:p>
  </w:footnote>
  <w:footnote w:id="19">
    <w:p w:rsidR="00DB55F5" w:rsidRDefault="00DB55F5" w:rsidP="00DB55F5">
      <w:pPr>
        <w:pStyle w:val="Fotnotstext"/>
      </w:pPr>
      <w:r>
        <w:rPr>
          <w:rStyle w:val="Fotnotsreferens"/>
        </w:rPr>
        <w:footnoteRef/>
      </w:r>
      <w:r>
        <w:t xml:space="preserve"> Enligt SCB:s Kortperiodiska Sysselsättningsstatistik (KS).</w:t>
      </w:r>
    </w:p>
  </w:footnote>
  <w:footnote w:id="20">
    <w:p w:rsidR="00F856A2" w:rsidRDefault="00F856A2">
      <w:pPr>
        <w:pStyle w:val="Fotnotstext"/>
      </w:pPr>
      <w:r>
        <w:rPr>
          <w:rStyle w:val="Fotnotsreferens"/>
        </w:rPr>
        <w:footnoteRef/>
      </w:r>
      <w:r>
        <w:t xml:space="preserve"> KIS är en förkortning för de branscher som definieras som kunskapsintensiva. Uttrycket används internationellt och är en förkorting av Knowledge Intensive Services.</w:t>
      </w:r>
    </w:p>
  </w:footnote>
  <w:footnote w:id="21">
    <w:p w:rsidR="00B821CF" w:rsidRDefault="00B821CF" w:rsidP="000D3FB3">
      <w:pPr>
        <w:pStyle w:val="Fotnotstext"/>
      </w:pPr>
      <w:r>
        <w:rPr>
          <w:rStyle w:val="Fotnotsreferens"/>
        </w:rPr>
        <w:footnoteRef/>
      </w:r>
      <w:r>
        <w:t xml:space="preserve"> Kortperiodisk sysselsättningsstatistik (KS) t.o.m. 1 kvartalet 2014, SCB 21 maj 2014.</w:t>
      </w:r>
    </w:p>
  </w:footnote>
  <w:footnote w:id="22">
    <w:p w:rsidR="00F856A2" w:rsidRDefault="00F856A2" w:rsidP="00F856A2">
      <w:pPr>
        <w:pStyle w:val="Fotnotstext"/>
      </w:pPr>
      <w:r>
        <w:rPr>
          <w:rStyle w:val="Fotnotsreferens"/>
        </w:rPr>
        <w:footnoteRef/>
      </w:r>
      <w:r>
        <w:t xml:space="preserve"> </w:t>
      </w:r>
      <w:r w:rsidR="00351BAC">
        <w:t xml:space="preserve">Almega definierar företagstjänster utifrån nya näringsgrensindelningen (SNI 2007) och inkluderar följande branscher i företagstjänster: </w:t>
      </w:r>
      <w:r w:rsidR="00351BAC" w:rsidRPr="00A62422">
        <w:t>SNI 69-82 samt 6</w:t>
      </w:r>
      <w:r w:rsidR="00351BAC">
        <w:t>1</w:t>
      </w:r>
      <w:r w:rsidR="00351BAC" w:rsidRPr="00A62422">
        <w:t>-63</w:t>
      </w:r>
      <w:r w:rsidR="00351BAC">
        <w:t xml:space="preserve">, dvs. juridik, ekonomi, vetenskap, teknik, uthyrning, fastighetsservice, resetjänster och stödtjänster, telekommunikation, dataprogrammering, datakonsulter och informationstjänster. </w:t>
      </w:r>
    </w:p>
  </w:footnote>
  <w:footnote w:id="23">
    <w:p w:rsidR="00B821CF" w:rsidRDefault="00B821CF" w:rsidP="006D2E35">
      <w:pPr>
        <w:pStyle w:val="Fotnotstext"/>
      </w:pPr>
      <w:r>
        <w:rPr>
          <w:rStyle w:val="Fotnotsreferens"/>
        </w:rPr>
        <w:footnoteRef/>
      </w:r>
      <w:r>
        <w:t xml:space="preserve"> Se S</w:t>
      </w:r>
      <w:r w:rsidRPr="006D2E35">
        <w:rPr>
          <w:i/>
        </w:rPr>
        <w:t>pecialstudier</w:t>
      </w:r>
      <w:r>
        <w:t>, Nr 36, Konjunkturinstitutet, 3 december 2013.</w:t>
      </w:r>
    </w:p>
  </w:footnote>
  <w:footnote w:id="24">
    <w:p w:rsidR="004018C6" w:rsidRDefault="004018C6" w:rsidP="004018C6">
      <w:pPr>
        <w:pStyle w:val="Fotnotstext"/>
      </w:pPr>
      <w:r>
        <w:rPr>
          <w:rStyle w:val="Fotnotsreferens"/>
        </w:rPr>
        <w:footnoteRef/>
      </w:r>
      <w:r>
        <w:t xml:space="preserve"> </w:t>
      </w:r>
      <w:r w:rsidRPr="0049226B">
        <w:t xml:space="preserve">Prisindikatorn visar prisförändringar mellan innevarande och kommande kvartal. Den är inget mått på prisnivån utan visar om priserna väntas öka, minska eller vara oförändrade. Är index över 50 indikerar det en ökning av priserna och under 50 innebär en nedgång. Ett indexvärde på 50 innebär ungefär oförändrade priser, alltså att andelen som planerar höja priserna är lika stor som andelen som planerar </w:t>
      </w:r>
    </w:p>
    <w:p w:rsidR="004018C6" w:rsidRPr="0049226B" w:rsidRDefault="004018C6" w:rsidP="004018C6">
      <w:pPr>
        <w:pStyle w:val="Fotnotstext"/>
      </w:pPr>
      <w:r w:rsidRPr="0049226B">
        <w:t xml:space="preserve">prissänkningar, eller att samtliga angett oförändrade priser. </w:t>
      </w:r>
    </w:p>
  </w:footnote>
  <w:footnote w:id="25">
    <w:p w:rsidR="00062842" w:rsidRDefault="00062842" w:rsidP="00062842">
      <w:pPr>
        <w:pStyle w:val="Fotnotstext"/>
      </w:pPr>
      <w:r>
        <w:rPr>
          <w:rStyle w:val="Fotnotsreferens"/>
        </w:rPr>
        <w:footnoteRef/>
      </w:r>
      <w:r>
        <w:t xml:space="preserve"> </w:t>
      </w:r>
      <w:r w:rsidRPr="00504A70">
        <w:t xml:space="preserve">Svenska Teknik &amp; Designföretagen, Investeringssignalen, </w:t>
      </w:r>
      <w:r>
        <w:t>juni</w:t>
      </w:r>
      <w:r w:rsidRPr="00504A70">
        <w:t xml:space="preserve"> 2014.</w:t>
      </w:r>
    </w:p>
  </w:footnote>
  <w:footnote w:id="26">
    <w:p w:rsidR="004018C6" w:rsidRDefault="004018C6" w:rsidP="004018C6">
      <w:pPr>
        <w:pStyle w:val="Fotnotstext"/>
      </w:pPr>
      <w:r>
        <w:rPr>
          <w:rStyle w:val="Fotnotsreferens"/>
        </w:rPr>
        <w:footnoteRef/>
      </w:r>
      <w:r>
        <w:t xml:space="preserve"> Årstakt beräknad från aggregerad tresiffernivå för de tjänster som ingår i KPI, och inte lägsta elementäraggregat vilket Riksbankens beräkningar av tjänstepriserna i KPI baseras på. Med andra ord räknar Riksbanken samman tjänstepriserna utifrån en ännu mer detaljerad nivå än den Almega utgår från. </w:t>
      </w:r>
    </w:p>
  </w:footnote>
  <w:footnote w:id="27">
    <w:p w:rsidR="004018C6" w:rsidRDefault="004018C6" w:rsidP="004018C6">
      <w:pPr>
        <w:pStyle w:val="Fotnotstext"/>
      </w:pPr>
      <w:r>
        <w:rPr>
          <w:rStyle w:val="Fotnotsreferens"/>
        </w:rPr>
        <w:footnoteRef/>
      </w:r>
      <w:r>
        <w:t xml:space="preserve"> Enligt IT &amp; Telekomföretagen.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CF" w:rsidRDefault="00B821CF">
    <w:r>
      <w:rPr>
        <w:noProof/>
      </w:rPr>
      <mc:AlternateContent>
        <mc:Choice Requires="wpg">
          <w:drawing>
            <wp:anchor distT="0" distB="0" distL="114300" distR="114300" simplePos="0" relativeHeight="251657216" behindDoc="0" locked="0" layoutInCell="1" allowOverlap="1">
              <wp:simplePos x="0" y="0"/>
              <wp:positionH relativeFrom="column">
                <wp:posOffset>-29845</wp:posOffset>
              </wp:positionH>
              <wp:positionV relativeFrom="paragraph">
                <wp:posOffset>50800</wp:posOffset>
              </wp:positionV>
              <wp:extent cx="5610225" cy="36195"/>
              <wp:effectExtent l="0" t="19050" r="0" b="1905"/>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36195"/>
                        <a:chOff x="1938" y="1066"/>
                        <a:chExt cx="8835" cy="57"/>
                      </a:xfrm>
                    </wpg:grpSpPr>
                    <wps:wsp>
                      <wps:cNvPr id="5" name="Line 2"/>
                      <wps:cNvCnPr/>
                      <wps:spPr bwMode="auto">
                        <a:xfrm>
                          <a:off x="1938" y="1123"/>
                          <a:ext cx="8835" cy="0"/>
                        </a:xfrm>
                        <a:prstGeom prst="line">
                          <a:avLst/>
                        </a:prstGeom>
                        <a:noFill/>
                        <a:ln w="28575">
                          <a:solidFill>
                            <a:srgbClr val="00137B"/>
                          </a:solidFill>
                          <a:round/>
                          <a:headEnd/>
                          <a:tailEnd/>
                        </a:ln>
                        <a:extLst>
                          <a:ext uri="{909E8E84-426E-40DD-AFC4-6F175D3DCCD1}">
                            <a14:hiddenFill xmlns:a14="http://schemas.microsoft.com/office/drawing/2010/main">
                              <a:noFill/>
                            </a14:hiddenFill>
                          </a:ext>
                        </a:extLst>
                      </wps:spPr>
                      <wps:bodyPr/>
                    </wps:wsp>
                    <wps:wsp>
                      <wps:cNvPr id="6" name="Line 3"/>
                      <wps:cNvCnPr/>
                      <wps:spPr bwMode="auto">
                        <a:xfrm>
                          <a:off x="1938" y="1066"/>
                          <a:ext cx="8835" cy="0"/>
                        </a:xfrm>
                        <a:prstGeom prst="line">
                          <a:avLst/>
                        </a:prstGeom>
                        <a:noFill/>
                        <a:ln w="57150">
                          <a:solidFill>
                            <a:srgbClr val="C3080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35pt;margin-top:4pt;width:441.75pt;height:2.85pt;z-index:251657216" coordorigin="1938,1066" coordsize="88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">
              <v:line id="Line 2" o:spid="_x0000_s1027" style="position:absolute;visibility:visible;mso-wrap-style:square" from="1938,1123" to="10773,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8bcIAAADaAAAADwAAAGRycy9kb3ducmV2LnhtbESPW4vCMBSE3wX/QzgLvsiauqBIbSqr&#10;sLAIIt72+dCcXrA5KU3W1n9vBMHHYWa+YZJVb2pxo9ZVlhVMJxEI4szqigsF59PP5wKE88gaa8uk&#10;4E4OVulwkGCsbccHuh19IQKEXYwKSu+bWEqXlWTQTWxDHLzctgZ9kG0hdYtdgJtafkXRXBqsOCyU&#10;2NCmpOx6/DcKtvll148XnZ7vNMux/9tf1vtcqdFH/70E4an37/Cr/asVzOB5Jdw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w8bcIAAADaAAAADwAAAAAAAAAAAAAA&#10;AAChAgAAZHJzL2Rvd25yZXYueG1sUEsFBgAAAAAEAAQA+QAAAJADAAAAAA==&#10;" strokecolor="#00137b" strokeweight="2.25pt"/>
              <v:line id="Line 3" o:spid="_x0000_s1028" style="position:absolute;visibility:visible;mso-wrap-style:square" from="1938,1066" to="10773,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PwMQAAADaAAAADwAAAGRycy9kb3ducmV2LnhtbESPQWvCQBSE74X+h+UVvNVNFYKkriEU&#10;ioKI1tZCb4/sazY0+zbJrhr/vVsQPA4z8w0zzwfbiBP1vnas4GWcgCAuna65UvD1+f48A+EDssbG&#10;MSm4kId88fgwx0y7M3/QaR8qESHsM1RgQmgzKX1pyKIfu5Y4er+utxii7CupezxHuG3kJElSabHm&#10;uGCwpTdD5d/+aBX8HJffbdl1q8N2c5imu3UxWFMoNXoailcQgYZwD9/aK60ghf8r8Qb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k/AxAAAANoAAAAPAAAAAAAAAAAA&#10;AAAAAKECAABkcnMvZG93bnJldi54bWxQSwUGAAAAAAQABAD5AAAAkgMAAAAA&#10;" strokecolor="#c30808" strokeweight="4.5pt"/>
              <w10:wrap type="topAndBottom"/>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DFC5DF0"/>
    <w:lvl w:ilvl="0">
      <w:start w:val="1"/>
      <w:numFmt w:val="decimal"/>
      <w:lvlText w:val="%1."/>
      <w:lvlJc w:val="left"/>
      <w:pPr>
        <w:tabs>
          <w:tab w:val="num" w:pos="926"/>
        </w:tabs>
        <w:ind w:left="926" w:hanging="360"/>
      </w:pPr>
    </w:lvl>
  </w:abstractNum>
  <w:abstractNum w:abstractNumId="1">
    <w:nsid w:val="FFFFFF88"/>
    <w:multiLevelType w:val="singleLevel"/>
    <w:tmpl w:val="740A3168"/>
    <w:lvl w:ilvl="0">
      <w:start w:val="1"/>
      <w:numFmt w:val="decimal"/>
      <w:pStyle w:val="Numreradlista"/>
      <w:lvlText w:val="%1."/>
      <w:lvlJc w:val="left"/>
      <w:pPr>
        <w:tabs>
          <w:tab w:val="num" w:pos="360"/>
        </w:tabs>
        <w:ind w:left="360" w:hanging="360"/>
      </w:pPr>
    </w:lvl>
  </w:abstractNum>
  <w:abstractNum w:abstractNumId="2">
    <w:nsid w:val="03D52BAA"/>
    <w:multiLevelType w:val="singleLevel"/>
    <w:tmpl w:val="23A869B2"/>
    <w:lvl w:ilvl="0">
      <w:start w:val="1"/>
      <w:numFmt w:val="decimal"/>
      <w:pStyle w:val="ALMNumreradlista"/>
      <w:lvlText w:val="%1."/>
      <w:lvlJc w:val="left"/>
      <w:pPr>
        <w:tabs>
          <w:tab w:val="num" w:pos="360"/>
        </w:tabs>
        <w:ind w:left="357" w:hanging="357"/>
      </w:pPr>
      <w:rPr>
        <w:rFonts w:ascii="Times New Roman" w:hAnsi="Times New Roman" w:hint="default"/>
        <w:sz w:val="24"/>
      </w:rPr>
    </w:lvl>
  </w:abstractNum>
  <w:abstractNum w:abstractNumId="3">
    <w:nsid w:val="06AC3043"/>
    <w:multiLevelType w:val="hybridMultilevel"/>
    <w:tmpl w:val="8D4409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8A96831"/>
    <w:multiLevelType w:val="hybridMultilevel"/>
    <w:tmpl w:val="D170405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Symbol"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Symbol"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Symbol"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08FE3599"/>
    <w:multiLevelType w:val="hybridMultilevel"/>
    <w:tmpl w:val="B8F87BD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6EA4EB7"/>
    <w:multiLevelType w:val="multilevel"/>
    <w:tmpl w:val="A1827E42"/>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pStyle w:val="Rubrik3"/>
      <w:lvlText w:val="%1.%2.%3"/>
      <w:lvlJc w:val="left"/>
      <w:pPr>
        <w:tabs>
          <w:tab w:val="num" w:pos="1440"/>
        </w:tabs>
        <w:ind w:left="851" w:hanging="851"/>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2603072F"/>
    <w:multiLevelType w:val="hybridMultilevel"/>
    <w:tmpl w:val="F8DA5962"/>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nsid w:val="34380E6F"/>
    <w:multiLevelType w:val="hybridMultilevel"/>
    <w:tmpl w:val="C1F67BF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Symbol"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Symbol"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Symbol"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nsid w:val="39095B6E"/>
    <w:multiLevelType w:val="hybridMultilevel"/>
    <w:tmpl w:val="B1A6E06C"/>
    <w:lvl w:ilvl="0" w:tplc="3B684D44">
      <w:start w:val="1"/>
      <w:numFmt w:val="decimal"/>
      <w:lvlText w:val="%1)"/>
      <w:lvlJc w:val="left"/>
      <w:pPr>
        <w:ind w:left="1080" w:hanging="36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abstractNum w:abstractNumId="10">
    <w:nsid w:val="4FF94080"/>
    <w:multiLevelType w:val="hybridMultilevel"/>
    <w:tmpl w:val="1C66CACE"/>
    <w:lvl w:ilvl="0" w:tplc="041D0001">
      <w:start w:val="2009"/>
      <w:numFmt w:val="bullet"/>
      <w:lvlText w:val=""/>
      <w:lvlJc w:val="left"/>
      <w:pPr>
        <w:tabs>
          <w:tab w:val="num" w:pos="720"/>
        </w:tabs>
        <w:ind w:left="720" w:hanging="360"/>
      </w:pPr>
      <w:rPr>
        <w:rFonts w:ascii="Symbol" w:eastAsia="Times New Roman" w:hAnsi="Symbol" w:cs="Times New Roman" w:hint="default"/>
      </w:rPr>
    </w:lvl>
    <w:lvl w:ilvl="1" w:tplc="041D0003" w:tentative="1">
      <w:start w:val="1"/>
      <w:numFmt w:val="bullet"/>
      <w:lvlText w:val="o"/>
      <w:lvlJc w:val="left"/>
      <w:pPr>
        <w:tabs>
          <w:tab w:val="num" w:pos="1440"/>
        </w:tabs>
        <w:ind w:left="1440" w:hanging="360"/>
      </w:pPr>
      <w:rPr>
        <w:rFonts w:ascii="Courier New" w:hAnsi="Courier New" w:cs="Symbol"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Symbol"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Symbol"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62E64C55"/>
    <w:multiLevelType w:val="singleLevel"/>
    <w:tmpl w:val="C8921B00"/>
    <w:lvl w:ilvl="0">
      <w:start w:val="1"/>
      <w:numFmt w:val="bullet"/>
      <w:pStyle w:val="ALMPunktlista"/>
      <w:lvlText w:val=""/>
      <w:lvlJc w:val="left"/>
      <w:pPr>
        <w:tabs>
          <w:tab w:val="num" w:pos="360"/>
        </w:tabs>
        <w:ind w:left="360" w:hanging="360"/>
      </w:pPr>
      <w:rPr>
        <w:rFonts w:ascii="Symbol" w:hAnsi="Symbol" w:hint="default"/>
      </w:rPr>
    </w:lvl>
  </w:abstractNum>
  <w:abstractNum w:abstractNumId="12">
    <w:nsid w:val="63C94FF4"/>
    <w:multiLevelType w:val="multilevel"/>
    <w:tmpl w:val="C0A0425C"/>
    <w:lvl w:ilvl="0">
      <w:start w:val="1"/>
      <w:numFmt w:val="decimal"/>
      <w:pStyle w:val="ALMRubrik1"/>
      <w:lvlText w:val="%1"/>
      <w:lvlJc w:val="left"/>
      <w:pPr>
        <w:tabs>
          <w:tab w:val="num" w:pos="574"/>
        </w:tabs>
        <w:ind w:left="574" w:hanging="432"/>
      </w:pPr>
      <w:rPr>
        <w:rFonts w:hint="default"/>
      </w:rPr>
    </w:lvl>
    <w:lvl w:ilvl="1">
      <w:start w:val="1"/>
      <w:numFmt w:val="decimal"/>
      <w:pStyle w:val="ALMRubrik2"/>
      <w:lvlText w:val="%1.%2"/>
      <w:lvlJc w:val="left"/>
      <w:pPr>
        <w:tabs>
          <w:tab w:val="num" w:pos="718"/>
        </w:tabs>
        <w:ind w:left="718" w:hanging="576"/>
      </w:pPr>
      <w:rPr>
        <w:rFonts w:hint="default"/>
      </w:rPr>
    </w:lvl>
    <w:lvl w:ilvl="2">
      <w:start w:val="1"/>
      <w:numFmt w:val="decimal"/>
      <w:pStyle w:val="ALMRubrik3"/>
      <w:lvlText w:val="%1.%2.%3"/>
      <w:lvlJc w:val="left"/>
      <w:pPr>
        <w:tabs>
          <w:tab w:val="num" w:pos="1222"/>
        </w:tabs>
        <w:ind w:left="862" w:hanging="720"/>
      </w:pPr>
      <w:rPr>
        <w:rFonts w:hint="default"/>
      </w:rPr>
    </w:lvl>
    <w:lvl w:ilvl="3">
      <w:start w:val="1"/>
      <w:numFmt w:val="decimal"/>
      <w:lvlText w:val="%1.%2.%3.%4"/>
      <w:lvlJc w:val="left"/>
      <w:pPr>
        <w:tabs>
          <w:tab w:val="num" w:pos="1006"/>
        </w:tabs>
        <w:ind w:left="1006" w:hanging="864"/>
      </w:pPr>
      <w:rPr>
        <w:rFonts w:hint="default"/>
      </w:rPr>
    </w:lvl>
    <w:lvl w:ilvl="4">
      <w:start w:val="1"/>
      <w:numFmt w:val="decimal"/>
      <w:lvlText w:val="%1.%2.%3.%4.%5"/>
      <w:lvlJc w:val="left"/>
      <w:pPr>
        <w:tabs>
          <w:tab w:val="num" w:pos="1150"/>
        </w:tabs>
        <w:ind w:left="1150" w:hanging="1008"/>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abstractNum w:abstractNumId="13">
    <w:nsid w:val="7D0755A4"/>
    <w:multiLevelType w:val="multilevel"/>
    <w:tmpl w:val="39F85FFA"/>
    <w:name w:val="Appendix2"/>
    <w:lvl w:ilvl="0">
      <w:start w:val="1"/>
      <w:numFmt w:val="upperRoman"/>
      <w:lvlText w:val="%1"/>
      <w:lvlJc w:val="left"/>
      <w:pPr>
        <w:tabs>
          <w:tab w:val="num" w:pos="0"/>
        </w:tabs>
        <w:ind w:left="0" w:hanging="648"/>
      </w:pPr>
      <w:rPr>
        <w:rFonts w:ascii="Courier (PCL6)" w:hAnsi="Courier (PCL6)" w:hint="default"/>
        <w:b/>
        <w:i w:val="0"/>
        <w:sz w:val="36"/>
      </w:rPr>
    </w:lvl>
    <w:lvl w:ilvl="1">
      <w:start w:val="1"/>
      <w:numFmt w:val="upperLetter"/>
      <w:lvlText w:val="%1.%2"/>
      <w:lvlJc w:val="left"/>
      <w:pPr>
        <w:tabs>
          <w:tab w:val="num" w:pos="648"/>
        </w:tabs>
        <w:ind w:left="648" w:hanging="1008"/>
      </w:pPr>
    </w:lvl>
    <w:lvl w:ilvl="2">
      <w:start w:val="1"/>
      <w:numFmt w:val="lowerLetter"/>
      <w:lvlText w:val="%1.%2.%3"/>
      <w:lvlJc w:val="left"/>
      <w:pPr>
        <w:tabs>
          <w:tab w:val="num" w:pos="432"/>
        </w:tabs>
        <w:ind w:left="0" w:hanging="648"/>
      </w:pPr>
    </w:lvl>
    <w:lvl w:ilvl="3">
      <w:start w:val="1"/>
      <w:numFmt w:val="decimal"/>
      <w:lvlText w:val="%1.%2.%3.%4"/>
      <w:lvlJc w:val="left"/>
      <w:pPr>
        <w:tabs>
          <w:tab w:val="num" w:pos="144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upperLetter"/>
      <w:suff w:val="space"/>
      <w:lvlText w:val="Appendix %7, "/>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6"/>
  </w:num>
  <w:num w:numId="2">
    <w:abstractNumId w:val="11"/>
  </w:num>
  <w:num w:numId="3">
    <w:abstractNumId w:val="2"/>
  </w:num>
  <w:num w:numId="4">
    <w:abstractNumId w:val="12"/>
  </w:num>
  <w:num w:numId="5">
    <w:abstractNumId w:val="4"/>
  </w:num>
  <w:num w:numId="6">
    <w:abstractNumId w:val="8"/>
  </w:num>
  <w:num w:numId="7">
    <w:abstractNumId w:val="12"/>
  </w:num>
  <w:num w:numId="8">
    <w:abstractNumId w:val="10"/>
  </w:num>
  <w:num w:numId="9">
    <w:abstractNumId w:val="3"/>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num>
  <w:num w:numId="15">
    <w:abstractNumId w:val="6"/>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431"/>
  <w:hyphenationZone w:val="425"/>
  <w:drawingGridHorizontalSpacing w:val="120"/>
  <w:drawingGridVerticalSpacing w:val="181"/>
  <w:displayHorizontalDrawingGridEvery w:val="0"/>
  <w:displayVerticalDrawingGridEvery w:val="0"/>
  <w:noPunctuationKerning/>
  <w:characterSpacingControl w:val="doNotCompress"/>
  <w:hdrShapeDefaults>
    <o:shapedefaults v:ext="edit" spidmax="74753" fill="f" fillcolor="white" stroke="f">
      <v:fill color="white" on="f"/>
      <v:stroke on="f"/>
      <o:colormru v:ext="edit" colors="#c30808,#00137b,#ca2918,#e3e2db,#6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E44"/>
    <w:rsid w:val="00000850"/>
    <w:rsid w:val="00000C9C"/>
    <w:rsid w:val="00001EE8"/>
    <w:rsid w:val="00002984"/>
    <w:rsid w:val="00002BEC"/>
    <w:rsid w:val="00002DDC"/>
    <w:rsid w:val="00003F0E"/>
    <w:rsid w:val="00004043"/>
    <w:rsid w:val="0000431E"/>
    <w:rsid w:val="00005291"/>
    <w:rsid w:val="0000587A"/>
    <w:rsid w:val="00005B94"/>
    <w:rsid w:val="000064F2"/>
    <w:rsid w:val="000067A1"/>
    <w:rsid w:val="00006BF1"/>
    <w:rsid w:val="00006EFD"/>
    <w:rsid w:val="00007039"/>
    <w:rsid w:val="0000719F"/>
    <w:rsid w:val="00007750"/>
    <w:rsid w:val="00007EB8"/>
    <w:rsid w:val="00010B38"/>
    <w:rsid w:val="0001170B"/>
    <w:rsid w:val="00011820"/>
    <w:rsid w:val="00011A2B"/>
    <w:rsid w:val="00011A42"/>
    <w:rsid w:val="00011BD2"/>
    <w:rsid w:val="00011D1F"/>
    <w:rsid w:val="000120FF"/>
    <w:rsid w:val="000131A7"/>
    <w:rsid w:val="000132E4"/>
    <w:rsid w:val="00013D3C"/>
    <w:rsid w:val="0001405E"/>
    <w:rsid w:val="0001424C"/>
    <w:rsid w:val="0001462F"/>
    <w:rsid w:val="00014A01"/>
    <w:rsid w:val="00014F1A"/>
    <w:rsid w:val="000151C1"/>
    <w:rsid w:val="0001570D"/>
    <w:rsid w:val="000159DE"/>
    <w:rsid w:val="00015D35"/>
    <w:rsid w:val="000163BD"/>
    <w:rsid w:val="00016657"/>
    <w:rsid w:val="00016BDB"/>
    <w:rsid w:val="00016D64"/>
    <w:rsid w:val="0001741A"/>
    <w:rsid w:val="00017A8B"/>
    <w:rsid w:val="00021118"/>
    <w:rsid w:val="00021AE2"/>
    <w:rsid w:val="00021DCC"/>
    <w:rsid w:val="00021F34"/>
    <w:rsid w:val="0002415B"/>
    <w:rsid w:val="00024617"/>
    <w:rsid w:val="0002592B"/>
    <w:rsid w:val="00025DA0"/>
    <w:rsid w:val="00027C3A"/>
    <w:rsid w:val="000300FD"/>
    <w:rsid w:val="000301ED"/>
    <w:rsid w:val="0003164E"/>
    <w:rsid w:val="000318C8"/>
    <w:rsid w:val="00031ECE"/>
    <w:rsid w:val="0003216D"/>
    <w:rsid w:val="00032A19"/>
    <w:rsid w:val="00033670"/>
    <w:rsid w:val="00034565"/>
    <w:rsid w:val="00035218"/>
    <w:rsid w:val="0003559F"/>
    <w:rsid w:val="00036705"/>
    <w:rsid w:val="0003694F"/>
    <w:rsid w:val="0003770B"/>
    <w:rsid w:val="000405CD"/>
    <w:rsid w:val="00040930"/>
    <w:rsid w:val="00040C55"/>
    <w:rsid w:val="00041203"/>
    <w:rsid w:val="000413DD"/>
    <w:rsid w:val="0004209A"/>
    <w:rsid w:val="00042D8E"/>
    <w:rsid w:val="0004362C"/>
    <w:rsid w:val="00043C51"/>
    <w:rsid w:val="00043D71"/>
    <w:rsid w:val="00044050"/>
    <w:rsid w:val="00044173"/>
    <w:rsid w:val="000444E6"/>
    <w:rsid w:val="00044F17"/>
    <w:rsid w:val="00044F43"/>
    <w:rsid w:val="00044FB4"/>
    <w:rsid w:val="00045062"/>
    <w:rsid w:val="00045C35"/>
    <w:rsid w:val="00046AD1"/>
    <w:rsid w:val="000479C2"/>
    <w:rsid w:val="0005009A"/>
    <w:rsid w:val="00050B50"/>
    <w:rsid w:val="00051B8B"/>
    <w:rsid w:val="00051B9D"/>
    <w:rsid w:val="00051C96"/>
    <w:rsid w:val="00052613"/>
    <w:rsid w:val="00052A08"/>
    <w:rsid w:val="00052E9A"/>
    <w:rsid w:val="00053B01"/>
    <w:rsid w:val="00054006"/>
    <w:rsid w:val="00054B72"/>
    <w:rsid w:val="00054F42"/>
    <w:rsid w:val="00055282"/>
    <w:rsid w:val="000558C0"/>
    <w:rsid w:val="00055C01"/>
    <w:rsid w:val="00055D66"/>
    <w:rsid w:val="00055DFF"/>
    <w:rsid w:val="0005637D"/>
    <w:rsid w:val="00056394"/>
    <w:rsid w:val="00056D49"/>
    <w:rsid w:val="00057070"/>
    <w:rsid w:val="00060C59"/>
    <w:rsid w:val="00060EA8"/>
    <w:rsid w:val="00061443"/>
    <w:rsid w:val="00061666"/>
    <w:rsid w:val="0006169F"/>
    <w:rsid w:val="00061A93"/>
    <w:rsid w:val="00061D8D"/>
    <w:rsid w:val="00062136"/>
    <w:rsid w:val="00062722"/>
    <w:rsid w:val="00062766"/>
    <w:rsid w:val="00062842"/>
    <w:rsid w:val="00062EF0"/>
    <w:rsid w:val="00063192"/>
    <w:rsid w:val="00063510"/>
    <w:rsid w:val="00063873"/>
    <w:rsid w:val="00063925"/>
    <w:rsid w:val="00064036"/>
    <w:rsid w:val="000643A1"/>
    <w:rsid w:val="00064C4E"/>
    <w:rsid w:val="00065375"/>
    <w:rsid w:val="00065535"/>
    <w:rsid w:val="00065885"/>
    <w:rsid w:val="00065989"/>
    <w:rsid w:val="00065CB6"/>
    <w:rsid w:val="00066569"/>
    <w:rsid w:val="00066F67"/>
    <w:rsid w:val="0006750C"/>
    <w:rsid w:val="00070483"/>
    <w:rsid w:val="00070C1D"/>
    <w:rsid w:val="00071256"/>
    <w:rsid w:val="00071540"/>
    <w:rsid w:val="00071714"/>
    <w:rsid w:val="00072116"/>
    <w:rsid w:val="00072A86"/>
    <w:rsid w:val="00072CF4"/>
    <w:rsid w:val="000731A7"/>
    <w:rsid w:val="00074643"/>
    <w:rsid w:val="00074D22"/>
    <w:rsid w:val="00076DF8"/>
    <w:rsid w:val="0007723A"/>
    <w:rsid w:val="0008080D"/>
    <w:rsid w:val="00081A13"/>
    <w:rsid w:val="000824FA"/>
    <w:rsid w:val="000834AE"/>
    <w:rsid w:val="0008441E"/>
    <w:rsid w:val="00084AC2"/>
    <w:rsid w:val="000852A2"/>
    <w:rsid w:val="00085874"/>
    <w:rsid w:val="0008631F"/>
    <w:rsid w:val="0008671F"/>
    <w:rsid w:val="00086724"/>
    <w:rsid w:val="00086953"/>
    <w:rsid w:val="00086A3B"/>
    <w:rsid w:val="00086FC6"/>
    <w:rsid w:val="0008746F"/>
    <w:rsid w:val="00087567"/>
    <w:rsid w:val="00087D32"/>
    <w:rsid w:val="00090B0D"/>
    <w:rsid w:val="00090C02"/>
    <w:rsid w:val="00091466"/>
    <w:rsid w:val="00091A78"/>
    <w:rsid w:val="00091BE8"/>
    <w:rsid w:val="00092501"/>
    <w:rsid w:val="000925A2"/>
    <w:rsid w:val="00092BC6"/>
    <w:rsid w:val="000932DA"/>
    <w:rsid w:val="00093C3E"/>
    <w:rsid w:val="00093D67"/>
    <w:rsid w:val="000949A6"/>
    <w:rsid w:val="000949E0"/>
    <w:rsid w:val="00095932"/>
    <w:rsid w:val="00095EB4"/>
    <w:rsid w:val="00095F59"/>
    <w:rsid w:val="00096055"/>
    <w:rsid w:val="00096279"/>
    <w:rsid w:val="0009633B"/>
    <w:rsid w:val="000978E7"/>
    <w:rsid w:val="00097A8B"/>
    <w:rsid w:val="00097EBF"/>
    <w:rsid w:val="000A0298"/>
    <w:rsid w:val="000A044B"/>
    <w:rsid w:val="000A04E9"/>
    <w:rsid w:val="000A097E"/>
    <w:rsid w:val="000A0ED1"/>
    <w:rsid w:val="000A0F42"/>
    <w:rsid w:val="000A1063"/>
    <w:rsid w:val="000A1A0C"/>
    <w:rsid w:val="000A1C15"/>
    <w:rsid w:val="000A214C"/>
    <w:rsid w:val="000A24EF"/>
    <w:rsid w:val="000A2572"/>
    <w:rsid w:val="000A2847"/>
    <w:rsid w:val="000A33C9"/>
    <w:rsid w:val="000A3B29"/>
    <w:rsid w:val="000A3C7E"/>
    <w:rsid w:val="000A3D62"/>
    <w:rsid w:val="000A3DC6"/>
    <w:rsid w:val="000A4006"/>
    <w:rsid w:val="000A469F"/>
    <w:rsid w:val="000A4701"/>
    <w:rsid w:val="000A47B2"/>
    <w:rsid w:val="000A5522"/>
    <w:rsid w:val="000A5A9E"/>
    <w:rsid w:val="000A5EA9"/>
    <w:rsid w:val="000A7497"/>
    <w:rsid w:val="000A7661"/>
    <w:rsid w:val="000A77B4"/>
    <w:rsid w:val="000B03F2"/>
    <w:rsid w:val="000B064F"/>
    <w:rsid w:val="000B149E"/>
    <w:rsid w:val="000B1614"/>
    <w:rsid w:val="000B1C5F"/>
    <w:rsid w:val="000B1E41"/>
    <w:rsid w:val="000B2369"/>
    <w:rsid w:val="000B2CF7"/>
    <w:rsid w:val="000B37D0"/>
    <w:rsid w:val="000B4631"/>
    <w:rsid w:val="000B4C74"/>
    <w:rsid w:val="000B538F"/>
    <w:rsid w:val="000B5505"/>
    <w:rsid w:val="000B5D12"/>
    <w:rsid w:val="000B6D63"/>
    <w:rsid w:val="000B7375"/>
    <w:rsid w:val="000B7439"/>
    <w:rsid w:val="000B75A2"/>
    <w:rsid w:val="000C0B6F"/>
    <w:rsid w:val="000C108F"/>
    <w:rsid w:val="000C1149"/>
    <w:rsid w:val="000C13F5"/>
    <w:rsid w:val="000C1D97"/>
    <w:rsid w:val="000C1F66"/>
    <w:rsid w:val="000C2D99"/>
    <w:rsid w:val="000C316D"/>
    <w:rsid w:val="000C31A7"/>
    <w:rsid w:val="000C32D5"/>
    <w:rsid w:val="000C3340"/>
    <w:rsid w:val="000C337E"/>
    <w:rsid w:val="000C3415"/>
    <w:rsid w:val="000C3BD6"/>
    <w:rsid w:val="000C42C6"/>
    <w:rsid w:val="000C4D76"/>
    <w:rsid w:val="000C5367"/>
    <w:rsid w:val="000C6567"/>
    <w:rsid w:val="000C68F7"/>
    <w:rsid w:val="000C68FC"/>
    <w:rsid w:val="000C6CB1"/>
    <w:rsid w:val="000C78F8"/>
    <w:rsid w:val="000C7AA2"/>
    <w:rsid w:val="000C7E26"/>
    <w:rsid w:val="000D09F3"/>
    <w:rsid w:val="000D0D85"/>
    <w:rsid w:val="000D0F3B"/>
    <w:rsid w:val="000D0F99"/>
    <w:rsid w:val="000D2A24"/>
    <w:rsid w:val="000D39DB"/>
    <w:rsid w:val="000D3D8A"/>
    <w:rsid w:val="000D3EA4"/>
    <w:rsid w:val="000D3F7C"/>
    <w:rsid w:val="000D3FB3"/>
    <w:rsid w:val="000D415F"/>
    <w:rsid w:val="000D4CF4"/>
    <w:rsid w:val="000D5414"/>
    <w:rsid w:val="000D5490"/>
    <w:rsid w:val="000D56FF"/>
    <w:rsid w:val="000D5884"/>
    <w:rsid w:val="000D6319"/>
    <w:rsid w:val="000D65B6"/>
    <w:rsid w:val="000D6747"/>
    <w:rsid w:val="000D6A97"/>
    <w:rsid w:val="000D6B6C"/>
    <w:rsid w:val="000D6CEF"/>
    <w:rsid w:val="000D6D34"/>
    <w:rsid w:val="000D72AF"/>
    <w:rsid w:val="000D793F"/>
    <w:rsid w:val="000E09FA"/>
    <w:rsid w:val="000E0C1D"/>
    <w:rsid w:val="000E12D2"/>
    <w:rsid w:val="000E16CC"/>
    <w:rsid w:val="000E1AF3"/>
    <w:rsid w:val="000E2561"/>
    <w:rsid w:val="000E307D"/>
    <w:rsid w:val="000E3110"/>
    <w:rsid w:val="000E32F7"/>
    <w:rsid w:val="000E3E81"/>
    <w:rsid w:val="000E423B"/>
    <w:rsid w:val="000E5737"/>
    <w:rsid w:val="000E5ADD"/>
    <w:rsid w:val="000E659B"/>
    <w:rsid w:val="000E69C7"/>
    <w:rsid w:val="000E6B53"/>
    <w:rsid w:val="000E7978"/>
    <w:rsid w:val="000E7AE6"/>
    <w:rsid w:val="000E7E5C"/>
    <w:rsid w:val="000E7FAF"/>
    <w:rsid w:val="000F006B"/>
    <w:rsid w:val="000F03EB"/>
    <w:rsid w:val="000F1122"/>
    <w:rsid w:val="000F1E98"/>
    <w:rsid w:val="000F2919"/>
    <w:rsid w:val="000F2A3E"/>
    <w:rsid w:val="000F3177"/>
    <w:rsid w:val="000F3958"/>
    <w:rsid w:val="000F3DE6"/>
    <w:rsid w:val="000F450E"/>
    <w:rsid w:val="000F47E9"/>
    <w:rsid w:val="000F4913"/>
    <w:rsid w:val="000F5397"/>
    <w:rsid w:val="000F53C0"/>
    <w:rsid w:val="000F6E0A"/>
    <w:rsid w:val="00100E46"/>
    <w:rsid w:val="00100F76"/>
    <w:rsid w:val="001014FD"/>
    <w:rsid w:val="00101C46"/>
    <w:rsid w:val="001030DC"/>
    <w:rsid w:val="001031CF"/>
    <w:rsid w:val="00103EBC"/>
    <w:rsid w:val="0010400F"/>
    <w:rsid w:val="00104493"/>
    <w:rsid w:val="00104D88"/>
    <w:rsid w:val="001053CE"/>
    <w:rsid w:val="001059E3"/>
    <w:rsid w:val="00105BC9"/>
    <w:rsid w:val="0010658D"/>
    <w:rsid w:val="001069D5"/>
    <w:rsid w:val="00106CE2"/>
    <w:rsid w:val="0010716E"/>
    <w:rsid w:val="0010718D"/>
    <w:rsid w:val="001072C9"/>
    <w:rsid w:val="00110B35"/>
    <w:rsid w:val="00110F5B"/>
    <w:rsid w:val="001117FB"/>
    <w:rsid w:val="00111F42"/>
    <w:rsid w:val="00112480"/>
    <w:rsid w:val="001134A8"/>
    <w:rsid w:val="00113D08"/>
    <w:rsid w:val="00114210"/>
    <w:rsid w:val="00115348"/>
    <w:rsid w:val="0011568E"/>
    <w:rsid w:val="001159A8"/>
    <w:rsid w:val="00115FA5"/>
    <w:rsid w:val="00117F41"/>
    <w:rsid w:val="0012037A"/>
    <w:rsid w:val="00120C59"/>
    <w:rsid w:val="00120D30"/>
    <w:rsid w:val="00120FF6"/>
    <w:rsid w:val="001219B9"/>
    <w:rsid w:val="00121BEE"/>
    <w:rsid w:val="0012208E"/>
    <w:rsid w:val="001222CE"/>
    <w:rsid w:val="0012233F"/>
    <w:rsid w:val="00122CBC"/>
    <w:rsid w:val="00123B45"/>
    <w:rsid w:val="00123BFD"/>
    <w:rsid w:val="0012452D"/>
    <w:rsid w:val="00124650"/>
    <w:rsid w:val="00124B37"/>
    <w:rsid w:val="00124F0E"/>
    <w:rsid w:val="00125096"/>
    <w:rsid w:val="00125375"/>
    <w:rsid w:val="00125727"/>
    <w:rsid w:val="0012573D"/>
    <w:rsid w:val="001258E0"/>
    <w:rsid w:val="00126148"/>
    <w:rsid w:val="001266A2"/>
    <w:rsid w:val="001269CC"/>
    <w:rsid w:val="00130331"/>
    <w:rsid w:val="00130492"/>
    <w:rsid w:val="00130AA0"/>
    <w:rsid w:val="001310FE"/>
    <w:rsid w:val="0013386B"/>
    <w:rsid w:val="00133C32"/>
    <w:rsid w:val="00133EF5"/>
    <w:rsid w:val="00134569"/>
    <w:rsid w:val="00134668"/>
    <w:rsid w:val="001347D8"/>
    <w:rsid w:val="00134A91"/>
    <w:rsid w:val="0013627F"/>
    <w:rsid w:val="0013672E"/>
    <w:rsid w:val="00136C37"/>
    <w:rsid w:val="00136D6E"/>
    <w:rsid w:val="0013781E"/>
    <w:rsid w:val="001406C7"/>
    <w:rsid w:val="00140D18"/>
    <w:rsid w:val="00140E40"/>
    <w:rsid w:val="00141406"/>
    <w:rsid w:val="00141722"/>
    <w:rsid w:val="00141AC0"/>
    <w:rsid w:val="00142425"/>
    <w:rsid w:val="00142471"/>
    <w:rsid w:val="001424FD"/>
    <w:rsid w:val="0014344A"/>
    <w:rsid w:val="00143557"/>
    <w:rsid w:val="001437DF"/>
    <w:rsid w:val="00143FF8"/>
    <w:rsid w:val="001441DF"/>
    <w:rsid w:val="00144392"/>
    <w:rsid w:val="00144E43"/>
    <w:rsid w:val="00144F70"/>
    <w:rsid w:val="0014515E"/>
    <w:rsid w:val="00145935"/>
    <w:rsid w:val="00146470"/>
    <w:rsid w:val="00146477"/>
    <w:rsid w:val="00147170"/>
    <w:rsid w:val="001472BD"/>
    <w:rsid w:val="0014763C"/>
    <w:rsid w:val="001515BC"/>
    <w:rsid w:val="0015183C"/>
    <w:rsid w:val="0015206B"/>
    <w:rsid w:val="001520A3"/>
    <w:rsid w:val="0015219C"/>
    <w:rsid w:val="001523AE"/>
    <w:rsid w:val="001524E6"/>
    <w:rsid w:val="00152A95"/>
    <w:rsid w:val="001533F4"/>
    <w:rsid w:val="00153527"/>
    <w:rsid w:val="0015363C"/>
    <w:rsid w:val="0015381F"/>
    <w:rsid w:val="001539BA"/>
    <w:rsid w:val="00153DC4"/>
    <w:rsid w:val="001543B2"/>
    <w:rsid w:val="00154532"/>
    <w:rsid w:val="00155387"/>
    <w:rsid w:val="001558D4"/>
    <w:rsid w:val="00155A73"/>
    <w:rsid w:val="00155C7E"/>
    <w:rsid w:val="001562EB"/>
    <w:rsid w:val="0016004D"/>
    <w:rsid w:val="001603F3"/>
    <w:rsid w:val="00160623"/>
    <w:rsid w:val="00161DD2"/>
    <w:rsid w:val="00161EF5"/>
    <w:rsid w:val="00162565"/>
    <w:rsid w:val="00162721"/>
    <w:rsid w:val="00163D7E"/>
    <w:rsid w:val="00163F57"/>
    <w:rsid w:val="00164A55"/>
    <w:rsid w:val="00164E56"/>
    <w:rsid w:val="00165758"/>
    <w:rsid w:val="00165D5F"/>
    <w:rsid w:val="00165DAF"/>
    <w:rsid w:val="0016602B"/>
    <w:rsid w:val="001679D6"/>
    <w:rsid w:val="001702E9"/>
    <w:rsid w:val="00170742"/>
    <w:rsid w:val="00170BC5"/>
    <w:rsid w:val="00171C9F"/>
    <w:rsid w:val="00172842"/>
    <w:rsid w:val="00172FF5"/>
    <w:rsid w:val="00173EE8"/>
    <w:rsid w:val="00174FF2"/>
    <w:rsid w:val="001752F2"/>
    <w:rsid w:val="00175351"/>
    <w:rsid w:val="00175633"/>
    <w:rsid w:val="00175FD4"/>
    <w:rsid w:val="00176468"/>
    <w:rsid w:val="0017668F"/>
    <w:rsid w:val="00176C04"/>
    <w:rsid w:val="0017708F"/>
    <w:rsid w:val="00177D4E"/>
    <w:rsid w:val="00180155"/>
    <w:rsid w:val="0018055D"/>
    <w:rsid w:val="001807FF"/>
    <w:rsid w:val="001815FF"/>
    <w:rsid w:val="00181AD4"/>
    <w:rsid w:val="00182095"/>
    <w:rsid w:val="00182758"/>
    <w:rsid w:val="0018285E"/>
    <w:rsid w:val="00182A18"/>
    <w:rsid w:val="00182B6A"/>
    <w:rsid w:val="00183450"/>
    <w:rsid w:val="00183DA1"/>
    <w:rsid w:val="00183DF9"/>
    <w:rsid w:val="001843BE"/>
    <w:rsid w:val="00184F88"/>
    <w:rsid w:val="00185BFE"/>
    <w:rsid w:val="00185E41"/>
    <w:rsid w:val="00186502"/>
    <w:rsid w:val="001866C3"/>
    <w:rsid w:val="00186DAA"/>
    <w:rsid w:val="00186FB9"/>
    <w:rsid w:val="001873D7"/>
    <w:rsid w:val="00187663"/>
    <w:rsid w:val="00187A92"/>
    <w:rsid w:val="0019084D"/>
    <w:rsid w:val="001908E4"/>
    <w:rsid w:val="00190C1C"/>
    <w:rsid w:val="00191362"/>
    <w:rsid w:val="00191723"/>
    <w:rsid w:val="00192954"/>
    <w:rsid w:val="00192FE1"/>
    <w:rsid w:val="00193BE0"/>
    <w:rsid w:val="001943AF"/>
    <w:rsid w:val="001944DB"/>
    <w:rsid w:val="00194A19"/>
    <w:rsid w:val="001950AC"/>
    <w:rsid w:val="001951CD"/>
    <w:rsid w:val="00195806"/>
    <w:rsid w:val="00195B12"/>
    <w:rsid w:val="00195F24"/>
    <w:rsid w:val="0019694B"/>
    <w:rsid w:val="00196EF2"/>
    <w:rsid w:val="00197151"/>
    <w:rsid w:val="001979D4"/>
    <w:rsid w:val="00197A55"/>
    <w:rsid w:val="00197D8A"/>
    <w:rsid w:val="001A00BD"/>
    <w:rsid w:val="001A09F5"/>
    <w:rsid w:val="001A0AC7"/>
    <w:rsid w:val="001A0B8A"/>
    <w:rsid w:val="001A0D08"/>
    <w:rsid w:val="001A28B8"/>
    <w:rsid w:val="001A396C"/>
    <w:rsid w:val="001A3BB9"/>
    <w:rsid w:val="001A4930"/>
    <w:rsid w:val="001A4CF3"/>
    <w:rsid w:val="001A4E25"/>
    <w:rsid w:val="001A520C"/>
    <w:rsid w:val="001A5D3D"/>
    <w:rsid w:val="001A60BF"/>
    <w:rsid w:val="001A6319"/>
    <w:rsid w:val="001A68FA"/>
    <w:rsid w:val="001A69AD"/>
    <w:rsid w:val="001A6AF7"/>
    <w:rsid w:val="001A6EFD"/>
    <w:rsid w:val="001A705D"/>
    <w:rsid w:val="001A7236"/>
    <w:rsid w:val="001A7C60"/>
    <w:rsid w:val="001A7D90"/>
    <w:rsid w:val="001B03C1"/>
    <w:rsid w:val="001B078A"/>
    <w:rsid w:val="001B09E8"/>
    <w:rsid w:val="001B101C"/>
    <w:rsid w:val="001B1456"/>
    <w:rsid w:val="001B1664"/>
    <w:rsid w:val="001B20DF"/>
    <w:rsid w:val="001B216A"/>
    <w:rsid w:val="001B331D"/>
    <w:rsid w:val="001B373D"/>
    <w:rsid w:val="001B3835"/>
    <w:rsid w:val="001B4345"/>
    <w:rsid w:val="001B4D03"/>
    <w:rsid w:val="001B51A9"/>
    <w:rsid w:val="001B5510"/>
    <w:rsid w:val="001B57EF"/>
    <w:rsid w:val="001B64CD"/>
    <w:rsid w:val="001B699A"/>
    <w:rsid w:val="001B6ACD"/>
    <w:rsid w:val="001B7BB1"/>
    <w:rsid w:val="001B7E53"/>
    <w:rsid w:val="001C0184"/>
    <w:rsid w:val="001C0DEC"/>
    <w:rsid w:val="001C1177"/>
    <w:rsid w:val="001C13F4"/>
    <w:rsid w:val="001C1469"/>
    <w:rsid w:val="001C27AD"/>
    <w:rsid w:val="001C2FAB"/>
    <w:rsid w:val="001C333E"/>
    <w:rsid w:val="001C3F32"/>
    <w:rsid w:val="001C482C"/>
    <w:rsid w:val="001C4A15"/>
    <w:rsid w:val="001C4A75"/>
    <w:rsid w:val="001C4B2E"/>
    <w:rsid w:val="001C535D"/>
    <w:rsid w:val="001C5BAA"/>
    <w:rsid w:val="001C6086"/>
    <w:rsid w:val="001C6255"/>
    <w:rsid w:val="001C62A6"/>
    <w:rsid w:val="001C65AE"/>
    <w:rsid w:val="001C65C0"/>
    <w:rsid w:val="001C68DD"/>
    <w:rsid w:val="001C6D4E"/>
    <w:rsid w:val="001C75CE"/>
    <w:rsid w:val="001D0F29"/>
    <w:rsid w:val="001D0FEC"/>
    <w:rsid w:val="001D25A1"/>
    <w:rsid w:val="001D28C3"/>
    <w:rsid w:val="001D2F8B"/>
    <w:rsid w:val="001D3217"/>
    <w:rsid w:val="001D35B7"/>
    <w:rsid w:val="001D47AB"/>
    <w:rsid w:val="001D51D5"/>
    <w:rsid w:val="001D55FD"/>
    <w:rsid w:val="001D5B8A"/>
    <w:rsid w:val="001D6126"/>
    <w:rsid w:val="001D6275"/>
    <w:rsid w:val="001D67DA"/>
    <w:rsid w:val="001D7076"/>
    <w:rsid w:val="001D7213"/>
    <w:rsid w:val="001D7786"/>
    <w:rsid w:val="001E07FC"/>
    <w:rsid w:val="001E0FD5"/>
    <w:rsid w:val="001E10FA"/>
    <w:rsid w:val="001E143E"/>
    <w:rsid w:val="001E1448"/>
    <w:rsid w:val="001E1647"/>
    <w:rsid w:val="001E1C6D"/>
    <w:rsid w:val="001E203A"/>
    <w:rsid w:val="001E2142"/>
    <w:rsid w:val="001E216C"/>
    <w:rsid w:val="001E2A7E"/>
    <w:rsid w:val="001E3049"/>
    <w:rsid w:val="001E322A"/>
    <w:rsid w:val="001E32C6"/>
    <w:rsid w:val="001E3684"/>
    <w:rsid w:val="001E4553"/>
    <w:rsid w:val="001E568C"/>
    <w:rsid w:val="001E5DF2"/>
    <w:rsid w:val="001E7E43"/>
    <w:rsid w:val="001F0E33"/>
    <w:rsid w:val="001F0FBC"/>
    <w:rsid w:val="001F184A"/>
    <w:rsid w:val="001F1FBD"/>
    <w:rsid w:val="001F2971"/>
    <w:rsid w:val="001F2B9F"/>
    <w:rsid w:val="001F2D06"/>
    <w:rsid w:val="001F35AE"/>
    <w:rsid w:val="001F4FD8"/>
    <w:rsid w:val="001F522C"/>
    <w:rsid w:val="001F56DD"/>
    <w:rsid w:val="001F5759"/>
    <w:rsid w:val="001F73ED"/>
    <w:rsid w:val="001F7D8B"/>
    <w:rsid w:val="00200274"/>
    <w:rsid w:val="002005FC"/>
    <w:rsid w:val="0020117F"/>
    <w:rsid w:val="0020143A"/>
    <w:rsid w:val="002024D4"/>
    <w:rsid w:val="00202BA8"/>
    <w:rsid w:val="00203398"/>
    <w:rsid w:val="0020538F"/>
    <w:rsid w:val="002058D8"/>
    <w:rsid w:val="002060A1"/>
    <w:rsid w:val="00206DE4"/>
    <w:rsid w:val="0020771A"/>
    <w:rsid w:val="00207BC3"/>
    <w:rsid w:val="00210704"/>
    <w:rsid w:val="0021121F"/>
    <w:rsid w:val="0021131C"/>
    <w:rsid w:val="002118B8"/>
    <w:rsid w:val="00211CA6"/>
    <w:rsid w:val="00212042"/>
    <w:rsid w:val="00212226"/>
    <w:rsid w:val="00212F20"/>
    <w:rsid w:val="0021381D"/>
    <w:rsid w:val="00213A77"/>
    <w:rsid w:val="00213B94"/>
    <w:rsid w:val="002143C4"/>
    <w:rsid w:val="0021467C"/>
    <w:rsid w:val="00214AE1"/>
    <w:rsid w:val="00214CB1"/>
    <w:rsid w:val="00214DC6"/>
    <w:rsid w:val="0021503A"/>
    <w:rsid w:val="002153B6"/>
    <w:rsid w:val="0021552E"/>
    <w:rsid w:val="0021566F"/>
    <w:rsid w:val="00215BED"/>
    <w:rsid w:val="00216CB2"/>
    <w:rsid w:val="00216D34"/>
    <w:rsid w:val="0022000F"/>
    <w:rsid w:val="00220318"/>
    <w:rsid w:val="002204A7"/>
    <w:rsid w:val="0022074D"/>
    <w:rsid w:val="00220859"/>
    <w:rsid w:val="00220F60"/>
    <w:rsid w:val="002213DF"/>
    <w:rsid w:val="00221B76"/>
    <w:rsid w:val="00221BAF"/>
    <w:rsid w:val="00221E81"/>
    <w:rsid w:val="00222D41"/>
    <w:rsid w:val="00223003"/>
    <w:rsid w:val="002231DC"/>
    <w:rsid w:val="002237C6"/>
    <w:rsid w:val="00224C5A"/>
    <w:rsid w:val="002251B7"/>
    <w:rsid w:val="002251DF"/>
    <w:rsid w:val="00225E0B"/>
    <w:rsid w:val="00225F5F"/>
    <w:rsid w:val="0022661C"/>
    <w:rsid w:val="00226F87"/>
    <w:rsid w:val="00227CD1"/>
    <w:rsid w:val="00230249"/>
    <w:rsid w:val="00230573"/>
    <w:rsid w:val="00231421"/>
    <w:rsid w:val="002319F6"/>
    <w:rsid w:val="00231B82"/>
    <w:rsid w:val="002322DC"/>
    <w:rsid w:val="0023274A"/>
    <w:rsid w:val="0023289B"/>
    <w:rsid w:val="00232AB4"/>
    <w:rsid w:val="00233953"/>
    <w:rsid w:val="002356EF"/>
    <w:rsid w:val="00235AF7"/>
    <w:rsid w:val="00236330"/>
    <w:rsid w:val="00236901"/>
    <w:rsid w:val="00236AC9"/>
    <w:rsid w:val="0023710A"/>
    <w:rsid w:val="00237449"/>
    <w:rsid w:val="00237A05"/>
    <w:rsid w:val="00237BDE"/>
    <w:rsid w:val="00237D88"/>
    <w:rsid w:val="00241C01"/>
    <w:rsid w:val="00241FD6"/>
    <w:rsid w:val="0024211B"/>
    <w:rsid w:val="002439F2"/>
    <w:rsid w:val="00243E8B"/>
    <w:rsid w:val="00244315"/>
    <w:rsid w:val="00244319"/>
    <w:rsid w:val="002443D6"/>
    <w:rsid w:val="002446DB"/>
    <w:rsid w:val="002448D5"/>
    <w:rsid w:val="0024500A"/>
    <w:rsid w:val="00245834"/>
    <w:rsid w:val="002461E7"/>
    <w:rsid w:val="002466A1"/>
    <w:rsid w:val="00247770"/>
    <w:rsid w:val="00250682"/>
    <w:rsid w:val="0025071E"/>
    <w:rsid w:val="002509F9"/>
    <w:rsid w:val="00250CD2"/>
    <w:rsid w:val="00250E88"/>
    <w:rsid w:val="00250F6B"/>
    <w:rsid w:val="00251C49"/>
    <w:rsid w:val="002521A3"/>
    <w:rsid w:val="002526F2"/>
    <w:rsid w:val="00252AD8"/>
    <w:rsid w:val="00252B90"/>
    <w:rsid w:val="00252E24"/>
    <w:rsid w:val="002531E5"/>
    <w:rsid w:val="00253207"/>
    <w:rsid w:val="00253252"/>
    <w:rsid w:val="00254378"/>
    <w:rsid w:val="0025450E"/>
    <w:rsid w:val="00254A50"/>
    <w:rsid w:val="00254B24"/>
    <w:rsid w:val="00254B62"/>
    <w:rsid w:val="00254BDD"/>
    <w:rsid w:val="00254E7E"/>
    <w:rsid w:val="00254F68"/>
    <w:rsid w:val="00255509"/>
    <w:rsid w:val="00255FF0"/>
    <w:rsid w:val="002567D1"/>
    <w:rsid w:val="002572DE"/>
    <w:rsid w:val="0026002B"/>
    <w:rsid w:val="002602CB"/>
    <w:rsid w:val="0026053E"/>
    <w:rsid w:val="0026058B"/>
    <w:rsid w:val="00260B1E"/>
    <w:rsid w:val="00261B42"/>
    <w:rsid w:val="00262885"/>
    <w:rsid w:val="00262A17"/>
    <w:rsid w:val="00262EF9"/>
    <w:rsid w:val="002634AA"/>
    <w:rsid w:val="002640DC"/>
    <w:rsid w:val="00264691"/>
    <w:rsid w:val="002651F5"/>
    <w:rsid w:val="00265C06"/>
    <w:rsid w:val="00265D5B"/>
    <w:rsid w:val="0026615B"/>
    <w:rsid w:val="00266AEC"/>
    <w:rsid w:val="00266C1F"/>
    <w:rsid w:val="00266D85"/>
    <w:rsid w:val="00266FF5"/>
    <w:rsid w:val="00267067"/>
    <w:rsid w:val="002671A7"/>
    <w:rsid w:val="00267426"/>
    <w:rsid w:val="00270AA6"/>
    <w:rsid w:val="00270D77"/>
    <w:rsid w:val="00270F78"/>
    <w:rsid w:val="002715FB"/>
    <w:rsid w:val="00271610"/>
    <w:rsid w:val="00271802"/>
    <w:rsid w:val="00271A76"/>
    <w:rsid w:val="00272410"/>
    <w:rsid w:val="00272BD2"/>
    <w:rsid w:val="002739EA"/>
    <w:rsid w:val="00273B17"/>
    <w:rsid w:val="00273B4E"/>
    <w:rsid w:val="00274BF4"/>
    <w:rsid w:val="00274FC7"/>
    <w:rsid w:val="0027507E"/>
    <w:rsid w:val="002750E5"/>
    <w:rsid w:val="00275AD8"/>
    <w:rsid w:val="00275BDE"/>
    <w:rsid w:val="00276213"/>
    <w:rsid w:val="00277457"/>
    <w:rsid w:val="00280724"/>
    <w:rsid w:val="00280C8B"/>
    <w:rsid w:val="00280DF6"/>
    <w:rsid w:val="0028201F"/>
    <w:rsid w:val="002829EA"/>
    <w:rsid w:val="00282B49"/>
    <w:rsid w:val="00283399"/>
    <w:rsid w:val="002836D8"/>
    <w:rsid w:val="00283BEC"/>
    <w:rsid w:val="00283BFC"/>
    <w:rsid w:val="00283EFE"/>
    <w:rsid w:val="0028495F"/>
    <w:rsid w:val="00285268"/>
    <w:rsid w:val="00285291"/>
    <w:rsid w:val="00285383"/>
    <w:rsid w:val="002855CA"/>
    <w:rsid w:val="00285A12"/>
    <w:rsid w:val="00286995"/>
    <w:rsid w:val="0028792B"/>
    <w:rsid w:val="00287CB5"/>
    <w:rsid w:val="0029043C"/>
    <w:rsid w:val="00290CEC"/>
    <w:rsid w:val="00291023"/>
    <w:rsid w:val="00291C7F"/>
    <w:rsid w:val="00293397"/>
    <w:rsid w:val="002934C1"/>
    <w:rsid w:val="00293CD2"/>
    <w:rsid w:val="0029452A"/>
    <w:rsid w:val="00294539"/>
    <w:rsid w:val="002945DB"/>
    <w:rsid w:val="00294993"/>
    <w:rsid w:val="00294B28"/>
    <w:rsid w:val="00294C95"/>
    <w:rsid w:val="002958CE"/>
    <w:rsid w:val="00295BCF"/>
    <w:rsid w:val="00296009"/>
    <w:rsid w:val="00296773"/>
    <w:rsid w:val="00296C61"/>
    <w:rsid w:val="00296C65"/>
    <w:rsid w:val="00297166"/>
    <w:rsid w:val="00297728"/>
    <w:rsid w:val="00297848"/>
    <w:rsid w:val="0029786D"/>
    <w:rsid w:val="00297CF7"/>
    <w:rsid w:val="00297D99"/>
    <w:rsid w:val="00297FBE"/>
    <w:rsid w:val="002A081B"/>
    <w:rsid w:val="002A167F"/>
    <w:rsid w:val="002A1AFC"/>
    <w:rsid w:val="002A25E9"/>
    <w:rsid w:val="002A269B"/>
    <w:rsid w:val="002A2A9C"/>
    <w:rsid w:val="002A2B1B"/>
    <w:rsid w:val="002A2B64"/>
    <w:rsid w:val="002A30AB"/>
    <w:rsid w:val="002A37F7"/>
    <w:rsid w:val="002A3823"/>
    <w:rsid w:val="002A3B54"/>
    <w:rsid w:val="002A3E88"/>
    <w:rsid w:val="002A416B"/>
    <w:rsid w:val="002A44B8"/>
    <w:rsid w:val="002A4992"/>
    <w:rsid w:val="002A4BC1"/>
    <w:rsid w:val="002A4C2A"/>
    <w:rsid w:val="002A4E4B"/>
    <w:rsid w:val="002A4E7F"/>
    <w:rsid w:val="002A5328"/>
    <w:rsid w:val="002A5923"/>
    <w:rsid w:val="002A5D1D"/>
    <w:rsid w:val="002A5D68"/>
    <w:rsid w:val="002A60AF"/>
    <w:rsid w:val="002A631A"/>
    <w:rsid w:val="002A6756"/>
    <w:rsid w:val="002A6CCE"/>
    <w:rsid w:val="002A718A"/>
    <w:rsid w:val="002A73DD"/>
    <w:rsid w:val="002A767E"/>
    <w:rsid w:val="002A7CDA"/>
    <w:rsid w:val="002A7D1C"/>
    <w:rsid w:val="002B02D1"/>
    <w:rsid w:val="002B0FD9"/>
    <w:rsid w:val="002B312C"/>
    <w:rsid w:val="002B3183"/>
    <w:rsid w:val="002B3635"/>
    <w:rsid w:val="002B3BBE"/>
    <w:rsid w:val="002B4922"/>
    <w:rsid w:val="002B4ACD"/>
    <w:rsid w:val="002B513A"/>
    <w:rsid w:val="002B5287"/>
    <w:rsid w:val="002B54C3"/>
    <w:rsid w:val="002B5785"/>
    <w:rsid w:val="002B5F36"/>
    <w:rsid w:val="002B5F66"/>
    <w:rsid w:val="002B601E"/>
    <w:rsid w:val="002B65FB"/>
    <w:rsid w:val="002B6F7E"/>
    <w:rsid w:val="002B6FB8"/>
    <w:rsid w:val="002B7D92"/>
    <w:rsid w:val="002C0D8D"/>
    <w:rsid w:val="002C2324"/>
    <w:rsid w:val="002C331F"/>
    <w:rsid w:val="002C3499"/>
    <w:rsid w:val="002C415D"/>
    <w:rsid w:val="002C42AD"/>
    <w:rsid w:val="002C42ED"/>
    <w:rsid w:val="002C4B28"/>
    <w:rsid w:val="002C4E40"/>
    <w:rsid w:val="002C51DE"/>
    <w:rsid w:val="002C60E3"/>
    <w:rsid w:val="002C635E"/>
    <w:rsid w:val="002C64F3"/>
    <w:rsid w:val="002C6574"/>
    <w:rsid w:val="002C7ECE"/>
    <w:rsid w:val="002C7FAF"/>
    <w:rsid w:val="002D01CD"/>
    <w:rsid w:val="002D0307"/>
    <w:rsid w:val="002D0BA8"/>
    <w:rsid w:val="002D0C53"/>
    <w:rsid w:val="002D1470"/>
    <w:rsid w:val="002D2BB4"/>
    <w:rsid w:val="002D2ECA"/>
    <w:rsid w:val="002D3672"/>
    <w:rsid w:val="002D3C1F"/>
    <w:rsid w:val="002D45C7"/>
    <w:rsid w:val="002D480C"/>
    <w:rsid w:val="002D57CE"/>
    <w:rsid w:val="002D585E"/>
    <w:rsid w:val="002D5DE3"/>
    <w:rsid w:val="002D6055"/>
    <w:rsid w:val="002D68CD"/>
    <w:rsid w:val="002D764D"/>
    <w:rsid w:val="002D7ABA"/>
    <w:rsid w:val="002D7B34"/>
    <w:rsid w:val="002D7B8D"/>
    <w:rsid w:val="002D7BB4"/>
    <w:rsid w:val="002D7BDF"/>
    <w:rsid w:val="002E03E7"/>
    <w:rsid w:val="002E0445"/>
    <w:rsid w:val="002E0697"/>
    <w:rsid w:val="002E1307"/>
    <w:rsid w:val="002E1C74"/>
    <w:rsid w:val="002E1F18"/>
    <w:rsid w:val="002E2BDC"/>
    <w:rsid w:val="002E3F1B"/>
    <w:rsid w:val="002E4600"/>
    <w:rsid w:val="002E4999"/>
    <w:rsid w:val="002E54C9"/>
    <w:rsid w:val="002E6B4C"/>
    <w:rsid w:val="002E6D12"/>
    <w:rsid w:val="002E74C8"/>
    <w:rsid w:val="002E74DF"/>
    <w:rsid w:val="002E7855"/>
    <w:rsid w:val="002F0029"/>
    <w:rsid w:val="002F07C9"/>
    <w:rsid w:val="002F0EBC"/>
    <w:rsid w:val="002F176D"/>
    <w:rsid w:val="002F1D3F"/>
    <w:rsid w:val="002F1F21"/>
    <w:rsid w:val="002F1F98"/>
    <w:rsid w:val="002F222A"/>
    <w:rsid w:val="002F24FE"/>
    <w:rsid w:val="002F278D"/>
    <w:rsid w:val="002F4330"/>
    <w:rsid w:val="002F481F"/>
    <w:rsid w:val="002F5942"/>
    <w:rsid w:val="002F5A31"/>
    <w:rsid w:val="002F6250"/>
    <w:rsid w:val="002F64BE"/>
    <w:rsid w:val="002F692B"/>
    <w:rsid w:val="002F6BCC"/>
    <w:rsid w:val="002F6CFC"/>
    <w:rsid w:val="002F6DA3"/>
    <w:rsid w:val="00300075"/>
    <w:rsid w:val="0030022D"/>
    <w:rsid w:val="00300920"/>
    <w:rsid w:val="00301087"/>
    <w:rsid w:val="003013B5"/>
    <w:rsid w:val="00301B29"/>
    <w:rsid w:val="003028CC"/>
    <w:rsid w:val="00302C61"/>
    <w:rsid w:val="00304057"/>
    <w:rsid w:val="0030429C"/>
    <w:rsid w:val="003046FB"/>
    <w:rsid w:val="003049BD"/>
    <w:rsid w:val="00304CCB"/>
    <w:rsid w:val="0030530D"/>
    <w:rsid w:val="00305AAA"/>
    <w:rsid w:val="00305B71"/>
    <w:rsid w:val="00305B92"/>
    <w:rsid w:val="00305F35"/>
    <w:rsid w:val="003063D1"/>
    <w:rsid w:val="0030651E"/>
    <w:rsid w:val="003067EB"/>
    <w:rsid w:val="003077A3"/>
    <w:rsid w:val="003078BA"/>
    <w:rsid w:val="00307CD4"/>
    <w:rsid w:val="0031144B"/>
    <w:rsid w:val="003118D8"/>
    <w:rsid w:val="00311948"/>
    <w:rsid w:val="00312A64"/>
    <w:rsid w:val="00314005"/>
    <w:rsid w:val="0031460A"/>
    <w:rsid w:val="00314D20"/>
    <w:rsid w:val="00315A85"/>
    <w:rsid w:val="00315DD0"/>
    <w:rsid w:val="00316289"/>
    <w:rsid w:val="00316354"/>
    <w:rsid w:val="003170F8"/>
    <w:rsid w:val="00317414"/>
    <w:rsid w:val="0032103D"/>
    <w:rsid w:val="00321629"/>
    <w:rsid w:val="003218DF"/>
    <w:rsid w:val="003219CC"/>
    <w:rsid w:val="003229C8"/>
    <w:rsid w:val="00322C3B"/>
    <w:rsid w:val="003234EA"/>
    <w:rsid w:val="00323FD7"/>
    <w:rsid w:val="00324119"/>
    <w:rsid w:val="00324258"/>
    <w:rsid w:val="00324C4F"/>
    <w:rsid w:val="00325956"/>
    <w:rsid w:val="00325A2E"/>
    <w:rsid w:val="00326885"/>
    <w:rsid w:val="00326BD1"/>
    <w:rsid w:val="00326D7D"/>
    <w:rsid w:val="00327FBC"/>
    <w:rsid w:val="003302BE"/>
    <w:rsid w:val="00330BA0"/>
    <w:rsid w:val="00330CD4"/>
    <w:rsid w:val="0033173D"/>
    <w:rsid w:val="00331770"/>
    <w:rsid w:val="00331859"/>
    <w:rsid w:val="0033321B"/>
    <w:rsid w:val="003343E9"/>
    <w:rsid w:val="00334AC4"/>
    <w:rsid w:val="00334C55"/>
    <w:rsid w:val="00335CDF"/>
    <w:rsid w:val="00335DF7"/>
    <w:rsid w:val="00335F44"/>
    <w:rsid w:val="00336219"/>
    <w:rsid w:val="003369BA"/>
    <w:rsid w:val="003371D2"/>
    <w:rsid w:val="00337E15"/>
    <w:rsid w:val="00337FD7"/>
    <w:rsid w:val="0034029F"/>
    <w:rsid w:val="0034035A"/>
    <w:rsid w:val="00340892"/>
    <w:rsid w:val="00340AE6"/>
    <w:rsid w:val="00340FC2"/>
    <w:rsid w:val="003410D5"/>
    <w:rsid w:val="00341ADD"/>
    <w:rsid w:val="00341DAA"/>
    <w:rsid w:val="003420E0"/>
    <w:rsid w:val="00342362"/>
    <w:rsid w:val="00342AFC"/>
    <w:rsid w:val="00342B9C"/>
    <w:rsid w:val="00343384"/>
    <w:rsid w:val="00343C0D"/>
    <w:rsid w:val="00344B07"/>
    <w:rsid w:val="00344C32"/>
    <w:rsid w:val="00344E43"/>
    <w:rsid w:val="003459C9"/>
    <w:rsid w:val="00345D36"/>
    <w:rsid w:val="00345DA5"/>
    <w:rsid w:val="00346D1F"/>
    <w:rsid w:val="00346D89"/>
    <w:rsid w:val="00346E62"/>
    <w:rsid w:val="00347561"/>
    <w:rsid w:val="0034770A"/>
    <w:rsid w:val="00350100"/>
    <w:rsid w:val="00350110"/>
    <w:rsid w:val="00350E25"/>
    <w:rsid w:val="0035105A"/>
    <w:rsid w:val="0035106D"/>
    <w:rsid w:val="00351A85"/>
    <w:rsid w:val="00351BAC"/>
    <w:rsid w:val="003521B1"/>
    <w:rsid w:val="003522E8"/>
    <w:rsid w:val="003522EF"/>
    <w:rsid w:val="003528E8"/>
    <w:rsid w:val="00352BE1"/>
    <w:rsid w:val="00352BEB"/>
    <w:rsid w:val="00353170"/>
    <w:rsid w:val="00353B0E"/>
    <w:rsid w:val="00353EB6"/>
    <w:rsid w:val="00353F04"/>
    <w:rsid w:val="00354008"/>
    <w:rsid w:val="00354160"/>
    <w:rsid w:val="003546D2"/>
    <w:rsid w:val="00354701"/>
    <w:rsid w:val="00354776"/>
    <w:rsid w:val="0035620D"/>
    <w:rsid w:val="00356587"/>
    <w:rsid w:val="0035662B"/>
    <w:rsid w:val="00356E0C"/>
    <w:rsid w:val="00356E5A"/>
    <w:rsid w:val="003574EA"/>
    <w:rsid w:val="00357AD1"/>
    <w:rsid w:val="00357EF1"/>
    <w:rsid w:val="00360A1B"/>
    <w:rsid w:val="00361034"/>
    <w:rsid w:val="003613E1"/>
    <w:rsid w:val="00361F9F"/>
    <w:rsid w:val="003631EC"/>
    <w:rsid w:val="0036338D"/>
    <w:rsid w:val="00363C6F"/>
    <w:rsid w:val="00364654"/>
    <w:rsid w:val="00365597"/>
    <w:rsid w:val="00365A48"/>
    <w:rsid w:val="00365D95"/>
    <w:rsid w:val="00366948"/>
    <w:rsid w:val="00366BC8"/>
    <w:rsid w:val="003674A8"/>
    <w:rsid w:val="0037021D"/>
    <w:rsid w:val="00370849"/>
    <w:rsid w:val="00370F8B"/>
    <w:rsid w:val="00370F9B"/>
    <w:rsid w:val="0037118B"/>
    <w:rsid w:val="003713A1"/>
    <w:rsid w:val="00371765"/>
    <w:rsid w:val="00371791"/>
    <w:rsid w:val="0037180E"/>
    <w:rsid w:val="00371F2A"/>
    <w:rsid w:val="00372AEF"/>
    <w:rsid w:val="00372F5F"/>
    <w:rsid w:val="003730E9"/>
    <w:rsid w:val="00373607"/>
    <w:rsid w:val="003739FD"/>
    <w:rsid w:val="00374501"/>
    <w:rsid w:val="00374906"/>
    <w:rsid w:val="003751D8"/>
    <w:rsid w:val="00376706"/>
    <w:rsid w:val="00376D82"/>
    <w:rsid w:val="00377330"/>
    <w:rsid w:val="00377EF0"/>
    <w:rsid w:val="00380090"/>
    <w:rsid w:val="00380213"/>
    <w:rsid w:val="0038069D"/>
    <w:rsid w:val="0038086F"/>
    <w:rsid w:val="003808A5"/>
    <w:rsid w:val="00380AC8"/>
    <w:rsid w:val="00380F47"/>
    <w:rsid w:val="0038174F"/>
    <w:rsid w:val="003818AD"/>
    <w:rsid w:val="0038229D"/>
    <w:rsid w:val="003823D9"/>
    <w:rsid w:val="00382441"/>
    <w:rsid w:val="003824E2"/>
    <w:rsid w:val="00382540"/>
    <w:rsid w:val="0038347F"/>
    <w:rsid w:val="00383B9D"/>
    <w:rsid w:val="003844A6"/>
    <w:rsid w:val="00385F02"/>
    <w:rsid w:val="00385FDE"/>
    <w:rsid w:val="00386780"/>
    <w:rsid w:val="00386A3C"/>
    <w:rsid w:val="003873B0"/>
    <w:rsid w:val="0038773F"/>
    <w:rsid w:val="003877C4"/>
    <w:rsid w:val="003877C7"/>
    <w:rsid w:val="00387A45"/>
    <w:rsid w:val="00387D7E"/>
    <w:rsid w:val="00387DF1"/>
    <w:rsid w:val="00390127"/>
    <w:rsid w:val="003904FA"/>
    <w:rsid w:val="0039111B"/>
    <w:rsid w:val="00392752"/>
    <w:rsid w:val="00393766"/>
    <w:rsid w:val="003938AE"/>
    <w:rsid w:val="00393D9A"/>
    <w:rsid w:val="0039518E"/>
    <w:rsid w:val="00396426"/>
    <w:rsid w:val="00396791"/>
    <w:rsid w:val="00397AA9"/>
    <w:rsid w:val="003A0046"/>
    <w:rsid w:val="003A00E0"/>
    <w:rsid w:val="003A0AB0"/>
    <w:rsid w:val="003A105F"/>
    <w:rsid w:val="003A1199"/>
    <w:rsid w:val="003A1DEA"/>
    <w:rsid w:val="003A23D6"/>
    <w:rsid w:val="003A2508"/>
    <w:rsid w:val="003A40EA"/>
    <w:rsid w:val="003A4FD9"/>
    <w:rsid w:val="003A6EED"/>
    <w:rsid w:val="003A7980"/>
    <w:rsid w:val="003B01A6"/>
    <w:rsid w:val="003B056C"/>
    <w:rsid w:val="003B0C24"/>
    <w:rsid w:val="003B2180"/>
    <w:rsid w:val="003B2240"/>
    <w:rsid w:val="003B2490"/>
    <w:rsid w:val="003B2593"/>
    <w:rsid w:val="003B2D74"/>
    <w:rsid w:val="003B400A"/>
    <w:rsid w:val="003B4837"/>
    <w:rsid w:val="003B5955"/>
    <w:rsid w:val="003B5968"/>
    <w:rsid w:val="003B65BC"/>
    <w:rsid w:val="003B67CC"/>
    <w:rsid w:val="003B6F1C"/>
    <w:rsid w:val="003B72CE"/>
    <w:rsid w:val="003B7361"/>
    <w:rsid w:val="003B7538"/>
    <w:rsid w:val="003B789D"/>
    <w:rsid w:val="003B7B2A"/>
    <w:rsid w:val="003C01A0"/>
    <w:rsid w:val="003C0351"/>
    <w:rsid w:val="003C1174"/>
    <w:rsid w:val="003C126C"/>
    <w:rsid w:val="003C19D9"/>
    <w:rsid w:val="003C2D11"/>
    <w:rsid w:val="003C3025"/>
    <w:rsid w:val="003C30FF"/>
    <w:rsid w:val="003C3B2F"/>
    <w:rsid w:val="003C3EF9"/>
    <w:rsid w:val="003C46F3"/>
    <w:rsid w:val="003C50A1"/>
    <w:rsid w:val="003C6563"/>
    <w:rsid w:val="003C7AE0"/>
    <w:rsid w:val="003C7CF7"/>
    <w:rsid w:val="003D0CE1"/>
    <w:rsid w:val="003D1959"/>
    <w:rsid w:val="003D1CC2"/>
    <w:rsid w:val="003D1D00"/>
    <w:rsid w:val="003D2315"/>
    <w:rsid w:val="003D298B"/>
    <w:rsid w:val="003D2A41"/>
    <w:rsid w:val="003D2D0B"/>
    <w:rsid w:val="003D2F1C"/>
    <w:rsid w:val="003D30DD"/>
    <w:rsid w:val="003D31C1"/>
    <w:rsid w:val="003D379A"/>
    <w:rsid w:val="003D4237"/>
    <w:rsid w:val="003D4CEA"/>
    <w:rsid w:val="003D56D9"/>
    <w:rsid w:val="003D57FC"/>
    <w:rsid w:val="003D586A"/>
    <w:rsid w:val="003D5964"/>
    <w:rsid w:val="003D5E27"/>
    <w:rsid w:val="003D63EC"/>
    <w:rsid w:val="003D6909"/>
    <w:rsid w:val="003D695F"/>
    <w:rsid w:val="003D6BDB"/>
    <w:rsid w:val="003D6C0E"/>
    <w:rsid w:val="003D7CEA"/>
    <w:rsid w:val="003D7DE1"/>
    <w:rsid w:val="003E0334"/>
    <w:rsid w:val="003E0434"/>
    <w:rsid w:val="003E0462"/>
    <w:rsid w:val="003E069C"/>
    <w:rsid w:val="003E06A7"/>
    <w:rsid w:val="003E109B"/>
    <w:rsid w:val="003E1683"/>
    <w:rsid w:val="003E2217"/>
    <w:rsid w:val="003E2E2B"/>
    <w:rsid w:val="003E311E"/>
    <w:rsid w:val="003E32EA"/>
    <w:rsid w:val="003E33D0"/>
    <w:rsid w:val="003E37D0"/>
    <w:rsid w:val="003E4755"/>
    <w:rsid w:val="003E502A"/>
    <w:rsid w:val="003E557E"/>
    <w:rsid w:val="003E5B4F"/>
    <w:rsid w:val="003E5D80"/>
    <w:rsid w:val="003E6941"/>
    <w:rsid w:val="003E7283"/>
    <w:rsid w:val="003E762B"/>
    <w:rsid w:val="003F01CA"/>
    <w:rsid w:val="003F038D"/>
    <w:rsid w:val="003F0507"/>
    <w:rsid w:val="003F0647"/>
    <w:rsid w:val="003F161C"/>
    <w:rsid w:val="003F2400"/>
    <w:rsid w:val="003F324D"/>
    <w:rsid w:val="003F33A4"/>
    <w:rsid w:val="003F404B"/>
    <w:rsid w:val="003F43F8"/>
    <w:rsid w:val="003F4A7B"/>
    <w:rsid w:val="003F4A9A"/>
    <w:rsid w:val="003F576C"/>
    <w:rsid w:val="003F5784"/>
    <w:rsid w:val="003F5F48"/>
    <w:rsid w:val="003F6028"/>
    <w:rsid w:val="003F6311"/>
    <w:rsid w:val="003F69DD"/>
    <w:rsid w:val="003F7439"/>
    <w:rsid w:val="003F7EA9"/>
    <w:rsid w:val="004005E7"/>
    <w:rsid w:val="00400B9A"/>
    <w:rsid w:val="004014A9"/>
    <w:rsid w:val="004018C6"/>
    <w:rsid w:val="004018FB"/>
    <w:rsid w:val="0040206F"/>
    <w:rsid w:val="0040233A"/>
    <w:rsid w:val="004028C8"/>
    <w:rsid w:val="00402A94"/>
    <w:rsid w:val="00402C71"/>
    <w:rsid w:val="0040374A"/>
    <w:rsid w:val="00404A46"/>
    <w:rsid w:val="00405114"/>
    <w:rsid w:val="0040644B"/>
    <w:rsid w:val="004066A2"/>
    <w:rsid w:val="00406D91"/>
    <w:rsid w:val="00407187"/>
    <w:rsid w:val="0040778D"/>
    <w:rsid w:val="00407C70"/>
    <w:rsid w:val="00411451"/>
    <w:rsid w:val="00411A7A"/>
    <w:rsid w:val="00411A84"/>
    <w:rsid w:val="00413785"/>
    <w:rsid w:val="004138B3"/>
    <w:rsid w:val="004141E0"/>
    <w:rsid w:val="00414A56"/>
    <w:rsid w:val="00414C84"/>
    <w:rsid w:val="00415390"/>
    <w:rsid w:val="0041544A"/>
    <w:rsid w:val="004154C9"/>
    <w:rsid w:val="004166DA"/>
    <w:rsid w:val="00416838"/>
    <w:rsid w:val="00416B6F"/>
    <w:rsid w:val="00416E99"/>
    <w:rsid w:val="00417049"/>
    <w:rsid w:val="00417505"/>
    <w:rsid w:val="00420195"/>
    <w:rsid w:val="00420611"/>
    <w:rsid w:val="00420BDA"/>
    <w:rsid w:val="00421AD9"/>
    <w:rsid w:val="00422A63"/>
    <w:rsid w:val="004230CD"/>
    <w:rsid w:val="00424021"/>
    <w:rsid w:val="004244B6"/>
    <w:rsid w:val="00424DDA"/>
    <w:rsid w:val="00424FA1"/>
    <w:rsid w:val="00425091"/>
    <w:rsid w:val="0042598C"/>
    <w:rsid w:val="00425B1B"/>
    <w:rsid w:val="00426080"/>
    <w:rsid w:val="004260DE"/>
    <w:rsid w:val="0042634C"/>
    <w:rsid w:val="004263B9"/>
    <w:rsid w:val="00426408"/>
    <w:rsid w:val="00426802"/>
    <w:rsid w:val="00426898"/>
    <w:rsid w:val="00427151"/>
    <w:rsid w:val="0042729A"/>
    <w:rsid w:val="00427494"/>
    <w:rsid w:val="00427C96"/>
    <w:rsid w:val="00427E9E"/>
    <w:rsid w:val="0043039A"/>
    <w:rsid w:val="00430406"/>
    <w:rsid w:val="00430A1C"/>
    <w:rsid w:val="00430B9F"/>
    <w:rsid w:val="0043113A"/>
    <w:rsid w:val="00431274"/>
    <w:rsid w:val="0043171E"/>
    <w:rsid w:val="00431A8C"/>
    <w:rsid w:val="004325B4"/>
    <w:rsid w:val="004336A7"/>
    <w:rsid w:val="004337D9"/>
    <w:rsid w:val="00433EFF"/>
    <w:rsid w:val="00433F22"/>
    <w:rsid w:val="00433FF4"/>
    <w:rsid w:val="00434659"/>
    <w:rsid w:val="00434B76"/>
    <w:rsid w:val="00435BEB"/>
    <w:rsid w:val="00435F87"/>
    <w:rsid w:val="00436EEC"/>
    <w:rsid w:val="00437BA4"/>
    <w:rsid w:val="0044021A"/>
    <w:rsid w:val="00440684"/>
    <w:rsid w:val="00440D4C"/>
    <w:rsid w:val="00440EDE"/>
    <w:rsid w:val="00441170"/>
    <w:rsid w:val="00441274"/>
    <w:rsid w:val="00441A43"/>
    <w:rsid w:val="00442369"/>
    <w:rsid w:val="004429F0"/>
    <w:rsid w:val="00443047"/>
    <w:rsid w:val="00443EAD"/>
    <w:rsid w:val="0044459E"/>
    <w:rsid w:val="00444DAC"/>
    <w:rsid w:val="0044530D"/>
    <w:rsid w:val="00445EF9"/>
    <w:rsid w:val="004467EF"/>
    <w:rsid w:val="00450009"/>
    <w:rsid w:val="0045141C"/>
    <w:rsid w:val="00451A37"/>
    <w:rsid w:val="00451F2B"/>
    <w:rsid w:val="00451F96"/>
    <w:rsid w:val="0045297F"/>
    <w:rsid w:val="00452DF6"/>
    <w:rsid w:val="004530A1"/>
    <w:rsid w:val="00453B96"/>
    <w:rsid w:val="00454011"/>
    <w:rsid w:val="004541B5"/>
    <w:rsid w:val="004548A4"/>
    <w:rsid w:val="00454EE6"/>
    <w:rsid w:val="00455087"/>
    <w:rsid w:val="004560B9"/>
    <w:rsid w:val="0046012E"/>
    <w:rsid w:val="00460A5D"/>
    <w:rsid w:val="0046108F"/>
    <w:rsid w:val="004610F4"/>
    <w:rsid w:val="0046113C"/>
    <w:rsid w:val="0046156F"/>
    <w:rsid w:val="00461B36"/>
    <w:rsid w:val="00462341"/>
    <w:rsid w:val="0046284A"/>
    <w:rsid w:val="004628F4"/>
    <w:rsid w:val="00462FA0"/>
    <w:rsid w:val="00463340"/>
    <w:rsid w:val="004633FE"/>
    <w:rsid w:val="00463578"/>
    <w:rsid w:val="0046431E"/>
    <w:rsid w:val="004643AE"/>
    <w:rsid w:val="00464421"/>
    <w:rsid w:val="00464947"/>
    <w:rsid w:val="00464AB0"/>
    <w:rsid w:val="00464AD0"/>
    <w:rsid w:val="004655F7"/>
    <w:rsid w:val="00465CFA"/>
    <w:rsid w:val="004662DA"/>
    <w:rsid w:val="004701B9"/>
    <w:rsid w:val="0047147C"/>
    <w:rsid w:val="004715D4"/>
    <w:rsid w:val="004721E6"/>
    <w:rsid w:val="004722E7"/>
    <w:rsid w:val="0047232E"/>
    <w:rsid w:val="004734F3"/>
    <w:rsid w:val="00473549"/>
    <w:rsid w:val="004735BD"/>
    <w:rsid w:val="00473F72"/>
    <w:rsid w:val="004742B6"/>
    <w:rsid w:val="00474EC3"/>
    <w:rsid w:val="00475303"/>
    <w:rsid w:val="0047582E"/>
    <w:rsid w:val="00475B09"/>
    <w:rsid w:val="00475BCF"/>
    <w:rsid w:val="00475D1D"/>
    <w:rsid w:val="00475D2C"/>
    <w:rsid w:val="00475DFA"/>
    <w:rsid w:val="0048019A"/>
    <w:rsid w:val="00480AF3"/>
    <w:rsid w:val="00481DDE"/>
    <w:rsid w:val="00481E9A"/>
    <w:rsid w:val="00482079"/>
    <w:rsid w:val="00482293"/>
    <w:rsid w:val="004823EE"/>
    <w:rsid w:val="00482879"/>
    <w:rsid w:val="004829C8"/>
    <w:rsid w:val="00482A45"/>
    <w:rsid w:val="00482C26"/>
    <w:rsid w:val="004830FE"/>
    <w:rsid w:val="00483279"/>
    <w:rsid w:val="00484999"/>
    <w:rsid w:val="00484AB9"/>
    <w:rsid w:val="00485A7F"/>
    <w:rsid w:val="00485ABC"/>
    <w:rsid w:val="00485DF5"/>
    <w:rsid w:val="004878D4"/>
    <w:rsid w:val="0049033A"/>
    <w:rsid w:val="004904DB"/>
    <w:rsid w:val="004913EE"/>
    <w:rsid w:val="00491948"/>
    <w:rsid w:val="0049284D"/>
    <w:rsid w:val="00492B8F"/>
    <w:rsid w:val="00493291"/>
    <w:rsid w:val="004939CB"/>
    <w:rsid w:val="00493A7D"/>
    <w:rsid w:val="00494190"/>
    <w:rsid w:val="004943FB"/>
    <w:rsid w:val="00494B7A"/>
    <w:rsid w:val="00494C43"/>
    <w:rsid w:val="00496C2E"/>
    <w:rsid w:val="00497160"/>
    <w:rsid w:val="00497505"/>
    <w:rsid w:val="00497B0B"/>
    <w:rsid w:val="004A031C"/>
    <w:rsid w:val="004A04FF"/>
    <w:rsid w:val="004A08C0"/>
    <w:rsid w:val="004A142C"/>
    <w:rsid w:val="004A17F2"/>
    <w:rsid w:val="004A1D21"/>
    <w:rsid w:val="004A1E21"/>
    <w:rsid w:val="004A1EFC"/>
    <w:rsid w:val="004A217E"/>
    <w:rsid w:val="004A2251"/>
    <w:rsid w:val="004A23E3"/>
    <w:rsid w:val="004A2837"/>
    <w:rsid w:val="004A29C3"/>
    <w:rsid w:val="004A2EAD"/>
    <w:rsid w:val="004A37FB"/>
    <w:rsid w:val="004A397C"/>
    <w:rsid w:val="004A3B5B"/>
    <w:rsid w:val="004A42FF"/>
    <w:rsid w:val="004A440B"/>
    <w:rsid w:val="004A4A52"/>
    <w:rsid w:val="004A4DFC"/>
    <w:rsid w:val="004A5CF9"/>
    <w:rsid w:val="004A6993"/>
    <w:rsid w:val="004A70D3"/>
    <w:rsid w:val="004A736B"/>
    <w:rsid w:val="004A7573"/>
    <w:rsid w:val="004B00B5"/>
    <w:rsid w:val="004B0C06"/>
    <w:rsid w:val="004B0E38"/>
    <w:rsid w:val="004B0ECF"/>
    <w:rsid w:val="004B1073"/>
    <w:rsid w:val="004B1205"/>
    <w:rsid w:val="004B1541"/>
    <w:rsid w:val="004B1FEF"/>
    <w:rsid w:val="004B21A3"/>
    <w:rsid w:val="004B2A26"/>
    <w:rsid w:val="004B2ABE"/>
    <w:rsid w:val="004B34F3"/>
    <w:rsid w:val="004B407B"/>
    <w:rsid w:val="004B4208"/>
    <w:rsid w:val="004B4CE4"/>
    <w:rsid w:val="004B5574"/>
    <w:rsid w:val="004B58F2"/>
    <w:rsid w:val="004B5BF7"/>
    <w:rsid w:val="004B5E9D"/>
    <w:rsid w:val="004B60DA"/>
    <w:rsid w:val="004B791B"/>
    <w:rsid w:val="004C08E2"/>
    <w:rsid w:val="004C1624"/>
    <w:rsid w:val="004C2614"/>
    <w:rsid w:val="004C2C7C"/>
    <w:rsid w:val="004C2E05"/>
    <w:rsid w:val="004C3079"/>
    <w:rsid w:val="004C3BB8"/>
    <w:rsid w:val="004C456C"/>
    <w:rsid w:val="004C4A4C"/>
    <w:rsid w:val="004C4B45"/>
    <w:rsid w:val="004C4B57"/>
    <w:rsid w:val="004C4CA1"/>
    <w:rsid w:val="004C4EBE"/>
    <w:rsid w:val="004C62E2"/>
    <w:rsid w:val="004C6421"/>
    <w:rsid w:val="004C65CB"/>
    <w:rsid w:val="004C67AD"/>
    <w:rsid w:val="004C70B5"/>
    <w:rsid w:val="004C78F8"/>
    <w:rsid w:val="004C7B06"/>
    <w:rsid w:val="004C7BCA"/>
    <w:rsid w:val="004D07ED"/>
    <w:rsid w:val="004D0C5F"/>
    <w:rsid w:val="004D1662"/>
    <w:rsid w:val="004D1AFF"/>
    <w:rsid w:val="004D2384"/>
    <w:rsid w:val="004D24B0"/>
    <w:rsid w:val="004D2C9B"/>
    <w:rsid w:val="004D4C19"/>
    <w:rsid w:val="004D4D14"/>
    <w:rsid w:val="004D4EE0"/>
    <w:rsid w:val="004D4FE5"/>
    <w:rsid w:val="004D5440"/>
    <w:rsid w:val="004D5827"/>
    <w:rsid w:val="004D66E1"/>
    <w:rsid w:val="004D707A"/>
    <w:rsid w:val="004D78C2"/>
    <w:rsid w:val="004D7B07"/>
    <w:rsid w:val="004E06DC"/>
    <w:rsid w:val="004E0A9D"/>
    <w:rsid w:val="004E0CDA"/>
    <w:rsid w:val="004E1544"/>
    <w:rsid w:val="004E1755"/>
    <w:rsid w:val="004E1ADC"/>
    <w:rsid w:val="004E2C85"/>
    <w:rsid w:val="004E2FCB"/>
    <w:rsid w:val="004E353A"/>
    <w:rsid w:val="004E3587"/>
    <w:rsid w:val="004E3E53"/>
    <w:rsid w:val="004E4037"/>
    <w:rsid w:val="004E5484"/>
    <w:rsid w:val="004E6605"/>
    <w:rsid w:val="004E664E"/>
    <w:rsid w:val="004E6A94"/>
    <w:rsid w:val="004E7004"/>
    <w:rsid w:val="004E7053"/>
    <w:rsid w:val="004E710A"/>
    <w:rsid w:val="004E710B"/>
    <w:rsid w:val="004E72B9"/>
    <w:rsid w:val="004E7BB1"/>
    <w:rsid w:val="004E7D7F"/>
    <w:rsid w:val="004F0516"/>
    <w:rsid w:val="004F0CA6"/>
    <w:rsid w:val="004F110A"/>
    <w:rsid w:val="004F1D69"/>
    <w:rsid w:val="004F1F68"/>
    <w:rsid w:val="004F22DA"/>
    <w:rsid w:val="004F3330"/>
    <w:rsid w:val="004F334C"/>
    <w:rsid w:val="004F3689"/>
    <w:rsid w:val="004F45FB"/>
    <w:rsid w:val="004F4877"/>
    <w:rsid w:val="004F5838"/>
    <w:rsid w:val="004F5FAF"/>
    <w:rsid w:val="004F60F2"/>
    <w:rsid w:val="004F6288"/>
    <w:rsid w:val="004F6BD4"/>
    <w:rsid w:val="004F70BA"/>
    <w:rsid w:val="004F7446"/>
    <w:rsid w:val="005018F5"/>
    <w:rsid w:val="00501E7E"/>
    <w:rsid w:val="0050214E"/>
    <w:rsid w:val="00502374"/>
    <w:rsid w:val="005024A5"/>
    <w:rsid w:val="00503251"/>
    <w:rsid w:val="0050339F"/>
    <w:rsid w:val="00503754"/>
    <w:rsid w:val="005040BB"/>
    <w:rsid w:val="005045A7"/>
    <w:rsid w:val="0050463B"/>
    <w:rsid w:val="00504ED3"/>
    <w:rsid w:val="00505052"/>
    <w:rsid w:val="0050658E"/>
    <w:rsid w:val="00506B75"/>
    <w:rsid w:val="00507DC1"/>
    <w:rsid w:val="0051169F"/>
    <w:rsid w:val="00511B59"/>
    <w:rsid w:val="0051271C"/>
    <w:rsid w:val="00513AEE"/>
    <w:rsid w:val="00515545"/>
    <w:rsid w:val="0051595F"/>
    <w:rsid w:val="00515F15"/>
    <w:rsid w:val="00516453"/>
    <w:rsid w:val="005167EA"/>
    <w:rsid w:val="0051736A"/>
    <w:rsid w:val="00517619"/>
    <w:rsid w:val="00520438"/>
    <w:rsid w:val="0052054F"/>
    <w:rsid w:val="00521400"/>
    <w:rsid w:val="005225A3"/>
    <w:rsid w:val="005226CD"/>
    <w:rsid w:val="00522D65"/>
    <w:rsid w:val="00522FD3"/>
    <w:rsid w:val="00523649"/>
    <w:rsid w:val="0052389A"/>
    <w:rsid w:val="00524AAB"/>
    <w:rsid w:val="00524BF5"/>
    <w:rsid w:val="00525384"/>
    <w:rsid w:val="005259FF"/>
    <w:rsid w:val="00525DCB"/>
    <w:rsid w:val="00526299"/>
    <w:rsid w:val="00526B3D"/>
    <w:rsid w:val="005272B9"/>
    <w:rsid w:val="0053055E"/>
    <w:rsid w:val="005306F4"/>
    <w:rsid w:val="005316EE"/>
    <w:rsid w:val="00531BDD"/>
    <w:rsid w:val="00532573"/>
    <w:rsid w:val="00532CB1"/>
    <w:rsid w:val="005336D3"/>
    <w:rsid w:val="005336E5"/>
    <w:rsid w:val="00533787"/>
    <w:rsid w:val="00533ABF"/>
    <w:rsid w:val="00533F0F"/>
    <w:rsid w:val="00534BE7"/>
    <w:rsid w:val="00534DB9"/>
    <w:rsid w:val="00535191"/>
    <w:rsid w:val="00535EE7"/>
    <w:rsid w:val="005367C2"/>
    <w:rsid w:val="0053680E"/>
    <w:rsid w:val="00536AAE"/>
    <w:rsid w:val="00536ABC"/>
    <w:rsid w:val="00536EB7"/>
    <w:rsid w:val="00537644"/>
    <w:rsid w:val="0053779A"/>
    <w:rsid w:val="00537E0D"/>
    <w:rsid w:val="00537F5F"/>
    <w:rsid w:val="00541871"/>
    <w:rsid w:val="00541927"/>
    <w:rsid w:val="005425B2"/>
    <w:rsid w:val="00543E09"/>
    <w:rsid w:val="00544068"/>
    <w:rsid w:val="005444BC"/>
    <w:rsid w:val="00544D1C"/>
    <w:rsid w:val="0054621A"/>
    <w:rsid w:val="00546771"/>
    <w:rsid w:val="00546B6D"/>
    <w:rsid w:val="005470F6"/>
    <w:rsid w:val="005477CB"/>
    <w:rsid w:val="00547931"/>
    <w:rsid w:val="00547B49"/>
    <w:rsid w:val="005502BC"/>
    <w:rsid w:val="00550782"/>
    <w:rsid w:val="005513A1"/>
    <w:rsid w:val="00551411"/>
    <w:rsid w:val="00551AB9"/>
    <w:rsid w:val="005538FB"/>
    <w:rsid w:val="00553A78"/>
    <w:rsid w:val="00554769"/>
    <w:rsid w:val="00554A6A"/>
    <w:rsid w:val="00554C15"/>
    <w:rsid w:val="00554CFD"/>
    <w:rsid w:val="00555036"/>
    <w:rsid w:val="00555968"/>
    <w:rsid w:val="00555DB8"/>
    <w:rsid w:val="00555E4E"/>
    <w:rsid w:val="00555F78"/>
    <w:rsid w:val="00555FF7"/>
    <w:rsid w:val="00556595"/>
    <w:rsid w:val="00556CE4"/>
    <w:rsid w:val="005573BE"/>
    <w:rsid w:val="00557556"/>
    <w:rsid w:val="005575F3"/>
    <w:rsid w:val="00560798"/>
    <w:rsid w:val="00560F78"/>
    <w:rsid w:val="00560F7B"/>
    <w:rsid w:val="0056115A"/>
    <w:rsid w:val="005615AA"/>
    <w:rsid w:val="0056239D"/>
    <w:rsid w:val="00562671"/>
    <w:rsid w:val="00562A21"/>
    <w:rsid w:val="005643DA"/>
    <w:rsid w:val="00565056"/>
    <w:rsid w:val="00565B62"/>
    <w:rsid w:val="005662B7"/>
    <w:rsid w:val="00566541"/>
    <w:rsid w:val="00566768"/>
    <w:rsid w:val="00566BAC"/>
    <w:rsid w:val="00567A3F"/>
    <w:rsid w:val="00567AEC"/>
    <w:rsid w:val="00567BA3"/>
    <w:rsid w:val="005704D6"/>
    <w:rsid w:val="00570E82"/>
    <w:rsid w:val="005712E1"/>
    <w:rsid w:val="005721B3"/>
    <w:rsid w:val="0057244F"/>
    <w:rsid w:val="005728A8"/>
    <w:rsid w:val="00572DC1"/>
    <w:rsid w:val="00573845"/>
    <w:rsid w:val="005739A6"/>
    <w:rsid w:val="0057416F"/>
    <w:rsid w:val="0057426D"/>
    <w:rsid w:val="00575371"/>
    <w:rsid w:val="005754B9"/>
    <w:rsid w:val="00575914"/>
    <w:rsid w:val="00575D89"/>
    <w:rsid w:val="00575F89"/>
    <w:rsid w:val="00576557"/>
    <w:rsid w:val="00576568"/>
    <w:rsid w:val="00576C60"/>
    <w:rsid w:val="00576E4E"/>
    <w:rsid w:val="00577261"/>
    <w:rsid w:val="00577291"/>
    <w:rsid w:val="00580D53"/>
    <w:rsid w:val="00582322"/>
    <w:rsid w:val="005825DE"/>
    <w:rsid w:val="00582F70"/>
    <w:rsid w:val="00583C62"/>
    <w:rsid w:val="00584052"/>
    <w:rsid w:val="0058410C"/>
    <w:rsid w:val="005846F9"/>
    <w:rsid w:val="00584A2E"/>
    <w:rsid w:val="00584D63"/>
    <w:rsid w:val="005850A6"/>
    <w:rsid w:val="0058565B"/>
    <w:rsid w:val="00585720"/>
    <w:rsid w:val="00585A5B"/>
    <w:rsid w:val="00586957"/>
    <w:rsid w:val="005869CE"/>
    <w:rsid w:val="00586F08"/>
    <w:rsid w:val="005907FD"/>
    <w:rsid w:val="0059123B"/>
    <w:rsid w:val="00591759"/>
    <w:rsid w:val="005919B2"/>
    <w:rsid w:val="00592037"/>
    <w:rsid w:val="00592052"/>
    <w:rsid w:val="0059396E"/>
    <w:rsid w:val="005939ED"/>
    <w:rsid w:val="00593CC0"/>
    <w:rsid w:val="00593F65"/>
    <w:rsid w:val="00594AB9"/>
    <w:rsid w:val="0059544A"/>
    <w:rsid w:val="00595E56"/>
    <w:rsid w:val="005966F8"/>
    <w:rsid w:val="00596B14"/>
    <w:rsid w:val="00597616"/>
    <w:rsid w:val="00597C1D"/>
    <w:rsid w:val="00597D12"/>
    <w:rsid w:val="005A0031"/>
    <w:rsid w:val="005A05EF"/>
    <w:rsid w:val="005A1C46"/>
    <w:rsid w:val="005A1CF3"/>
    <w:rsid w:val="005A2054"/>
    <w:rsid w:val="005A2327"/>
    <w:rsid w:val="005A236E"/>
    <w:rsid w:val="005A2B3A"/>
    <w:rsid w:val="005A2E74"/>
    <w:rsid w:val="005A323B"/>
    <w:rsid w:val="005A3A7F"/>
    <w:rsid w:val="005A3B23"/>
    <w:rsid w:val="005A489E"/>
    <w:rsid w:val="005A5150"/>
    <w:rsid w:val="005A5418"/>
    <w:rsid w:val="005A54D8"/>
    <w:rsid w:val="005A5833"/>
    <w:rsid w:val="005A60F0"/>
    <w:rsid w:val="005A62DB"/>
    <w:rsid w:val="005A7C24"/>
    <w:rsid w:val="005B05C1"/>
    <w:rsid w:val="005B07FA"/>
    <w:rsid w:val="005B163F"/>
    <w:rsid w:val="005B1CC5"/>
    <w:rsid w:val="005B1D6D"/>
    <w:rsid w:val="005B2282"/>
    <w:rsid w:val="005B2FF7"/>
    <w:rsid w:val="005B36D7"/>
    <w:rsid w:val="005B37CE"/>
    <w:rsid w:val="005B6107"/>
    <w:rsid w:val="005B646B"/>
    <w:rsid w:val="005B6625"/>
    <w:rsid w:val="005B72FA"/>
    <w:rsid w:val="005B7D68"/>
    <w:rsid w:val="005C1275"/>
    <w:rsid w:val="005C228C"/>
    <w:rsid w:val="005C27F1"/>
    <w:rsid w:val="005C2C81"/>
    <w:rsid w:val="005C2D45"/>
    <w:rsid w:val="005C31D2"/>
    <w:rsid w:val="005C37C4"/>
    <w:rsid w:val="005C3800"/>
    <w:rsid w:val="005C3831"/>
    <w:rsid w:val="005C3BD4"/>
    <w:rsid w:val="005C3E30"/>
    <w:rsid w:val="005C4357"/>
    <w:rsid w:val="005C5060"/>
    <w:rsid w:val="005C5D03"/>
    <w:rsid w:val="005C5F70"/>
    <w:rsid w:val="005C6E35"/>
    <w:rsid w:val="005C6FBE"/>
    <w:rsid w:val="005C72BE"/>
    <w:rsid w:val="005C7538"/>
    <w:rsid w:val="005C7547"/>
    <w:rsid w:val="005C783E"/>
    <w:rsid w:val="005C7A39"/>
    <w:rsid w:val="005D010D"/>
    <w:rsid w:val="005D044D"/>
    <w:rsid w:val="005D0A3B"/>
    <w:rsid w:val="005D124B"/>
    <w:rsid w:val="005D1E07"/>
    <w:rsid w:val="005D2B44"/>
    <w:rsid w:val="005D2E8C"/>
    <w:rsid w:val="005D2EA1"/>
    <w:rsid w:val="005D357B"/>
    <w:rsid w:val="005D3E74"/>
    <w:rsid w:val="005D4568"/>
    <w:rsid w:val="005D4610"/>
    <w:rsid w:val="005D50D1"/>
    <w:rsid w:val="005D50FB"/>
    <w:rsid w:val="005D6455"/>
    <w:rsid w:val="005D6B69"/>
    <w:rsid w:val="005D6ED4"/>
    <w:rsid w:val="005D773F"/>
    <w:rsid w:val="005D7A99"/>
    <w:rsid w:val="005D7B23"/>
    <w:rsid w:val="005D7F83"/>
    <w:rsid w:val="005E0512"/>
    <w:rsid w:val="005E0B4C"/>
    <w:rsid w:val="005E125A"/>
    <w:rsid w:val="005E1642"/>
    <w:rsid w:val="005E1653"/>
    <w:rsid w:val="005E1B41"/>
    <w:rsid w:val="005E2EDE"/>
    <w:rsid w:val="005E35D5"/>
    <w:rsid w:val="005E3995"/>
    <w:rsid w:val="005E3C0C"/>
    <w:rsid w:val="005E3DC5"/>
    <w:rsid w:val="005E40B7"/>
    <w:rsid w:val="005E51C1"/>
    <w:rsid w:val="005E54AC"/>
    <w:rsid w:val="005E6BCF"/>
    <w:rsid w:val="005E6BD8"/>
    <w:rsid w:val="005E6C32"/>
    <w:rsid w:val="005E6C3B"/>
    <w:rsid w:val="005E6F14"/>
    <w:rsid w:val="005E7337"/>
    <w:rsid w:val="005E7454"/>
    <w:rsid w:val="005E779B"/>
    <w:rsid w:val="005E7AB1"/>
    <w:rsid w:val="005F0011"/>
    <w:rsid w:val="005F018C"/>
    <w:rsid w:val="005F0497"/>
    <w:rsid w:val="005F060D"/>
    <w:rsid w:val="005F0C26"/>
    <w:rsid w:val="005F0D91"/>
    <w:rsid w:val="005F103A"/>
    <w:rsid w:val="005F13A2"/>
    <w:rsid w:val="005F169A"/>
    <w:rsid w:val="005F1CB2"/>
    <w:rsid w:val="005F2A2C"/>
    <w:rsid w:val="005F2D87"/>
    <w:rsid w:val="005F3894"/>
    <w:rsid w:val="005F38B3"/>
    <w:rsid w:val="005F4A27"/>
    <w:rsid w:val="005F4E2E"/>
    <w:rsid w:val="005F55EA"/>
    <w:rsid w:val="005F59B2"/>
    <w:rsid w:val="005F5A24"/>
    <w:rsid w:val="005F5A9C"/>
    <w:rsid w:val="005F5C2A"/>
    <w:rsid w:val="005F6B5E"/>
    <w:rsid w:val="005F73FE"/>
    <w:rsid w:val="005F79D3"/>
    <w:rsid w:val="005F7B17"/>
    <w:rsid w:val="006005B0"/>
    <w:rsid w:val="00600A5A"/>
    <w:rsid w:val="00600F89"/>
    <w:rsid w:val="00601715"/>
    <w:rsid w:val="006019D1"/>
    <w:rsid w:val="00601A90"/>
    <w:rsid w:val="00601C44"/>
    <w:rsid w:val="00601C6F"/>
    <w:rsid w:val="00602120"/>
    <w:rsid w:val="006025CF"/>
    <w:rsid w:val="00603B72"/>
    <w:rsid w:val="00603C88"/>
    <w:rsid w:val="00603C9E"/>
    <w:rsid w:val="0060470B"/>
    <w:rsid w:val="00604862"/>
    <w:rsid w:val="00604967"/>
    <w:rsid w:val="00604F5D"/>
    <w:rsid w:val="006055E3"/>
    <w:rsid w:val="0060790D"/>
    <w:rsid w:val="006104F0"/>
    <w:rsid w:val="00610B93"/>
    <w:rsid w:val="006111C5"/>
    <w:rsid w:val="00611607"/>
    <w:rsid w:val="00611F2A"/>
    <w:rsid w:val="0061223C"/>
    <w:rsid w:val="006122B6"/>
    <w:rsid w:val="0061261D"/>
    <w:rsid w:val="00612693"/>
    <w:rsid w:val="00612768"/>
    <w:rsid w:val="00612A49"/>
    <w:rsid w:val="00612FFA"/>
    <w:rsid w:val="00613678"/>
    <w:rsid w:val="00613ADB"/>
    <w:rsid w:val="00614059"/>
    <w:rsid w:val="006141BD"/>
    <w:rsid w:val="006146BF"/>
    <w:rsid w:val="00614719"/>
    <w:rsid w:val="00614E6E"/>
    <w:rsid w:val="00616635"/>
    <w:rsid w:val="00617C6E"/>
    <w:rsid w:val="00620937"/>
    <w:rsid w:val="00620D64"/>
    <w:rsid w:val="00621C48"/>
    <w:rsid w:val="006223BE"/>
    <w:rsid w:val="0062255E"/>
    <w:rsid w:val="006228DE"/>
    <w:rsid w:val="00622C14"/>
    <w:rsid w:val="00623752"/>
    <w:rsid w:val="00623B63"/>
    <w:rsid w:val="006241E3"/>
    <w:rsid w:val="00624B92"/>
    <w:rsid w:val="00625149"/>
    <w:rsid w:val="0062538D"/>
    <w:rsid w:val="006268C2"/>
    <w:rsid w:val="00626BBF"/>
    <w:rsid w:val="00630468"/>
    <w:rsid w:val="0063062F"/>
    <w:rsid w:val="00631299"/>
    <w:rsid w:val="00631741"/>
    <w:rsid w:val="0063213E"/>
    <w:rsid w:val="0063221D"/>
    <w:rsid w:val="00632B53"/>
    <w:rsid w:val="00632BA8"/>
    <w:rsid w:val="00632CFC"/>
    <w:rsid w:val="006331DD"/>
    <w:rsid w:val="00633563"/>
    <w:rsid w:val="006345D8"/>
    <w:rsid w:val="0063485B"/>
    <w:rsid w:val="00634B07"/>
    <w:rsid w:val="006359C0"/>
    <w:rsid w:val="0063622A"/>
    <w:rsid w:val="006373C2"/>
    <w:rsid w:val="00640547"/>
    <w:rsid w:val="00641073"/>
    <w:rsid w:val="006414BD"/>
    <w:rsid w:val="006416FB"/>
    <w:rsid w:val="00641C42"/>
    <w:rsid w:val="0064284B"/>
    <w:rsid w:val="00642B28"/>
    <w:rsid w:val="00642F49"/>
    <w:rsid w:val="00643361"/>
    <w:rsid w:val="006437FD"/>
    <w:rsid w:val="00643814"/>
    <w:rsid w:val="00643BC0"/>
    <w:rsid w:val="00644150"/>
    <w:rsid w:val="00644548"/>
    <w:rsid w:val="0064471C"/>
    <w:rsid w:val="006453FE"/>
    <w:rsid w:val="00645624"/>
    <w:rsid w:val="00646133"/>
    <w:rsid w:val="00646F07"/>
    <w:rsid w:val="00647535"/>
    <w:rsid w:val="00647875"/>
    <w:rsid w:val="00647B7F"/>
    <w:rsid w:val="00647E50"/>
    <w:rsid w:val="0065030D"/>
    <w:rsid w:val="0065052E"/>
    <w:rsid w:val="00650D4A"/>
    <w:rsid w:val="00651C7C"/>
    <w:rsid w:val="00651E6F"/>
    <w:rsid w:val="00651ED6"/>
    <w:rsid w:val="00652823"/>
    <w:rsid w:val="00652B4D"/>
    <w:rsid w:val="006530EA"/>
    <w:rsid w:val="0065381C"/>
    <w:rsid w:val="00653ED9"/>
    <w:rsid w:val="00654050"/>
    <w:rsid w:val="00654074"/>
    <w:rsid w:val="00654491"/>
    <w:rsid w:val="006547C8"/>
    <w:rsid w:val="006549AA"/>
    <w:rsid w:val="00655275"/>
    <w:rsid w:val="006557E1"/>
    <w:rsid w:val="00655FF3"/>
    <w:rsid w:val="00656A8D"/>
    <w:rsid w:val="00657616"/>
    <w:rsid w:val="006602D7"/>
    <w:rsid w:val="00660BB4"/>
    <w:rsid w:val="00661D71"/>
    <w:rsid w:val="0066265F"/>
    <w:rsid w:val="0066280A"/>
    <w:rsid w:val="006630B0"/>
    <w:rsid w:val="006639ED"/>
    <w:rsid w:val="00663B68"/>
    <w:rsid w:val="00664279"/>
    <w:rsid w:val="006649C8"/>
    <w:rsid w:val="00664D08"/>
    <w:rsid w:val="00665332"/>
    <w:rsid w:val="00665428"/>
    <w:rsid w:val="0066548F"/>
    <w:rsid w:val="00665DE2"/>
    <w:rsid w:val="00665ECB"/>
    <w:rsid w:val="00666109"/>
    <w:rsid w:val="0066674C"/>
    <w:rsid w:val="00666BCE"/>
    <w:rsid w:val="006678D1"/>
    <w:rsid w:val="00667995"/>
    <w:rsid w:val="006679D7"/>
    <w:rsid w:val="006708A9"/>
    <w:rsid w:val="00670AD9"/>
    <w:rsid w:val="0067228F"/>
    <w:rsid w:val="00672811"/>
    <w:rsid w:val="00672C6C"/>
    <w:rsid w:val="00672C7D"/>
    <w:rsid w:val="00673BDC"/>
    <w:rsid w:val="00674362"/>
    <w:rsid w:val="0067445E"/>
    <w:rsid w:val="00674480"/>
    <w:rsid w:val="006747A3"/>
    <w:rsid w:val="00675C9C"/>
    <w:rsid w:val="00676487"/>
    <w:rsid w:val="00676728"/>
    <w:rsid w:val="00676A01"/>
    <w:rsid w:val="00676A7B"/>
    <w:rsid w:val="00676FA5"/>
    <w:rsid w:val="0067710E"/>
    <w:rsid w:val="00677113"/>
    <w:rsid w:val="0067744D"/>
    <w:rsid w:val="006778DC"/>
    <w:rsid w:val="00677BD7"/>
    <w:rsid w:val="00677D5D"/>
    <w:rsid w:val="006803BA"/>
    <w:rsid w:val="00680718"/>
    <w:rsid w:val="00680A55"/>
    <w:rsid w:val="00680C00"/>
    <w:rsid w:val="00680DF4"/>
    <w:rsid w:val="00680EF9"/>
    <w:rsid w:val="006816E8"/>
    <w:rsid w:val="006817CD"/>
    <w:rsid w:val="00681A71"/>
    <w:rsid w:val="0068233D"/>
    <w:rsid w:val="006825DD"/>
    <w:rsid w:val="00682FC9"/>
    <w:rsid w:val="00683F66"/>
    <w:rsid w:val="00684425"/>
    <w:rsid w:val="006844E1"/>
    <w:rsid w:val="00684BC7"/>
    <w:rsid w:val="00684EE0"/>
    <w:rsid w:val="0068506B"/>
    <w:rsid w:val="0068534F"/>
    <w:rsid w:val="0068557D"/>
    <w:rsid w:val="006864F5"/>
    <w:rsid w:val="0068752A"/>
    <w:rsid w:val="0068763A"/>
    <w:rsid w:val="006877F7"/>
    <w:rsid w:val="00691475"/>
    <w:rsid w:val="0069206F"/>
    <w:rsid w:val="006923C5"/>
    <w:rsid w:val="0069284E"/>
    <w:rsid w:val="00692A94"/>
    <w:rsid w:val="0069332A"/>
    <w:rsid w:val="00693B4B"/>
    <w:rsid w:val="00693C25"/>
    <w:rsid w:val="0069470A"/>
    <w:rsid w:val="006955AD"/>
    <w:rsid w:val="006960BA"/>
    <w:rsid w:val="00696D86"/>
    <w:rsid w:val="006971A4"/>
    <w:rsid w:val="006A033A"/>
    <w:rsid w:val="006A1A4D"/>
    <w:rsid w:val="006A2313"/>
    <w:rsid w:val="006A24E0"/>
    <w:rsid w:val="006A272D"/>
    <w:rsid w:val="006A2AD9"/>
    <w:rsid w:val="006A3580"/>
    <w:rsid w:val="006A3651"/>
    <w:rsid w:val="006A3AB5"/>
    <w:rsid w:val="006A41DF"/>
    <w:rsid w:val="006A4567"/>
    <w:rsid w:val="006A45A2"/>
    <w:rsid w:val="006A52C9"/>
    <w:rsid w:val="006A5AF1"/>
    <w:rsid w:val="006A615C"/>
    <w:rsid w:val="006A6573"/>
    <w:rsid w:val="006A7913"/>
    <w:rsid w:val="006A7BAC"/>
    <w:rsid w:val="006A7C58"/>
    <w:rsid w:val="006B0346"/>
    <w:rsid w:val="006B0DC1"/>
    <w:rsid w:val="006B1073"/>
    <w:rsid w:val="006B11AD"/>
    <w:rsid w:val="006B1228"/>
    <w:rsid w:val="006B17EF"/>
    <w:rsid w:val="006B1E7B"/>
    <w:rsid w:val="006B2117"/>
    <w:rsid w:val="006B288F"/>
    <w:rsid w:val="006B3083"/>
    <w:rsid w:val="006B3B8D"/>
    <w:rsid w:val="006B4140"/>
    <w:rsid w:val="006B41FD"/>
    <w:rsid w:val="006B4428"/>
    <w:rsid w:val="006B4724"/>
    <w:rsid w:val="006B4A2B"/>
    <w:rsid w:val="006B4C04"/>
    <w:rsid w:val="006B4EEE"/>
    <w:rsid w:val="006B502A"/>
    <w:rsid w:val="006B5CF4"/>
    <w:rsid w:val="006B6315"/>
    <w:rsid w:val="006B649D"/>
    <w:rsid w:val="006B7A0B"/>
    <w:rsid w:val="006B7FAE"/>
    <w:rsid w:val="006C004C"/>
    <w:rsid w:val="006C1703"/>
    <w:rsid w:val="006C1E9C"/>
    <w:rsid w:val="006C2B32"/>
    <w:rsid w:val="006C2B6D"/>
    <w:rsid w:val="006C2CA0"/>
    <w:rsid w:val="006C2D52"/>
    <w:rsid w:val="006C393E"/>
    <w:rsid w:val="006C3B4A"/>
    <w:rsid w:val="006C4096"/>
    <w:rsid w:val="006C4B24"/>
    <w:rsid w:val="006C4E04"/>
    <w:rsid w:val="006C59DC"/>
    <w:rsid w:val="006C65BE"/>
    <w:rsid w:val="006C68B1"/>
    <w:rsid w:val="006C721B"/>
    <w:rsid w:val="006C790A"/>
    <w:rsid w:val="006C7EDF"/>
    <w:rsid w:val="006D0336"/>
    <w:rsid w:val="006D0579"/>
    <w:rsid w:val="006D0EEF"/>
    <w:rsid w:val="006D128E"/>
    <w:rsid w:val="006D1881"/>
    <w:rsid w:val="006D1F70"/>
    <w:rsid w:val="006D2A89"/>
    <w:rsid w:val="006D2BC4"/>
    <w:rsid w:val="006D2E35"/>
    <w:rsid w:val="006D330E"/>
    <w:rsid w:val="006D3C07"/>
    <w:rsid w:val="006D3C87"/>
    <w:rsid w:val="006D49DB"/>
    <w:rsid w:val="006D49E7"/>
    <w:rsid w:val="006D63D8"/>
    <w:rsid w:val="006D6BCB"/>
    <w:rsid w:val="006D6D1A"/>
    <w:rsid w:val="006D7EE2"/>
    <w:rsid w:val="006E09CB"/>
    <w:rsid w:val="006E0F15"/>
    <w:rsid w:val="006E1704"/>
    <w:rsid w:val="006E1740"/>
    <w:rsid w:val="006E19EF"/>
    <w:rsid w:val="006E24C8"/>
    <w:rsid w:val="006E313F"/>
    <w:rsid w:val="006E36E9"/>
    <w:rsid w:val="006E396A"/>
    <w:rsid w:val="006E3E71"/>
    <w:rsid w:val="006E4019"/>
    <w:rsid w:val="006E4F75"/>
    <w:rsid w:val="006E5862"/>
    <w:rsid w:val="006E5B5B"/>
    <w:rsid w:val="006E607B"/>
    <w:rsid w:val="006E73F5"/>
    <w:rsid w:val="006F01C1"/>
    <w:rsid w:val="006F18E9"/>
    <w:rsid w:val="006F1A71"/>
    <w:rsid w:val="006F2A82"/>
    <w:rsid w:val="006F333A"/>
    <w:rsid w:val="006F354C"/>
    <w:rsid w:val="006F3AF4"/>
    <w:rsid w:val="006F403D"/>
    <w:rsid w:val="006F42FF"/>
    <w:rsid w:val="006F44D0"/>
    <w:rsid w:val="006F495A"/>
    <w:rsid w:val="006F4B83"/>
    <w:rsid w:val="006F4EC1"/>
    <w:rsid w:val="006F4FC5"/>
    <w:rsid w:val="006F518E"/>
    <w:rsid w:val="006F6009"/>
    <w:rsid w:val="006F67FC"/>
    <w:rsid w:val="006F703A"/>
    <w:rsid w:val="006F73BA"/>
    <w:rsid w:val="0070021E"/>
    <w:rsid w:val="00700493"/>
    <w:rsid w:val="00700642"/>
    <w:rsid w:val="00700D74"/>
    <w:rsid w:val="007011B5"/>
    <w:rsid w:val="007012FE"/>
    <w:rsid w:val="007013C2"/>
    <w:rsid w:val="0070154C"/>
    <w:rsid w:val="00702175"/>
    <w:rsid w:val="00702499"/>
    <w:rsid w:val="007026DB"/>
    <w:rsid w:val="007038E2"/>
    <w:rsid w:val="007042CB"/>
    <w:rsid w:val="00704D0B"/>
    <w:rsid w:val="007050A9"/>
    <w:rsid w:val="007050ED"/>
    <w:rsid w:val="007053BD"/>
    <w:rsid w:val="00705410"/>
    <w:rsid w:val="0070613D"/>
    <w:rsid w:val="00706148"/>
    <w:rsid w:val="0070651D"/>
    <w:rsid w:val="0070677C"/>
    <w:rsid w:val="00706850"/>
    <w:rsid w:val="00706DDA"/>
    <w:rsid w:val="007076DE"/>
    <w:rsid w:val="00707D58"/>
    <w:rsid w:val="0071069A"/>
    <w:rsid w:val="00710713"/>
    <w:rsid w:val="00710BBD"/>
    <w:rsid w:val="007111A8"/>
    <w:rsid w:val="00711568"/>
    <w:rsid w:val="00711DD4"/>
    <w:rsid w:val="007120F6"/>
    <w:rsid w:val="00712AB8"/>
    <w:rsid w:val="00712BE2"/>
    <w:rsid w:val="00712DFF"/>
    <w:rsid w:val="007136A0"/>
    <w:rsid w:val="00713814"/>
    <w:rsid w:val="00713AF8"/>
    <w:rsid w:val="0071520C"/>
    <w:rsid w:val="007153A7"/>
    <w:rsid w:val="0071552A"/>
    <w:rsid w:val="00715864"/>
    <w:rsid w:val="00715FCA"/>
    <w:rsid w:val="00715FDD"/>
    <w:rsid w:val="00716648"/>
    <w:rsid w:val="00716B89"/>
    <w:rsid w:val="00717108"/>
    <w:rsid w:val="007173C9"/>
    <w:rsid w:val="007174DB"/>
    <w:rsid w:val="007205D8"/>
    <w:rsid w:val="00721390"/>
    <w:rsid w:val="00721766"/>
    <w:rsid w:val="00721B83"/>
    <w:rsid w:val="00721FB1"/>
    <w:rsid w:val="00722604"/>
    <w:rsid w:val="00722F15"/>
    <w:rsid w:val="0072363C"/>
    <w:rsid w:val="0072441C"/>
    <w:rsid w:val="00724582"/>
    <w:rsid w:val="0072495A"/>
    <w:rsid w:val="00724BBA"/>
    <w:rsid w:val="00725752"/>
    <w:rsid w:val="00725FDE"/>
    <w:rsid w:val="007262D1"/>
    <w:rsid w:val="0072674A"/>
    <w:rsid w:val="00726EDF"/>
    <w:rsid w:val="007273CE"/>
    <w:rsid w:val="0072794C"/>
    <w:rsid w:val="007279A3"/>
    <w:rsid w:val="00727AD5"/>
    <w:rsid w:val="00727C02"/>
    <w:rsid w:val="007301D2"/>
    <w:rsid w:val="00731023"/>
    <w:rsid w:val="00731C89"/>
    <w:rsid w:val="007325AD"/>
    <w:rsid w:val="007326AB"/>
    <w:rsid w:val="00732883"/>
    <w:rsid w:val="007330E4"/>
    <w:rsid w:val="007331F6"/>
    <w:rsid w:val="00733B6F"/>
    <w:rsid w:val="00734466"/>
    <w:rsid w:val="007357B2"/>
    <w:rsid w:val="00735BD3"/>
    <w:rsid w:val="007368CB"/>
    <w:rsid w:val="00736DC0"/>
    <w:rsid w:val="00737108"/>
    <w:rsid w:val="00737287"/>
    <w:rsid w:val="00737965"/>
    <w:rsid w:val="00737C0E"/>
    <w:rsid w:val="00737C3D"/>
    <w:rsid w:val="00737CAE"/>
    <w:rsid w:val="00737D82"/>
    <w:rsid w:val="0074128A"/>
    <w:rsid w:val="007413A7"/>
    <w:rsid w:val="0074157D"/>
    <w:rsid w:val="00741BF6"/>
    <w:rsid w:val="00741D62"/>
    <w:rsid w:val="00742420"/>
    <w:rsid w:val="007428D8"/>
    <w:rsid w:val="00742CAD"/>
    <w:rsid w:val="00744150"/>
    <w:rsid w:val="00744412"/>
    <w:rsid w:val="00745363"/>
    <w:rsid w:val="00745463"/>
    <w:rsid w:val="00746D95"/>
    <w:rsid w:val="00746E59"/>
    <w:rsid w:val="00747B61"/>
    <w:rsid w:val="007511BA"/>
    <w:rsid w:val="00751740"/>
    <w:rsid w:val="007519B8"/>
    <w:rsid w:val="00751BE4"/>
    <w:rsid w:val="0075208D"/>
    <w:rsid w:val="00752BFC"/>
    <w:rsid w:val="00753043"/>
    <w:rsid w:val="00753EC6"/>
    <w:rsid w:val="00754261"/>
    <w:rsid w:val="00754538"/>
    <w:rsid w:val="00754D1D"/>
    <w:rsid w:val="0075535B"/>
    <w:rsid w:val="007554CB"/>
    <w:rsid w:val="0075551F"/>
    <w:rsid w:val="00755ED0"/>
    <w:rsid w:val="00756B16"/>
    <w:rsid w:val="00756BBC"/>
    <w:rsid w:val="00756D7A"/>
    <w:rsid w:val="00757445"/>
    <w:rsid w:val="00757511"/>
    <w:rsid w:val="00757D9C"/>
    <w:rsid w:val="00760537"/>
    <w:rsid w:val="007607E4"/>
    <w:rsid w:val="00760D31"/>
    <w:rsid w:val="00760F64"/>
    <w:rsid w:val="00760FF8"/>
    <w:rsid w:val="007614BA"/>
    <w:rsid w:val="00761865"/>
    <w:rsid w:val="00761984"/>
    <w:rsid w:val="007621BE"/>
    <w:rsid w:val="00762A3A"/>
    <w:rsid w:val="0076336A"/>
    <w:rsid w:val="0076390A"/>
    <w:rsid w:val="00764256"/>
    <w:rsid w:val="007648D4"/>
    <w:rsid w:val="007652CF"/>
    <w:rsid w:val="007657A9"/>
    <w:rsid w:val="0076686A"/>
    <w:rsid w:val="00766D12"/>
    <w:rsid w:val="00766DB4"/>
    <w:rsid w:val="00766EAF"/>
    <w:rsid w:val="007708F3"/>
    <w:rsid w:val="00770EB9"/>
    <w:rsid w:val="0077179B"/>
    <w:rsid w:val="00771A89"/>
    <w:rsid w:val="00772E37"/>
    <w:rsid w:val="007731F1"/>
    <w:rsid w:val="00773978"/>
    <w:rsid w:val="00773A00"/>
    <w:rsid w:val="007742E6"/>
    <w:rsid w:val="0077462E"/>
    <w:rsid w:val="007758C3"/>
    <w:rsid w:val="00776420"/>
    <w:rsid w:val="00776621"/>
    <w:rsid w:val="007777D4"/>
    <w:rsid w:val="00777A1C"/>
    <w:rsid w:val="00777BE7"/>
    <w:rsid w:val="00777C29"/>
    <w:rsid w:val="00777DBB"/>
    <w:rsid w:val="00777F0E"/>
    <w:rsid w:val="00777FB7"/>
    <w:rsid w:val="00780773"/>
    <w:rsid w:val="007811BB"/>
    <w:rsid w:val="007816C1"/>
    <w:rsid w:val="007819DE"/>
    <w:rsid w:val="00781A4D"/>
    <w:rsid w:val="00781D3D"/>
    <w:rsid w:val="00781E71"/>
    <w:rsid w:val="007820A1"/>
    <w:rsid w:val="00782B3B"/>
    <w:rsid w:val="00782CE5"/>
    <w:rsid w:val="00782DC5"/>
    <w:rsid w:val="0078324B"/>
    <w:rsid w:val="00783ABF"/>
    <w:rsid w:val="00783B63"/>
    <w:rsid w:val="007851E4"/>
    <w:rsid w:val="00785AB3"/>
    <w:rsid w:val="0079007D"/>
    <w:rsid w:val="00790D42"/>
    <w:rsid w:val="007910B1"/>
    <w:rsid w:val="00791196"/>
    <w:rsid w:val="007911D2"/>
    <w:rsid w:val="00791C05"/>
    <w:rsid w:val="00792A6F"/>
    <w:rsid w:val="00792B1D"/>
    <w:rsid w:val="00792BAD"/>
    <w:rsid w:val="0079349F"/>
    <w:rsid w:val="00794529"/>
    <w:rsid w:val="0079488C"/>
    <w:rsid w:val="00794B3C"/>
    <w:rsid w:val="00795388"/>
    <w:rsid w:val="00795453"/>
    <w:rsid w:val="00795464"/>
    <w:rsid w:val="0079560E"/>
    <w:rsid w:val="00795B0F"/>
    <w:rsid w:val="00795D79"/>
    <w:rsid w:val="0079677F"/>
    <w:rsid w:val="007967FE"/>
    <w:rsid w:val="00796F51"/>
    <w:rsid w:val="0079774A"/>
    <w:rsid w:val="00797AFD"/>
    <w:rsid w:val="00797CE5"/>
    <w:rsid w:val="007A005A"/>
    <w:rsid w:val="007A03C3"/>
    <w:rsid w:val="007A0C9C"/>
    <w:rsid w:val="007A2070"/>
    <w:rsid w:val="007A350F"/>
    <w:rsid w:val="007A4788"/>
    <w:rsid w:val="007A4BD3"/>
    <w:rsid w:val="007A4CAC"/>
    <w:rsid w:val="007A4D79"/>
    <w:rsid w:val="007A4E71"/>
    <w:rsid w:val="007A4F4D"/>
    <w:rsid w:val="007A50A4"/>
    <w:rsid w:val="007A68B5"/>
    <w:rsid w:val="007B0F0C"/>
    <w:rsid w:val="007B12B6"/>
    <w:rsid w:val="007B15CF"/>
    <w:rsid w:val="007B1B54"/>
    <w:rsid w:val="007B219D"/>
    <w:rsid w:val="007B3A12"/>
    <w:rsid w:val="007B424F"/>
    <w:rsid w:val="007B42B6"/>
    <w:rsid w:val="007B4A71"/>
    <w:rsid w:val="007B537D"/>
    <w:rsid w:val="007B57B3"/>
    <w:rsid w:val="007B5889"/>
    <w:rsid w:val="007B5BF6"/>
    <w:rsid w:val="007B5C0B"/>
    <w:rsid w:val="007B63E0"/>
    <w:rsid w:val="007B65EA"/>
    <w:rsid w:val="007B6705"/>
    <w:rsid w:val="007B7365"/>
    <w:rsid w:val="007B7C54"/>
    <w:rsid w:val="007C008F"/>
    <w:rsid w:val="007C0391"/>
    <w:rsid w:val="007C03A1"/>
    <w:rsid w:val="007C03C5"/>
    <w:rsid w:val="007C0B8F"/>
    <w:rsid w:val="007C1150"/>
    <w:rsid w:val="007C1353"/>
    <w:rsid w:val="007C18CF"/>
    <w:rsid w:val="007C1F11"/>
    <w:rsid w:val="007C35C0"/>
    <w:rsid w:val="007C3FFF"/>
    <w:rsid w:val="007C51DC"/>
    <w:rsid w:val="007C5849"/>
    <w:rsid w:val="007C5D18"/>
    <w:rsid w:val="007C5EAB"/>
    <w:rsid w:val="007C6003"/>
    <w:rsid w:val="007C6404"/>
    <w:rsid w:val="007C7260"/>
    <w:rsid w:val="007C73DC"/>
    <w:rsid w:val="007C7EEF"/>
    <w:rsid w:val="007D0102"/>
    <w:rsid w:val="007D0A9A"/>
    <w:rsid w:val="007D1E83"/>
    <w:rsid w:val="007D1F9D"/>
    <w:rsid w:val="007D288B"/>
    <w:rsid w:val="007D2DCE"/>
    <w:rsid w:val="007D3DB4"/>
    <w:rsid w:val="007D44B2"/>
    <w:rsid w:val="007D487C"/>
    <w:rsid w:val="007D4F6A"/>
    <w:rsid w:val="007D54A5"/>
    <w:rsid w:val="007D5D07"/>
    <w:rsid w:val="007D6043"/>
    <w:rsid w:val="007D6053"/>
    <w:rsid w:val="007D60C5"/>
    <w:rsid w:val="007D65F3"/>
    <w:rsid w:val="007D6E5E"/>
    <w:rsid w:val="007D7219"/>
    <w:rsid w:val="007D7679"/>
    <w:rsid w:val="007E034D"/>
    <w:rsid w:val="007E07ED"/>
    <w:rsid w:val="007E1119"/>
    <w:rsid w:val="007E1509"/>
    <w:rsid w:val="007E266A"/>
    <w:rsid w:val="007E29D7"/>
    <w:rsid w:val="007E2E16"/>
    <w:rsid w:val="007E2F77"/>
    <w:rsid w:val="007E341E"/>
    <w:rsid w:val="007E4327"/>
    <w:rsid w:val="007E443F"/>
    <w:rsid w:val="007E5786"/>
    <w:rsid w:val="007E6568"/>
    <w:rsid w:val="007E7B9B"/>
    <w:rsid w:val="007E7D4F"/>
    <w:rsid w:val="007F0577"/>
    <w:rsid w:val="007F0C78"/>
    <w:rsid w:val="007F0F75"/>
    <w:rsid w:val="007F1CF9"/>
    <w:rsid w:val="007F341A"/>
    <w:rsid w:val="007F3E20"/>
    <w:rsid w:val="007F417F"/>
    <w:rsid w:val="007F46F5"/>
    <w:rsid w:val="007F5728"/>
    <w:rsid w:val="007F620A"/>
    <w:rsid w:val="007F66E3"/>
    <w:rsid w:val="007F68C8"/>
    <w:rsid w:val="007F6CCC"/>
    <w:rsid w:val="007F6FAB"/>
    <w:rsid w:val="007F7F05"/>
    <w:rsid w:val="00800127"/>
    <w:rsid w:val="008003AD"/>
    <w:rsid w:val="00800595"/>
    <w:rsid w:val="00801245"/>
    <w:rsid w:val="00801CA0"/>
    <w:rsid w:val="00802AAE"/>
    <w:rsid w:val="008030AE"/>
    <w:rsid w:val="008033E3"/>
    <w:rsid w:val="00803595"/>
    <w:rsid w:val="00804F0A"/>
    <w:rsid w:val="00804F16"/>
    <w:rsid w:val="00805A6F"/>
    <w:rsid w:val="00805DAE"/>
    <w:rsid w:val="00806434"/>
    <w:rsid w:val="0080663D"/>
    <w:rsid w:val="00806752"/>
    <w:rsid w:val="00806CB8"/>
    <w:rsid w:val="00807E0E"/>
    <w:rsid w:val="008112C3"/>
    <w:rsid w:val="008114B1"/>
    <w:rsid w:val="00812FF5"/>
    <w:rsid w:val="008138A7"/>
    <w:rsid w:val="008138CD"/>
    <w:rsid w:val="00813BDA"/>
    <w:rsid w:val="00813F75"/>
    <w:rsid w:val="00814BEA"/>
    <w:rsid w:val="00814C84"/>
    <w:rsid w:val="008152FF"/>
    <w:rsid w:val="0081536C"/>
    <w:rsid w:val="00815850"/>
    <w:rsid w:val="008159C4"/>
    <w:rsid w:val="00815DFF"/>
    <w:rsid w:val="008164CF"/>
    <w:rsid w:val="00816B48"/>
    <w:rsid w:val="00816D1D"/>
    <w:rsid w:val="00817418"/>
    <w:rsid w:val="00817823"/>
    <w:rsid w:val="00817C83"/>
    <w:rsid w:val="00820083"/>
    <w:rsid w:val="00820B6E"/>
    <w:rsid w:val="00820E85"/>
    <w:rsid w:val="00820EA1"/>
    <w:rsid w:val="00821B2C"/>
    <w:rsid w:val="00821D20"/>
    <w:rsid w:val="00821E8B"/>
    <w:rsid w:val="00823950"/>
    <w:rsid w:val="00823ECA"/>
    <w:rsid w:val="00824021"/>
    <w:rsid w:val="00824CB5"/>
    <w:rsid w:val="00824CB7"/>
    <w:rsid w:val="00824FD5"/>
    <w:rsid w:val="00825242"/>
    <w:rsid w:val="008258DE"/>
    <w:rsid w:val="00825A89"/>
    <w:rsid w:val="00825B63"/>
    <w:rsid w:val="00825D11"/>
    <w:rsid w:val="00826068"/>
    <w:rsid w:val="0082630C"/>
    <w:rsid w:val="008278F2"/>
    <w:rsid w:val="00827BF7"/>
    <w:rsid w:val="00827F73"/>
    <w:rsid w:val="00830380"/>
    <w:rsid w:val="00830B07"/>
    <w:rsid w:val="00830F31"/>
    <w:rsid w:val="008317BB"/>
    <w:rsid w:val="008317DA"/>
    <w:rsid w:val="008327C1"/>
    <w:rsid w:val="00832CAF"/>
    <w:rsid w:val="0083319D"/>
    <w:rsid w:val="008335A2"/>
    <w:rsid w:val="008343E5"/>
    <w:rsid w:val="008359C7"/>
    <w:rsid w:val="008369C6"/>
    <w:rsid w:val="00836C71"/>
    <w:rsid w:val="00836E94"/>
    <w:rsid w:val="00837269"/>
    <w:rsid w:val="00837679"/>
    <w:rsid w:val="00837F04"/>
    <w:rsid w:val="00840067"/>
    <w:rsid w:val="00840C4E"/>
    <w:rsid w:val="00842030"/>
    <w:rsid w:val="00842745"/>
    <w:rsid w:val="008427B1"/>
    <w:rsid w:val="00842BAD"/>
    <w:rsid w:val="008431EF"/>
    <w:rsid w:val="008434C9"/>
    <w:rsid w:val="00844269"/>
    <w:rsid w:val="008446ED"/>
    <w:rsid w:val="00844B96"/>
    <w:rsid w:val="0084530F"/>
    <w:rsid w:val="00845385"/>
    <w:rsid w:val="008459C2"/>
    <w:rsid w:val="00845ADB"/>
    <w:rsid w:val="00845C66"/>
    <w:rsid w:val="008465DC"/>
    <w:rsid w:val="0084667A"/>
    <w:rsid w:val="00847288"/>
    <w:rsid w:val="00847385"/>
    <w:rsid w:val="008474D4"/>
    <w:rsid w:val="00847D0D"/>
    <w:rsid w:val="00847F12"/>
    <w:rsid w:val="008507E0"/>
    <w:rsid w:val="008508D0"/>
    <w:rsid w:val="008509B4"/>
    <w:rsid w:val="00851D81"/>
    <w:rsid w:val="008523CB"/>
    <w:rsid w:val="00852B33"/>
    <w:rsid w:val="00852F30"/>
    <w:rsid w:val="00853953"/>
    <w:rsid w:val="008541CF"/>
    <w:rsid w:val="00854D51"/>
    <w:rsid w:val="00854F5C"/>
    <w:rsid w:val="008552E1"/>
    <w:rsid w:val="0085596C"/>
    <w:rsid w:val="00857433"/>
    <w:rsid w:val="00860184"/>
    <w:rsid w:val="008603A1"/>
    <w:rsid w:val="00861A84"/>
    <w:rsid w:val="00862DEE"/>
    <w:rsid w:val="00863424"/>
    <w:rsid w:val="0086362A"/>
    <w:rsid w:val="00863730"/>
    <w:rsid w:val="00864264"/>
    <w:rsid w:val="0086448B"/>
    <w:rsid w:val="00866259"/>
    <w:rsid w:val="00866915"/>
    <w:rsid w:val="00866EE1"/>
    <w:rsid w:val="008672EC"/>
    <w:rsid w:val="008676AF"/>
    <w:rsid w:val="0087016A"/>
    <w:rsid w:val="00870F4C"/>
    <w:rsid w:val="0087103A"/>
    <w:rsid w:val="00871572"/>
    <w:rsid w:val="00872677"/>
    <w:rsid w:val="0087280E"/>
    <w:rsid w:val="00872D76"/>
    <w:rsid w:val="00873A16"/>
    <w:rsid w:val="00873EBC"/>
    <w:rsid w:val="00874100"/>
    <w:rsid w:val="00874239"/>
    <w:rsid w:val="00874A78"/>
    <w:rsid w:val="00874C2D"/>
    <w:rsid w:val="008751C6"/>
    <w:rsid w:val="008752C9"/>
    <w:rsid w:val="008758F1"/>
    <w:rsid w:val="00875BE8"/>
    <w:rsid w:val="0087687F"/>
    <w:rsid w:val="00876C56"/>
    <w:rsid w:val="008775D0"/>
    <w:rsid w:val="00877D46"/>
    <w:rsid w:val="00877F54"/>
    <w:rsid w:val="00881142"/>
    <w:rsid w:val="00881276"/>
    <w:rsid w:val="00882CD3"/>
    <w:rsid w:val="008835CF"/>
    <w:rsid w:val="008837E2"/>
    <w:rsid w:val="00885B66"/>
    <w:rsid w:val="00886001"/>
    <w:rsid w:val="008866DA"/>
    <w:rsid w:val="00886773"/>
    <w:rsid w:val="0088686E"/>
    <w:rsid w:val="00886D35"/>
    <w:rsid w:val="00886FFE"/>
    <w:rsid w:val="00890469"/>
    <w:rsid w:val="00890531"/>
    <w:rsid w:val="00891115"/>
    <w:rsid w:val="0089154B"/>
    <w:rsid w:val="00891A2F"/>
    <w:rsid w:val="00891EC4"/>
    <w:rsid w:val="0089251A"/>
    <w:rsid w:val="008928FE"/>
    <w:rsid w:val="0089300E"/>
    <w:rsid w:val="00893774"/>
    <w:rsid w:val="00893972"/>
    <w:rsid w:val="00894B8D"/>
    <w:rsid w:val="00894CCE"/>
    <w:rsid w:val="00894F7D"/>
    <w:rsid w:val="0089503D"/>
    <w:rsid w:val="008958D3"/>
    <w:rsid w:val="00895EC3"/>
    <w:rsid w:val="00895F07"/>
    <w:rsid w:val="00896085"/>
    <w:rsid w:val="0089647C"/>
    <w:rsid w:val="00896C7F"/>
    <w:rsid w:val="008972F3"/>
    <w:rsid w:val="00897B5A"/>
    <w:rsid w:val="008A016A"/>
    <w:rsid w:val="008A0FCE"/>
    <w:rsid w:val="008A12F1"/>
    <w:rsid w:val="008A1320"/>
    <w:rsid w:val="008A20F0"/>
    <w:rsid w:val="008A317B"/>
    <w:rsid w:val="008A3335"/>
    <w:rsid w:val="008A379C"/>
    <w:rsid w:val="008A388B"/>
    <w:rsid w:val="008A392E"/>
    <w:rsid w:val="008A3D9D"/>
    <w:rsid w:val="008A3DEA"/>
    <w:rsid w:val="008A41F9"/>
    <w:rsid w:val="008A4285"/>
    <w:rsid w:val="008A4B72"/>
    <w:rsid w:val="008A56A4"/>
    <w:rsid w:val="008A5C9D"/>
    <w:rsid w:val="008A5FB9"/>
    <w:rsid w:val="008A6167"/>
    <w:rsid w:val="008A6453"/>
    <w:rsid w:val="008A65ED"/>
    <w:rsid w:val="008A6D0F"/>
    <w:rsid w:val="008A7518"/>
    <w:rsid w:val="008A761F"/>
    <w:rsid w:val="008A7990"/>
    <w:rsid w:val="008B02A7"/>
    <w:rsid w:val="008B0731"/>
    <w:rsid w:val="008B0C08"/>
    <w:rsid w:val="008B15B3"/>
    <w:rsid w:val="008B1C98"/>
    <w:rsid w:val="008B23B2"/>
    <w:rsid w:val="008B37AD"/>
    <w:rsid w:val="008B3A78"/>
    <w:rsid w:val="008B3F2B"/>
    <w:rsid w:val="008B4821"/>
    <w:rsid w:val="008B52C3"/>
    <w:rsid w:val="008B5455"/>
    <w:rsid w:val="008B5CB8"/>
    <w:rsid w:val="008B5EA0"/>
    <w:rsid w:val="008B6075"/>
    <w:rsid w:val="008B6B42"/>
    <w:rsid w:val="008B6EC2"/>
    <w:rsid w:val="008B6FC3"/>
    <w:rsid w:val="008B7BD0"/>
    <w:rsid w:val="008B7C74"/>
    <w:rsid w:val="008C07DC"/>
    <w:rsid w:val="008C09F2"/>
    <w:rsid w:val="008C0F25"/>
    <w:rsid w:val="008C1221"/>
    <w:rsid w:val="008C1294"/>
    <w:rsid w:val="008C173B"/>
    <w:rsid w:val="008C1EE2"/>
    <w:rsid w:val="008C2763"/>
    <w:rsid w:val="008C2953"/>
    <w:rsid w:val="008C2A7B"/>
    <w:rsid w:val="008C2E2C"/>
    <w:rsid w:val="008C3541"/>
    <w:rsid w:val="008C3C9C"/>
    <w:rsid w:val="008C477F"/>
    <w:rsid w:val="008C580A"/>
    <w:rsid w:val="008C597C"/>
    <w:rsid w:val="008C5D01"/>
    <w:rsid w:val="008C607C"/>
    <w:rsid w:val="008C6E0B"/>
    <w:rsid w:val="008C760E"/>
    <w:rsid w:val="008C769E"/>
    <w:rsid w:val="008C7B79"/>
    <w:rsid w:val="008D0FC0"/>
    <w:rsid w:val="008D16B4"/>
    <w:rsid w:val="008D185E"/>
    <w:rsid w:val="008D1ADD"/>
    <w:rsid w:val="008D1C2A"/>
    <w:rsid w:val="008D1E72"/>
    <w:rsid w:val="008D2151"/>
    <w:rsid w:val="008D2AE5"/>
    <w:rsid w:val="008D2CF3"/>
    <w:rsid w:val="008D2F44"/>
    <w:rsid w:val="008D444D"/>
    <w:rsid w:val="008D46BC"/>
    <w:rsid w:val="008D5EB1"/>
    <w:rsid w:val="008D66B8"/>
    <w:rsid w:val="008D6DF5"/>
    <w:rsid w:val="008E0220"/>
    <w:rsid w:val="008E02C7"/>
    <w:rsid w:val="008E0841"/>
    <w:rsid w:val="008E0F0C"/>
    <w:rsid w:val="008E1AE3"/>
    <w:rsid w:val="008E1DFF"/>
    <w:rsid w:val="008E37FF"/>
    <w:rsid w:val="008E44B4"/>
    <w:rsid w:val="008E4588"/>
    <w:rsid w:val="008E50C0"/>
    <w:rsid w:val="008E52E2"/>
    <w:rsid w:val="008E584D"/>
    <w:rsid w:val="008E5D97"/>
    <w:rsid w:val="008E6236"/>
    <w:rsid w:val="008F001B"/>
    <w:rsid w:val="008F00CF"/>
    <w:rsid w:val="008F0148"/>
    <w:rsid w:val="008F1039"/>
    <w:rsid w:val="008F396E"/>
    <w:rsid w:val="008F3CE9"/>
    <w:rsid w:val="008F3D52"/>
    <w:rsid w:val="008F3E0D"/>
    <w:rsid w:val="008F4AAB"/>
    <w:rsid w:val="008F550E"/>
    <w:rsid w:val="008F556E"/>
    <w:rsid w:val="008F59E6"/>
    <w:rsid w:val="008F5A33"/>
    <w:rsid w:val="008F685B"/>
    <w:rsid w:val="008F6D62"/>
    <w:rsid w:val="008F73B9"/>
    <w:rsid w:val="008F74E6"/>
    <w:rsid w:val="008F77A1"/>
    <w:rsid w:val="008F7847"/>
    <w:rsid w:val="008F79F3"/>
    <w:rsid w:val="008F7D0D"/>
    <w:rsid w:val="00900305"/>
    <w:rsid w:val="009004A2"/>
    <w:rsid w:val="00900539"/>
    <w:rsid w:val="009005B2"/>
    <w:rsid w:val="00901F65"/>
    <w:rsid w:val="0090217A"/>
    <w:rsid w:val="00902929"/>
    <w:rsid w:val="00902DC7"/>
    <w:rsid w:val="00903E56"/>
    <w:rsid w:val="00903FEC"/>
    <w:rsid w:val="0090403D"/>
    <w:rsid w:val="00905200"/>
    <w:rsid w:val="009053E8"/>
    <w:rsid w:val="00905927"/>
    <w:rsid w:val="00905AC6"/>
    <w:rsid w:val="00905C3D"/>
    <w:rsid w:val="009061C3"/>
    <w:rsid w:val="009062DA"/>
    <w:rsid w:val="0090631B"/>
    <w:rsid w:val="0090713B"/>
    <w:rsid w:val="009072C1"/>
    <w:rsid w:val="009076F8"/>
    <w:rsid w:val="009077B7"/>
    <w:rsid w:val="00907EED"/>
    <w:rsid w:val="00910327"/>
    <w:rsid w:val="0091044C"/>
    <w:rsid w:val="00910559"/>
    <w:rsid w:val="009107D8"/>
    <w:rsid w:val="00910AC9"/>
    <w:rsid w:val="009114D7"/>
    <w:rsid w:val="00911574"/>
    <w:rsid w:val="00911C45"/>
    <w:rsid w:val="00911E82"/>
    <w:rsid w:val="00911F71"/>
    <w:rsid w:val="009128BC"/>
    <w:rsid w:val="00912C0D"/>
    <w:rsid w:val="00913139"/>
    <w:rsid w:val="00913A02"/>
    <w:rsid w:val="00913A6B"/>
    <w:rsid w:val="00914C51"/>
    <w:rsid w:val="00914E14"/>
    <w:rsid w:val="009155D4"/>
    <w:rsid w:val="009157F3"/>
    <w:rsid w:val="00915ACE"/>
    <w:rsid w:val="00916421"/>
    <w:rsid w:val="00916B39"/>
    <w:rsid w:val="00917685"/>
    <w:rsid w:val="00917F82"/>
    <w:rsid w:val="0092057C"/>
    <w:rsid w:val="00920831"/>
    <w:rsid w:val="009208D1"/>
    <w:rsid w:val="00920988"/>
    <w:rsid w:val="0092179A"/>
    <w:rsid w:val="00921A13"/>
    <w:rsid w:val="00922F07"/>
    <w:rsid w:val="009244DB"/>
    <w:rsid w:val="00924534"/>
    <w:rsid w:val="009252B5"/>
    <w:rsid w:val="00925701"/>
    <w:rsid w:val="00925B18"/>
    <w:rsid w:val="00925CF2"/>
    <w:rsid w:val="00926354"/>
    <w:rsid w:val="0092643A"/>
    <w:rsid w:val="00926A2C"/>
    <w:rsid w:val="00926F34"/>
    <w:rsid w:val="00930E82"/>
    <w:rsid w:val="00930ED5"/>
    <w:rsid w:val="009319EE"/>
    <w:rsid w:val="009321F2"/>
    <w:rsid w:val="009328A8"/>
    <w:rsid w:val="0093290C"/>
    <w:rsid w:val="00932C2B"/>
    <w:rsid w:val="0093377E"/>
    <w:rsid w:val="0093393E"/>
    <w:rsid w:val="00933EFC"/>
    <w:rsid w:val="0093407A"/>
    <w:rsid w:val="0093409D"/>
    <w:rsid w:val="009344E6"/>
    <w:rsid w:val="009353FF"/>
    <w:rsid w:val="00935B0B"/>
    <w:rsid w:val="00935CAE"/>
    <w:rsid w:val="00935CBA"/>
    <w:rsid w:val="00935CFF"/>
    <w:rsid w:val="00935D19"/>
    <w:rsid w:val="00936570"/>
    <w:rsid w:val="00936664"/>
    <w:rsid w:val="009370A5"/>
    <w:rsid w:val="00937566"/>
    <w:rsid w:val="00937825"/>
    <w:rsid w:val="00940336"/>
    <w:rsid w:val="00940933"/>
    <w:rsid w:val="00940945"/>
    <w:rsid w:val="00940B2E"/>
    <w:rsid w:val="00941395"/>
    <w:rsid w:val="0094141E"/>
    <w:rsid w:val="0094181A"/>
    <w:rsid w:val="00941BE0"/>
    <w:rsid w:val="00941EAF"/>
    <w:rsid w:val="0094274B"/>
    <w:rsid w:val="0094276C"/>
    <w:rsid w:val="0094302E"/>
    <w:rsid w:val="009432E9"/>
    <w:rsid w:val="009434CE"/>
    <w:rsid w:val="0094398B"/>
    <w:rsid w:val="00943A02"/>
    <w:rsid w:val="00943E21"/>
    <w:rsid w:val="009443EC"/>
    <w:rsid w:val="00944D12"/>
    <w:rsid w:val="00944FED"/>
    <w:rsid w:val="009451B5"/>
    <w:rsid w:val="00945464"/>
    <w:rsid w:val="00945B02"/>
    <w:rsid w:val="00946438"/>
    <w:rsid w:val="00946703"/>
    <w:rsid w:val="009467E1"/>
    <w:rsid w:val="009468E2"/>
    <w:rsid w:val="009476FE"/>
    <w:rsid w:val="0094785D"/>
    <w:rsid w:val="00947A5B"/>
    <w:rsid w:val="00947FA4"/>
    <w:rsid w:val="00951EE7"/>
    <w:rsid w:val="00952AE7"/>
    <w:rsid w:val="00953A9B"/>
    <w:rsid w:val="00953ACA"/>
    <w:rsid w:val="00953FB4"/>
    <w:rsid w:val="0095431E"/>
    <w:rsid w:val="00954E11"/>
    <w:rsid w:val="00954FE6"/>
    <w:rsid w:val="009552F4"/>
    <w:rsid w:val="0095540B"/>
    <w:rsid w:val="009558B7"/>
    <w:rsid w:val="00956830"/>
    <w:rsid w:val="00956C82"/>
    <w:rsid w:val="00957258"/>
    <w:rsid w:val="00957B3A"/>
    <w:rsid w:val="009602D0"/>
    <w:rsid w:val="009613FF"/>
    <w:rsid w:val="009615E1"/>
    <w:rsid w:val="00961CC4"/>
    <w:rsid w:val="00962BB9"/>
    <w:rsid w:val="00962E94"/>
    <w:rsid w:val="00963089"/>
    <w:rsid w:val="009638E4"/>
    <w:rsid w:val="00964114"/>
    <w:rsid w:val="00964D0A"/>
    <w:rsid w:val="00964D44"/>
    <w:rsid w:val="00964F98"/>
    <w:rsid w:val="00965085"/>
    <w:rsid w:val="009650F3"/>
    <w:rsid w:val="0096592C"/>
    <w:rsid w:val="00965C17"/>
    <w:rsid w:val="009667CE"/>
    <w:rsid w:val="009668C6"/>
    <w:rsid w:val="00966AB5"/>
    <w:rsid w:val="00967BA8"/>
    <w:rsid w:val="00970479"/>
    <w:rsid w:val="00970974"/>
    <w:rsid w:val="00971BEC"/>
    <w:rsid w:val="00971C48"/>
    <w:rsid w:val="00973607"/>
    <w:rsid w:val="00973E7C"/>
    <w:rsid w:val="00973F29"/>
    <w:rsid w:val="0097425D"/>
    <w:rsid w:val="009744E1"/>
    <w:rsid w:val="009749D6"/>
    <w:rsid w:val="00974BBA"/>
    <w:rsid w:val="00974CEE"/>
    <w:rsid w:val="00974D28"/>
    <w:rsid w:val="00975149"/>
    <w:rsid w:val="00975998"/>
    <w:rsid w:val="009764E6"/>
    <w:rsid w:val="00976F1D"/>
    <w:rsid w:val="00977362"/>
    <w:rsid w:val="009773F9"/>
    <w:rsid w:val="00980A0C"/>
    <w:rsid w:val="00981831"/>
    <w:rsid w:val="0098230E"/>
    <w:rsid w:val="009824D1"/>
    <w:rsid w:val="009828CC"/>
    <w:rsid w:val="009829DF"/>
    <w:rsid w:val="009831E4"/>
    <w:rsid w:val="009839A0"/>
    <w:rsid w:val="00983AA4"/>
    <w:rsid w:val="00983D10"/>
    <w:rsid w:val="009840D9"/>
    <w:rsid w:val="009842F0"/>
    <w:rsid w:val="0098451B"/>
    <w:rsid w:val="00985AFE"/>
    <w:rsid w:val="00985B9D"/>
    <w:rsid w:val="00985C05"/>
    <w:rsid w:val="00987515"/>
    <w:rsid w:val="0098799B"/>
    <w:rsid w:val="00987B9E"/>
    <w:rsid w:val="00990F3B"/>
    <w:rsid w:val="00991350"/>
    <w:rsid w:val="00991BAB"/>
    <w:rsid w:val="00992661"/>
    <w:rsid w:val="00992FB2"/>
    <w:rsid w:val="00993001"/>
    <w:rsid w:val="009931AE"/>
    <w:rsid w:val="00993412"/>
    <w:rsid w:val="00993786"/>
    <w:rsid w:val="00993AF7"/>
    <w:rsid w:val="00993C21"/>
    <w:rsid w:val="00993C6B"/>
    <w:rsid w:val="00994002"/>
    <w:rsid w:val="0099426E"/>
    <w:rsid w:val="00994842"/>
    <w:rsid w:val="00994C9D"/>
    <w:rsid w:val="00997566"/>
    <w:rsid w:val="00997868"/>
    <w:rsid w:val="00997BAF"/>
    <w:rsid w:val="009A1B91"/>
    <w:rsid w:val="009A2A88"/>
    <w:rsid w:val="009A2FB5"/>
    <w:rsid w:val="009A2FDE"/>
    <w:rsid w:val="009A33E0"/>
    <w:rsid w:val="009A3C3E"/>
    <w:rsid w:val="009A3E3E"/>
    <w:rsid w:val="009A4090"/>
    <w:rsid w:val="009A44A1"/>
    <w:rsid w:val="009A4527"/>
    <w:rsid w:val="009A4818"/>
    <w:rsid w:val="009A4868"/>
    <w:rsid w:val="009A4A19"/>
    <w:rsid w:val="009A5A4F"/>
    <w:rsid w:val="009A5DAE"/>
    <w:rsid w:val="009A68A0"/>
    <w:rsid w:val="009A6A6D"/>
    <w:rsid w:val="009A71ED"/>
    <w:rsid w:val="009A756D"/>
    <w:rsid w:val="009A758F"/>
    <w:rsid w:val="009A78C1"/>
    <w:rsid w:val="009A7935"/>
    <w:rsid w:val="009B00B5"/>
    <w:rsid w:val="009B07C8"/>
    <w:rsid w:val="009B0B02"/>
    <w:rsid w:val="009B24C6"/>
    <w:rsid w:val="009B2AEB"/>
    <w:rsid w:val="009B30F5"/>
    <w:rsid w:val="009B376E"/>
    <w:rsid w:val="009B3C04"/>
    <w:rsid w:val="009B4375"/>
    <w:rsid w:val="009B4ADB"/>
    <w:rsid w:val="009B4C08"/>
    <w:rsid w:val="009B503D"/>
    <w:rsid w:val="009B519F"/>
    <w:rsid w:val="009B7489"/>
    <w:rsid w:val="009B7B40"/>
    <w:rsid w:val="009B7DF5"/>
    <w:rsid w:val="009C0026"/>
    <w:rsid w:val="009C0187"/>
    <w:rsid w:val="009C1844"/>
    <w:rsid w:val="009C191F"/>
    <w:rsid w:val="009C19C6"/>
    <w:rsid w:val="009C1A04"/>
    <w:rsid w:val="009C31ED"/>
    <w:rsid w:val="009C32F1"/>
    <w:rsid w:val="009C3815"/>
    <w:rsid w:val="009C43EB"/>
    <w:rsid w:val="009C4B69"/>
    <w:rsid w:val="009C5EB0"/>
    <w:rsid w:val="009C60CA"/>
    <w:rsid w:val="009C6114"/>
    <w:rsid w:val="009C65B1"/>
    <w:rsid w:val="009C67FE"/>
    <w:rsid w:val="009C6E85"/>
    <w:rsid w:val="009C6EC2"/>
    <w:rsid w:val="009C792B"/>
    <w:rsid w:val="009D03B7"/>
    <w:rsid w:val="009D0794"/>
    <w:rsid w:val="009D0B06"/>
    <w:rsid w:val="009D0D2F"/>
    <w:rsid w:val="009D1DDA"/>
    <w:rsid w:val="009D2C9B"/>
    <w:rsid w:val="009D3083"/>
    <w:rsid w:val="009D396B"/>
    <w:rsid w:val="009D39F0"/>
    <w:rsid w:val="009D3B2C"/>
    <w:rsid w:val="009D4434"/>
    <w:rsid w:val="009D5769"/>
    <w:rsid w:val="009D5861"/>
    <w:rsid w:val="009D6573"/>
    <w:rsid w:val="009D6733"/>
    <w:rsid w:val="009D6ACB"/>
    <w:rsid w:val="009D6D9D"/>
    <w:rsid w:val="009D7542"/>
    <w:rsid w:val="009D7641"/>
    <w:rsid w:val="009D796D"/>
    <w:rsid w:val="009D7BAB"/>
    <w:rsid w:val="009E0B85"/>
    <w:rsid w:val="009E0DFC"/>
    <w:rsid w:val="009E115E"/>
    <w:rsid w:val="009E2D16"/>
    <w:rsid w:val="009E4385"/>
    <w:rsid w:val="009E4456"/>
    <w:rsid w:val="009E4CAF"/>
    <w:rsid w:val="009E4DDC"/>
    <w:rsid w:val="009E5053"/>
    <w:rsid w:val="009E505B"/>
    <w:rsid w:val="009E57D1"/>
    <w:rsid w:val="009E57F4"/>
    <w:rsid w:val="009E61DC"/>
    <w:rsid w:val="009E693D"/>
    <w:rsid w:val="009E6C6C"/>
    <w:rsid w:val="009E6CE6"/>
    <w:rsid w:val="009E7505"/>
    <w:rsid w:val="009E7B2F"/>
    <w:rsid w:val="009E7BFC"/>
    <w:rsid w:val="009F063C"/>
    <w:rsid w:val="009F148D"/>
    <w:rsid w:val="009F1678"/>
    <w:rsid w:val="009F24B9"/>
    <w:rsid w:val="009F2716"/>
    <w:rsid w:val="009F340E"/>
    <w:rsid w:val="009F3A86"/>
    <w:rsid w:val="009F3C9C"/>
    <w:rsid w:val="009F3F5F"/>
    <w:rsid w:val="009F4316"/>
    <w:rsid w:val="009F4B33"/>
    <w:rsid w:val="009F4F63"/>
    <w:rsid w:val="009F52BB"/>
    <w:rsid w:val="009F59D7"/>
    <w:rsid w:val="009F5AF5"/>
    <w:rsid w:val="009F63E9"/>
    <w:rsid w:val="009F7BEC"/>
    <w:rsid w:val="00A00B70"/>
    <w:rsid w:val="00A02EDD"/>
    <w:rsid w:val="00A02F12"/>
    <w:rsid w:val="00A031F5"/>
    <w:rsid w:val="00A03609"/>
    <w:rsid w:val="00A03A33"/>
    <w:rsid w:val="00A04294"/>
    <w:rsid w:val="00A0502A"/>
    <w:rsid w:val="00A057F4"/>
    <w:rsid w:val="00A0598C"/>
    <w:rsid w:val="00A05F22"/>
    <w:rsid w:val="00A06DA3"/>
    <w:rsid w:val="00A06F2E"/>
    <w:rsid w:val="00A07807"/>
    <w:rsid w:val="00A07FBD"/>
    <w:rsid w:val="00A07FFA"/>
    <w:rsid w:val="00A101EE"/>
    <w:rsid w:val="00A10259"/>
    <w:rsid w:val="00A10B1C"/>
    <w:rsid w:val="00A10CEB"/>
    <w:rsid w:val="00A1141A"/>
    <w:rsid w:val="00A11783"/>
    <w:rsid w:val="00A11A44"/>
    <w:rsid w:val="00A123CC"/>
    <w:rsid w:val="00A12BF6"/>
    <w:rsid w:val="00A12EA0"/>
    <w:rsid w:val="00A12F9E"/>
    <w:rsid w:val="00A13017"/>
    <w:rsid w:val="00A1330D"/>
    <w:rsid w:val="00A13534"/>
    <w:rsid w:val="00A13E7D"/>
    <w:rsid w:val="00A14309"/>
    <w:rsid w:val="00A14388"/>
    <w:rsid w:val="00A14923"/>
    <w:rsid w:val="00A14C9B"/>
    <w:rsid w:val="00A14E9D"/>
    <w:rsid w:val="00A15493"/>
    <w:rsid w:val="00A162FE"/>
    <w:rsid w:val="00A1747B"/>
    <w:rsid w:val="00A174B0"/>
    <w:rsid w:val="00A1769E"/>
    <w:rsid w:val="00A20062"/>
    <w:rsid w:val="00A200CA"/>
    <w:rsid w:val="00A2082A"/>
    <w:rsid w:val="00A2089F"/>
    <w:rsid w:val="00A21149"/>
    <w:rsid w:val="00A21F92"/>
    <w:rsid w:val="00A22026"/>
    <w:rsid w:val="00A22125"/>
    <w:rsid w:val="00A226A9"/>
    <w:rsid w:val="00A2299B"/>
    <w:rsid w:val="00A22E6C"/>
    <w:rsid w:val="00A23A9A"/>
    <w:rsid w:val="00A24EA6"/>
    <w:rsid w:val="00A24FCC"/>
    <w:rsid w:val="00A2525F"/>
    <w:rsid w:val="00A25E18"/>
    <w:rsid w:val="00A25EA6"/>
    <w:rsid w:val="00A263AA"/>
    <w:rsid w:val="00A2665B"/>
    <w:rsid w:val="00A2681C"/>
    <w:rsid w:val="00A27F6D"/>
    <w:rsid w:val="00A304BF"/>
    <w:rsid w:val="00A3068A"/>
    <w:rsid w:val="00A311C7"/>
    <w:rsid w:val="00A33D38"/>
    <w:rsid w:val="00A34498"/>
    <w:rsid w:val="00A3462A"/>
    <w:rsid w:val="00A350FC"/>
    <w:rsid w:val="00A358FC"/>
    <w:rsid w:val="00A35D0C"/>
    <w:rsid w:val="00A3602F"/>
    <w:rsid w:val="00A36B92"/>
    <w:rsid w:val="00A36BB7"/>
    <w:rsid w:val="00A36C54"/>
    <w:rsid w:val="00A36E60"/>
    <w:rsid w:val="00A377C7"/>
    <w:rsid w:val="00A3788E"/>
    <w:rsid w:val="00A401A3"/>
    <w:rsid w:val="00A40286"/>
    <w:rsid w:val="00A41794"/>
    <w:rsid w:val="00A41DB5"/>
    <w:rsid w:val="00A4203C"/>
    <w:rsid w:val="00A422F7"/>
    <w:rsid w:val="00A4266A"/>
    <w:rsid w:val="00A42999"/>
    <w:rsid w:val="00A43B06"/>
    <w:rsid w:val="00A43BF0"/>
    <w:rsid w:val="00A4446C"/>
    <w:rsid w:val="00A45475"/>
    <w:rsid w:val="00A457A2"/>
    <w:rsid w:val="00A466BF"/>
    <w:rsid w:val="00A4679A"/>
    <w:rsid w:val="00A4713B"/>
    <w:rsid w:val="00A474AB"/>
    <w:rsid w:val="00A4777B"/>
    <w:rsid w:val="00A47B7A"/>
    <w:rsid w:val="00A500E3"/>
    <w:rsid w:val="00A507B1"/>
    <w:rsid w:val="00A50AB5"/>
    <w:rsid w:val="00A514C4"/>
    <w:rsid w:val="00A514D0"/>
    <w:rsid w:val="00A51765"/>
    <w:rsid w:val="00A53075"/>
    <w:rsid w:val="00A53142"/>
    <w:rsid w:val="00A53427"/>
    <w:rsid w:val="00A53796"/>
    <w:rsid w:val="00A53D43"/>
    <w:rsid w:val="00A53E0C"/>
    <w:rsid w:val="00A55BB9"/>
    <w:rsid w:val="00A566DF"/>
    <w:rsid w:val="00A60763"/>
    <w:rsid w:val="00A60E5A"/>
    <w:rsid w:val="00A62422"/>
    <w:rsid w:val="00A62A8F"/>
    <w:rsid w:val="00A62C1E"/>
    <w:rsid w:val="00A63588"/>
    <w:rsid w:val="00A63E44"/>
    <w:rsid w:val="00A6420E"/>
    <w:rsid w:val="00A64F4B"/>
    <w:rsid w:val="00A64F8E"/>
    <w:rsid w:val="00A6514C"/>
    <w:rsid w:val="00A65808"/>
    <w:rsid w:val="00A66262"/>
    <w:rsid w:val="00A665CC"/>
    <w:rsid w:val="00A66877"/>
    <w:rsid w:val="00A66F71"/>
    <w:rsid w:val="00A67331"/>
    <w:rsid w:val="00A674A3"/>
    <w:rsid w:val="00A67742"/>
    <w:rsid w:val="00A67846"/>
    <w:rsid w:val="00A679ED"/>
    <w:rsid w:val="00A67CC9"/>
    <w:rsid w:val="00A67FB3"/>
    <w:rsid w:val="00A70069"/>
    <w:rsid w:val="00A701C6"/>
    <w:rsid w:val="00A71B9F"/>
    <w:rsid w:val="00A71E5E"/>
    <w:rsid w:val="00A71EC1"/>
    <w:rsid w:val="00A721A2"/>
    <w:rsid w:val="00A72E33"/>
    <w:rsid w:val="00A735BE"/>
    <w:rsid w:val="00A73919"/>
    <w:rsid w:val="00A73C3C"/>
    <w:rsid w:val="00A73EC4"/>
    <w:rsid w:val="00A749B6"/>
    <w:rsid w:val="00A74AF4"/>
    <w:rsid w:val="00A75C32"/>
    <w:rsid w:val="00A75DDA"/>
    <w:rsid w:val="00A762C6"/>
    <w:rsid w:val="00A762EE"/>
    <w:rsid w:val="00A763C7"/>
    <w:rsid w:val="00A76926"/>
    <w:rsid w:val="00A76BC9"/>
    <w:rsid w:val="00A802FC"/>
    <w:rsid w:val="00A805F2"/>
    <w:rsid w:val="00A80708"/>
    <w:rsid w:val="00A80CB9"/>
    <w:rsid w:val="00A81F5A"/>
    <w:rsid w:val="00A82093"/>
    <w:rsid w:val="00A823CF"/>
    <w:rsid w:val="00A83D24"/>
    <w:rsid w:val="00A84193"/>
    <w:rsid w:val="00A847FD"/>
    <w:rsid w:val="00A8489A"/>
    <w:rsid w:val="00A84E89"/>
    <w:rsid w:val="00A85939"/>
    <w:rsid w:val="00A85DF5"/>
    <w:rsid w:val="00A865F7"/>
    <w:rsid w:val="00A8727C"/>
    <w:rsid w:val="00A8735E"/>
    <w:rsid w:val="00A90A7E"/>
    <w:rsid w:val="00A9156A"/>
    <w:rsid w:val="00A92952"/>
    <w:rsid w:val="00A92C0E"/>
    <w:rsid w:val="00A93392"/>
    <w:rsid w:val="00A938EA"/>
    <w:rsid w:val="00A93B82"/>
    <w:rsid w:val="00A93DC5"/>
    <w:rsid w:val="00A94125"/>
    <w:rsid w:val="00A941DA"/>
    <w:rsid w:val="00A949D7"/>
    <w:rsid w:val="00A9506F"/>
    <w:rsid w:val="00A953D6"/>
    <w:rsid w:val="00A95EC9"/>
    <w:rsid w:val="00A971D9"/>
    <w:rsid w:val="00A975DA"/>
    <w:rsid w:val="00A97711"/>
    <w:rsid w:val="00A97EBD"/>
    <w:rsid w:val="00AA0534"/>
    <w:rsid w:val="00AA056B"/>
    <w:rsid w:val="00AA0A17"/>
    <w:rsid w:val="00AA0D68"/>
    <w:rsid w:val="00AA10BB"/>
    <w:rsid w:val="00AA18C1"/>
    <w:rsid w:val="00AA21D1"/>
    <w:rsid w:val="00AA254A"/>
    <w:rsid w:val="00AA297E"/>
    <w:rsid w:val="00AA2D96"/>
    <w:rsid w:val="00AA31CB"/>
    <w:rsid w:val="00AA4319"/>
    <w:rsid w:val="00AA55F0"/>
    <w:rsid w:val="00AA57CA"/>
    <w:rsid w:val="00AA601E"/>
    <w:rsid w:val="00AA6AC1"/>
    <w:rsid w:val="00AA6BF1"/>
    <w:rsid w:val="00AA70B2"/>
    <w:rsid w:val="00AA719B"/>
    <w:rsid w:val="00AA74D7"/>
    <w:rsid w:val="00AA7A63"/>
    <w:rsid w:val="00AA7FCE"/>
    <w:rsid w:val="00AB0477"/>
    <w:rsid w:val="00AB0820"/>
    <w:rsid w:val="00AB0AC2"/>
    <w:rsid w:val="00AB0B10"/>
    <w:rsid w:val="00AB20AC"/>
    <w:rsid w:val="00AB24FA"/>
    <w:rsid w:val="00AB2FC7"/>
    <w:rsid w:val="00AB301D"/>
    <w:rsid w:val="00AB3724"/>
    <w:rsid w:val="00AB3C21"/>
    <w:rsid w:val="00AB3CDA"/>
    <w:rsid w:val="00AB3E2A"/>
    <w:rsid w:val="00AB40BA"/>
    <w:rsid w:val="00AB46E5"/>
    <w:rsid w:val="00AB5575"/>
    <w:rsid w:val="00AB5B77"/>
    <w:rsid w:val="00AB6218"/>
    <w:rsid w:val="00AB6614"/>
    <w:rsid w:val="00AB7726"/>
    <w:rsid w:val="00AB783A"/>
    <w:rsid w:val="00AC028D"/>
    <w:rsid w:val="00AC0859"/>
    <w:rsid w:val="00AC1514"/>
    <w:rsid w:val="00AC1C28"/>
    <w:rsid w:val="00AC28A9"/>
    <w:rsid w:val="00AC3576"/>
    <w:rsid w:val="00AC3A11"/>
    <w:rsid w:val="00AC40E7"/>
    <w:rsid w:val="00AC5C5B"/>
    <w:rsid w:val="00AC62E4"/>
    <w:rsid w:val="00AC66E2"/>
    <w:rsid w:val="00AC6DE5"/>
    <w:rsid w:val="00AC775F"/>
    <w:rsid w:val="00AC7833"/>
    <w:rsid w:val="00AD048C"/>
    <w:rsid w:val="00AD0B97"/>
    <w:rsid w:val="00AD0D5B"/>
    <w:rsid w:val="00AD0E22"/>
    <w:rsid w:val="00AD1C17"/>
    <w:rsid w:val="00AD21C2"/>
    <w:rsid w:val="00AD2281"/>
    <w:rsid w:val="00AD26B9"/>
    <w:rsid w:val="00AD3C3C"/>
    <w:rsid w:val="00AD4400"/>
    <w:rsid w:val="00AD4C82"/>
    <w:rsid w:val="00AD51E1"/>
    <w:rsid w:val="00AD532E"/>
    <w:rsid w:val="00AD564E"/>
    <w:rsid w:val="00AD571B"/>
    <w:rsid w:val="00AD5830"/>
    <w:rsid w:val="00AD58CE"/>
    <w:rsid w:val="00AD5A13"/>
    <w:rsid w:val="00AD5FAD"/>
    <w:rsid w:val="00AD6AE0"/>
    <w:rsid w:val="00AD7BD3"/>
    <w:rsid w:val="00AE095E"/>
    <w:rsid w:val="00AE0AD8"/>
    <w:rsid w:val="00AE18B3"/>
    <w:rsid w:val="00AE1DAE"/>
    <w:rsid w:val="00AE2588"/>
    <w:rsid w:val="00AE2AF2"/>
    <w:rsid w:val="00AE2BC3"/>
    <w:rsid w:val="00AE2C83"/>
    <w:rsid w:val="00AE30D4"/>
    <w:rsid w:val="00AE31FE"/>
    <w:rsid w:val="00AE3767"/>
    <w:rsid w:val="00AE43BE"/>
    <w:rsid w:val="00AE482D"/>
    <w:rsid w:val="00AE4C22"/>
    <w:rsid w:val="00AE5602"/>
    <w:rsid w:val="00AE67B4"/>
    <w:rsid w:val="00AE6F66"/>
    <w:rsid w:val="00AE7656"/>
    <w:rsid w:val="00AE7715"/>
    <w:rsid w:val="00AF071C"/>
    <w:rsid w:val="00AF0780"/>
    <w:rsid w:val="00AF0CF1"/>
    <w:rsid w:val="00AF16A7"/>
    <w:rsid w:val="00AF3320"/>
    <w:rsid w:val="00AF3758"/>
    <w:rsid w:val="00AF3E18"/>
    <w:rsid w:val="00AF4C08"/>
    <w:rsid w:val="00AF4F26"/>
    <w:rsid w:val="00AF595F"/>
    <w:rsid w:val="00AF59F0"/>
    <w:rsid w:val="00AF5E09"/>
    <w:rsid w:val="00AF6351"/>
    <w:rsid w:val="00AF654A"/>
    <w:rsid w:val="00AF65E9"/>
    <w:rsid w:val="00AF68D3"/>
    <w:rsid w:val="00AF6A46"/>
    <w:rsid w:val="00AF76F1"/>
    <w:rsid w:val="00B01B7C"/>
    <w:rsid w:val="00B01D84"/>
    <w:rsid w:val="00B0292D"/>
    <w:rsid w:val="00B030CB"/>
    <w:rsid w:val="00B035A0"/>
    <w:rsid w:val="00B039E9"/>
    <w:rsid w:val="00B03B4B"/>
    <w:rsid w:val="00B0436F"/>
    <w:rsid w:val="00B0477A"/>
    <w:rsid w:val="00B04D97"/>
    <w:rsid w:val="00B05016"/>
    <w:rsid w:val="00B051CF"/>
    <w:rsid w:val="00B056F8"/>
    <w:rsid w:val="00B06333"/>
    <w:rsid w:val="00B06F86"/>
    <w:rsid w:val="00B074B9"/>
    <w:rsid w:val="00B10840"/>
    <w:rsid w:val="00B114B5"/>
    <w:rsid w:val="00B11538"/>
    <w:rsid w:val="00B11B8D"/>
    <w:rsid w:val="00B123FA"/>
    <w:rsid w:val="00B12708"/>
    <w:rsid w:val="00B1301A"/>
    <w:rsid w:val="00B13141"/>
    <w:rsid w:val="00B13276"/>
    <w:rsid w:val="00B14185"/>
    <w:rsid w:val="00B14721"/>
    <w:rsid w:val="00B14DD2"/>
    <w:rsid w:val="00B158DE"/>
    <w:rsid w:val="00B15BCA"/>
    <w:rsid w:val="00B160EE"/>
    <w:rsid w:val="00B166A2"/>
    <w:rsid w:val="00B16920"/>
    <w:rsid w:val="00B20370"/>
    <w:rsid w:val="00B210B1"/>
    <w:rsid w:val="00B21E5A"/>
    <w:rsid w:val="00B2274D"/>
    <w:rsid w:val="00B22A28"/>
    <w:rsid w:val="00B22FFD"/>
    <w:rsid w:val="00B23C35"/>
    <w:rsid w:val="00B243AE"/>
    <w:rsid w:val="00B24427"/>
    <w:rsid w:val="00B248A8"/>
    <w:rsid w:val="00B259E3"/>
    <w:rsid w:val="00B273EE"/>
    <w:rsid w:val="00B2755B"/>
    <w:rsid w:val="00B3024A"/>
    <w:rsid w:val="00B3040F"/>
    <w:rsid w:val="00B304EF"/>
    <w:rsid w:val="00B30BC5"/>
    <w:rsid w:val="00B3105F"/>
    <w:rsid w:val="00B3183C"/>
    <w:rsid w:val="00B33EEF"/>
    <w:rsid w:val="00B33F62"/>
    <w:rsid w:val="00B33F7A"/>
    <w:rsid w:val="00B3440F"/>
    <w:rsid w:val="00B34628"/>
    <w:rsid w:val="00B3466D"/>
    <w:rsid w:val="00B346EC"/>
    <w:rsid w:val="00B34BC8"/>
    <w:rsid w:val="00B34EAE"/>
    <w:rsid w:val="00B35352"/>
    <w:rsid w:val="00B35C8B"/>
    <w:rsid w:val="00B3623E"/>
    <w:rsid w:val="00B36421"/>
    <w:rsid w:val="00B36BED"/>
    <w:rsid w:val="00B371D7"/>
    <w:rsid w:val="00B37CFA"/>
    <w:rsid w:val="00B4012E"/>
    <w:rsid w:val="00B420D8"/>
    <w:rsid w:val="00B42A8B"/>
    <w:rsid w:val="00B4355F"/>
    <w:rsid w:val="00B43E14"/>
    <w:rsid w:val="00B44262"/>
    <w:rsid w:val="00B44E0E"/>
    <w:rsid w:val="00B45200"/>
    <w:rsid w:val="00B45B42"/>
    <w:rsid w:val="00B46E9C"/>
    <w:rsid w:val="00B46FC4"/>
    <w:rsid w:val="00B476BA"/>
    <w:rsid w:val="00B500AA"/>
    <w:rsid w:val="00B50894"/>
    <w:rsid w:val="00B514EA"/>
    <w:rsid w:val="00B51DB4"/>
    <w:rsid w:val="00B52045"/>
    <w:rsid w:val="00B52A45"/>
    <w:rsid w:val="00B52EFF"/>
    <w:rsid w:val="00B5322C"/>
    <w:rsid w:val="00B53719"/>
    <w:rsid w:val="00B53F9B"/>
    <w:rsid w:val="00B54C0A"/>
    <w:rsid w:val="00B54E30"/>
    <w:rsid w:val="00B54FB1"/>
    <w:rsid w:val="00B55712"/>
    <w:rsid w:val="00B55F00"/>
    <w:rsid w:val="00B56218"/>
    <w:rsid w:val="00B5657B"/>
    <w:rsid w:val="00B57FC4"/>
    <w:rsid w:val="00B6074A"/>
    <w:rsid w:val="00B60A12"/>
    <w:rsid w:val="00B60C33"/>
    <w:rsid w:val="00B60FD3"/>
    <w:rsid w:val="00B62D6A"/>
    <w:rsid w:val="00B62E8F"/>
    <w:rsid w:val="00B63266"/>
    <w:rsid w:val="00B636FD"/>
    <w:rsid w:val="00B639F9"/>
    <w:rsid w:val="00B63BDE"/>
    <w:rsid w:val="00B63D4C"/>
    <w:rsid w:val="00B63DAD"/>
    <w:rsid w:val="00B63E95"/>
    <w:rsid w:val="00B64228"/>
    <w:rsid w:val="00B64ABA"/>
    <w:rsid w:val="00B64B81"/>
    <w:rsid w:val="00B64FD9"/>
    <w:rsid w:val="00B65279"/>
    <w:rsid w:val="00B65A46"/>
    <w:rsid w:val="00B66097"/>
    <w:rsid w:val="00B6687A"/>
    <w:rsid w:val="00B66ACB"/>
    <w:rsid w:val="00B66EC4"/>
    <w:rsid w:val="00B66F99"/>
    <w:rsid w:val="00B67789"/>
    <w:rsid w:val="00B6787E"/>
    <w:rsid w:val="00B70228"/>
    <w:rsid w:val="00B702CD"/>
    <w:rsid w:val="00B70652"/>
    <w:rsid w:val="00B7104D"/>
    <w:rsid w:val="00B71315"/>
    <w:rsid w:val="00B7133D"/>
    <w:rsid w:val="00B716EC"/>
    <w:rsid w:val="00B71CDE"/>
    <w:rsid w:val="00B72CB8"/>
    <w:rsid w:val="00B72D66"/>
    <w:rsid w:val="00B72DCE"/>
    <w:rsid w:val="00B734F9"/>
    <w:rsid w:val="00B735B3"/>
    <w:rsid w:val="00B73E85"/>
    <w:rsid w:val="00B73EDF"/>
    <w:rsid w:val="00B74377"/>
    <w:rsid w:val="00B747B1"/>
    <w:rsid w:val="00B75DDC"/>
    <w:rsid w:val="00B75ECC"/>
    <w:rsid w:val="00B76618"/>
    <w:rsid w:val="00B77ACC"/>
    <w:rsid w:val="00B807D0"/>
    <w:rsid w:val="00B80B3C"/>
    <w:rsid w:val="00B80D50"/>
    <w:rsid w:val="00B81590"/>
    <w:rsid w:val="00B81606"/>
    <w:rsid w:val="00B8176F"/>
    <w:rsid w:val="00B81B70"/>
    <w:rsid w:val="00B821CF"/>
    <w:rsid w:val="00B823B9"/>
    <w:rsid w:val="00B83010"/>
    <w:rsid w:val="00B8340C"/>
    <w:rsid w:val="00B83E25"/>
    <w:rsid w:val="00B83FFA"/>
    <w:rsid w:val="00B848AC"/>
    <w:rsid w:val="00B84919"/>
    <w:rsid w:val="00B84EE1"/>
    <w:rsid w:val="00B85D92"/>
    <w:rsid w:val="00B85F1A"/>
    <w:rsid w:val="00B85F27"/>
    <w:rsid w:val="00B8621B"/>
    <w:rsid w:val="00B86375"/>
    <w:rsid w:val="00B86377"/>
    <w:rsid w:val="00B86AC0"/>
    <w:rsid w:val="00B86E08"/>
    <w:rsid w:val="00B87227"/>
    <w:rsid w:val="00B8777C"/>
    <w:rsid w:val="00B877F4"/>
    <w:rsid w:val="00B87D8A"/>
    <w:rsid w:val="00B87DAB"/>
    <w:rsid w:val="00B903AC"/>
    <w:rsid w:val="00B90BC7"/>
    <w:rsid w:val="00B91603"/>
    <w:rsid w:val="00B916CE"/>
    <w:rsid w:val="00B917E6"/>
    <w:rsid w:val="00B92498"/>
    <w:rsid w:val="00B9297A"/>
    <w:rsid w:val="00B92A5F"/>
    <w:rsid w:val="00B93407"/>
    <w:rsid w:val="00B94990"/>
    <w:rsid w:val="00B94F2D"/>
    <w:rsid w:val="00B952C3"/>
    <w:rsid w:val="00B957DC"/>
    <w:rsid w:val="00B963D7"/>
    <w:rsid w:val="00B96D92"/>
    <w:rsid w:val="00B97772"/>
    <w:rsid w:val="00B97FC3"/>
    <w:rsid w:val="00BA078C"/>
    <w:rsid w:val="00BA1243"/>
    <w:rsid w:val="00BA1A3B"/>
    <w:rsid w:val="00BA1C2A"/>
    <w:rsid w:val="00BA2AD8"/>
    <w:rsid w:val="00BA2DE3"/>
    <w:rsid w:val="00BA33A7"/>
    <w:rsid w:val="00BA3EA6"/>
    <w:rsid w:val="00BA3F9B"/>
    <w:rsid w:val="00BA4EFB"/>
    <w:rsid w:val="00BA754D"/>
    <w:rsid w:val="00BA79B1"/>
    <w:rsid w:val="00BB0960"/>
    <w:rsid w:val="00BB0AED"/>
    <w:rsid w:val="00BB1EE3"/>
    <w:rsid w:val="00BB21EB"/>
    <w:rsid w:val="00BB27BE"/>
    <w:rsid w:val="00BB2BF6"/>
    <w:rsid w:val="00BB31ED"/>
    <w:rsid w:val="00BB39EC"/>
    <w:rsid w:val="00BB3EE2"/>
    <w:rsid w:val="00BB473C"/>
    <w:rsid w:val="00BB47C8"/>
    <w:rsid w:val="00BB4CC8"/>
    <w:rsid w:val="00BB4F91"/>
    <w:rsid w:val="00BB531B"/>
    <w:rsid w:val="00BB5489"/>
    <w:rsid w:val="00BB5968"/>
    <w:rsid w:val="00BB6AFF"/>
    <w:rsid w:val="00BB6F6B"/>
    <w:rsid w:val="00BB7272"/>
    <w:rsid w:val="00BB78B5"/>
    <w:rsid w:val="00BB7A23"/>
    <w:rsid w:val="00BB7B76"/>
    <w:rsid w:val="00BB7D0B"/>
    <w:rsid w:val="00BC00D9"/>
    <w:rsid w:val="00BC0131"/>
    <w:rsid w:val="00BC1C72"/>
    <w:rsid w:val="00BC1F60"/>
    <w:rsid w:val="00BC2440"/>
    <w:rsid w:val="00BC2674"/>
    <w:rsid w:val="00BC284B"/>
    <w:rsid w:val="00BC2CF3"/>
    <w:rsid w:val="00BC3020"/>
    <w:rsid w:val="00BC4003"/>
    <w:rsid w:val="00BC453C"/>
    <w:rsid w:val="00BC52A7"/>
    <w:rsid w:val="00BC5774"/>
    <w:rsid w:val="00BC711E"/>
    <w:rsid w:val="00BC747B"/>
    <w:rsid w:val="00BD0280"/>
    <w:rsid w:val="00BD078F"/>
    <w:rsid w:val="00BD1B5E"/>
    <w:rsid w:val="00BD1F8E"/>
    <w:rsid w:val="00BD2483"/>
    <w:rsid w:val="00BD25B4"/>
    <w:rsid w:val="00BD376B"/>
    <w:rsid w:val="00BD3965"/>
    <w:rsid w:val="00BD3D31"/>
    <w:rsid w:val="00BD41B8"/>
    <w:rsid w:val="00BD42DF"/>
    <w:rsid w:val="00BD4955"/>
    <w:rsid w:val="00BD4C0B"/>
    <w:rsid w:val="00BD4C24"/>
    <w:rsid w:val="00BD4D04"/>
    <w:rsid w:val="00BD4E67"/>
    <w:rsid w:val="00BD56B7"/>
    <w:rsid w:val="00BD5A1F"/>
    <w:rsid w:val="00BD5B43"/>
    <w:rsid w:val="00BD5BD9"/>
    <w:rsid w:val="00BD66C0"/>
    <w:rsid w:val="00BD6779"/>
    <w:rsid w:val="00BD67D3"/>
    <w:rsid w:val="00BD7042"/>
    <w:rsid w:val="00BD7784"/>
    <w:rsid w:val="00BE0415"/>
    <w:rsid w:val="00BE0D7F"/>
    <w:rsid w:val="00BE16C7"/>
    <w:rsid w:val="00BE25A9"/>
    <w:rsid w:val="00BE2B0F"/>
    <w:rsid w:val="00BE2CCE"/>
    <w:rsid w:val="00BE3A80"/>
    <w:rsid w:val="00BE3F8D"/>
    <w:rsid w:val="00BE49E8"/>
    <w:rsid w:val="00BE4A0C"/>
    <w:rsid w:val="00BE529A"/>
    <w:rsid w:val="00BE5367"/>
    <w:rsid w:val="00BE5559"/>
    <w:rsid w:val="00BE55F5"/>
    <w:rsid w:val="00BE57E6"/>
    <w:rsid w:val="00BE5B3F"/>
    <w:rsid w:val="00BE5FF3"/>
    <w:rsid w:val="00BE660B"/>
    <w:rsid w:val="00BE7AB2"/>
    <w:rsid w:val="00BF00EB"/>
    <w:rsid w:val="00BF03B7"/>
    <w:rsid w:val="00BF09D9"/>
    <w:rsid w:val="00BF0E81"/>
    <w:rsid w:val="00BF11A5"/>
    <w:rsid w:val="00BF1356"/>
    <w:rsid w:val="00BF155D"/>
    <w:rsid w:val="00BF1701"/>
    <w:rsid w:val="00BF4179"/>
    <w:rsid w:val="00BF433D"/>
    <w:rsid w:val="00BF4DF5"/>
    <w:rsid w:val="00BF5078"/>
    <w:rsid w:val="00BF515B"/>
    <w:rsid w:val="00BF548F"/>
    <w:rsid w:val="00BF56CD"/>
    <w:rsid w:val="00BF57C1"/>
    <w:rsid w:val="00BF637B"/>
    <w:rsid w:val="00BF70F8"/>
    <w:rsid w:val="00BF73A1"/>
    <w:rsid w:val="00BF77AB"/>
    <w:rsid w:val="00BF7900"/>
    <w:rsid w:val="00BF7B27"/>
    <w:rsid w:val="00C0103E"/>
    <w:rsid w:val="00C016B3"/>
    <w:rsid w:val="00C0224D"/>
    <w:rsid w:val="00C027A1"/>
    <w:rsid w:val="00C03780"/>
    <w:rsid w:val="00C047C4"/>
    <w:rsid w:val="00C054E6"/>
    <w:rsid w:val="00C058E1"/>
    <w:rsid w:val="00C059EF"/>
    <w:rsid w:val="00C062B0"/>
    <w:rsid w:val="00C06DEA"/>
    <w:rsid w:val="00C073FF"/>
    <w:rsid w:val="00C075B5"/>
    <w:rsid w:val="00C0791D"/>
    <w:rsid w:val="00C10638"/>
    <w:rsid w:val="00C10FC8"/>
    <w:rsid w:val="00C11512"/>
    <w:rsid w:val="00C122D3"/>
    <w:rsid w:val="00C12431"/>
    <w:rsid w:val="00C12459"/>
    <w:rsid w:val="00C12578"/>
    <w:rsid w:val="00C13E5A"/>
    <w:rsid w:val="00C145B0"/>
    <w:rsid w:val="00C14ADC"/>
    <w:rsid w:val="00C14B00"/>
    <w:rsid w:val="00C14DA0"/>
    <w:rsid w:val="00C151AA"/>
    <w:rsid w:val="00C1538C"/>
    <w:rsid w:val="00C15665"/>
    <w:rsid w:val="00C15A27"/>
    <w:rsid w:val="00C15A50"/>
    <w:rsid w:val="00C15B4A"/>
    <w:rsid w:val="00C15EEC"/>
    <w:rsid w:val="00C16106"/>
    <w:rsid w:val="00C161A4"/>
    <w:rsid w:val="00C163CF"/>
    <w:rsid w:val="00C16AEF"/>
    <w:rsid w:val="00C17072"/>
    <w:rsid w:val="00C17950"/>
    <w:rsid w:val="00C208B2"/>
    <w:rsid w:val="00C20CE6"/>
    <w:rsid w:val="00C21767"/>
    <w:rsid w:val="00C218D2"/>
    <w:rsid w:val="00C21C2B"/>
    <w:rsid w:val="00C227D5"/>
    <w:rsid w:val="00C22AA6"/>
    <w:rsid w:val="00C23889"/>
    <w:rsid w:val="00C23D9C"/>
    <w:rsid w:val="00C243A7"/>
    <w:rsid w:val="00C2495C"/>
    <w:rsid w:val="00C24AD2"/>
    <w:rsid w:val="00C24ECF"/>
    <w:rsid w:val="00C24F78"/>
    <w:rsid w:val="00C2579B"/>
    <w:rsid w:val="00C26A34"/>
    <w:rsid w:val="00C27E96"/>
    <w:rsid w:val="00C3095C"/>
    <w:rsid w:val="00C310AF"/>
    <w:rsid w:val="00C315E6"/>
    <w:rsid w:val="00C31EB7"/>
    <w:rsid w:val="00C3255C"/>
    <w:rsid w:val="00C32F5B"/>
    <w:rsid w:val="00C331D4"/>
    <w:rsid w:val="00C33D77"/>
    <w:rsid w:val="00C33F85"/>
    <w:rsid w:val="00C3425C"/>
    <w:rsid w:val="00C34302"/>
    <w:rsid w:val="00C35094"/>
    <w:rsid w:val="00C3643D"/>
    <w:rsid w:val="00C3664F"/>
    <w:rsid w:val="00C36908"/>
    <w:rsid w:val="00C37004"/>
    <w:rsid w:val="00C37417"/>
    <w:rsid w:val="00C37578"/>
    <w:rsid w:val="00C37752"/>
    <w:rsid w:val="00C37940"/>
    <w:rsid w:val="00C37B06"/>
    <w:rsid w:val="00C4072C"/>
    <w:rsid w:val="00C40976"/>
    <w:rsid w:val="00C4099E"/>
    <w:rsid w:val="00C40CEE"/>
    <w:rsid w:val="00C41E0C"/>
    <w:rsid w:val="00C4293C"/>
    <w:rsid w:val="00C42BE8"/>
    <w:rsid w:val="00C43BFC"/>
    <w:rsid w:val="00C44043"/>
    <w:rsid w:val="00C4418E"/>
    <w:rsid w:val="00C445C2"/>
    <w:rsid w:val="00C455C4"/>
    <w:rsid w:val="00C45642"/>
    <w:rsid w:val="00C46057"/>
    <w:rsid w:val="00C46235"/>
    <w:rsid w:val="00C46B39"/>
    <w:rsid w:val="00C46E46"/>
    <w:rsid w:val="00C4788C"/>
    <w:rsid w:val="00C50C91"/>
    <w:rsid w:val="00C51E5A"/>
    <w:rsid w:val="00C523EC"/>
    <w:rsid w:val="00C532AE"/>
    <w:rsid w:val="00C53ADD"/>
    <w:rsid w:val="00C53F7E"/>
    <w:rsid w:val="00C542A4"/>
    <w:rsid w:val="00C544B7"/>
    <w:rsid w:val="00C549AD"/>
    <w:rsid w:val="00C55A40"/>
    <w:rsid w:val="00C56CE0"/>
    <w:rsid w:val="00C5716C"/>
    <w:rsid w:val="00C57696"/>
    <w:rsid w:val="00C6012C"/>
    <w:rsid w:val="00C6020E"/>
    <w:rsid w:val="00C61096"/>
    <w:rsid w:val="00C6195B"/>
    <w:rsid w:val="00C61E47"/>
    <w:rsid w:val="00C64F7F"/>
    <w:rsid w:val="00C66BA5"/>
    <w:rsid w:val="00C71FDA"/>
    <w:rsid w:val="00C72B1C"/>
    <w:rsid w:val="00C72EAA"/>
    <w:rsid w:val="00C7393C"/>
    <w:rsid w:val="00C74629"/>
    <w:rsid w:val="00C75144"/>
    <w:rsid w:val="00C75D6E"/>
    <w:rsid w:val="00C75D97"/>
    <w:rsid w:val="00C76857"/>
    <w:rsid w:val="00C76A75"/>
    <w:rsid w:val="00C76A9B"/>
    <w:rsid w:val="00C777FF"/>
    <w:rsid w:val="00C77977"/>
    <w:rsid w:val="00C77C3E"/>
    <w:rsid w:val="00C80809"/>
    <w:rsid w:val="00C80EA7"/>
    <w:rsid w:val="00C81FB2"/>
    <w:rsid w:val="00C82B58"/>
    <w:rsid w:val="00C833E6"/>
    <w:rsid w:val="00C83F18"/>
    <w:rsid w:val="00C8425F"/>
    <w:rsid w:val="00C84947"/>
    <w:rsid w:val="00C8517E"/>
    <w:rsid w:val="00C852AF"/>
    <w:rsid w:val="00C85431"/>
    <w:rsid w:val="00C8578E"/>
    <w:rsid w:val="00C86340"/>
    <w:rsid w:val="00C8638D"/>
    <w:rsid w:val="00C873B6"/>
    <w:rsid w:val="00C8740A"/>
    <w:rsid w:val="00C917B2"/>
    <w:rsid w:val="00C91988"/>
    <w:rsid w:val="00C91FD7"/>
    <w:rsid w:val="00C927D5"/>
    <w:rsid w:val="00C92ED5"/>
    <w:rsid w:val="00C93023"/>
    <w:rsid w:val="00C93BF9"/>
    <w:rsid w:val="00C945B8"/>
    <w:rsid w:val="00C95205"/>
    <w:rsid w:val="00C95571"/>
    <w:rsid w:val="00C95771"/>
    <w:rsid w:val="00C95799"/>
    <w:rsid w:val="00C961D7"/>
    <w:rsid w:val="00C96206"/>
    <w:rsid w:val="00C9655F"/>
    <w:rsid w:val="00C97033"/>
    <w:rsid w:val="00C979CC"/>
    <w:rsid w:val="00C97E8A"/>
    <w:rsid w:val="00CA181C"/>
    <w:rsid w:val="00CA31D4"/>
    <w:rsid w:val="00CA3619"/>
    <w:rsid w:val="00CA39CD"/>
    <w:rsid w:val="00CA3CE2"/>
    <w:rsid w:val="00CA3DA3"/>
    <w:rsid w:val="00CA4846"/>
    <w:rsid w:val="00CA4EF1"/>
    <w:rsid w:val="00CA53E9"/>
    <w:rsid w:val="00CA5B01"/>
    <w:rsid w:val="00CA7769"/>
    <w:rsid w:val="00CA7DE2"/>
    <w:rsid w:val="00CB01FD"/>
    <w:rsid w:val="00CB0687"/>
    <w:rsid w:val="00CB13B8"/>
    <w:rsid w:val="00CB1CB3"/>
    <w:rsid w:val="00CB273C"/>
    <w:rsid w:val="00CB366F"/>
    <w:rsid w:val="00CB3F86"/>
    <w:rsid w:val="00CB4010"/>
    <w:rsid w:val="00CB55F0"/>
    <w:rsid w:val="00CB578D"/>
    <w:rsid w:val="00CB5D8A"/>
    <w:rsid w:val="00CB6A93"/>
    <w:rsid w:val="00CB6C49"/>
    <w:rsid w:val="00CB7982"/>
    <w:rsid w:val="00CC079A"/>
    <w:rsid w:val="00CC0D3E"/>
    <w:rsid w:val="00CC1355"/>
    <w:rsid w:val="00CC2015"/>
    <w:rsid w:val="00CC2303"/>
    <w:rsid w:val="00CC298E"/>
    <w:rsid w:val="00CC2C50"/>
    <w:rsid w:val="00CC37CB"/>
    <w:rsid w:val="00CC3ED2"/>
    <w:rsid w:val="00CC4688"/>
    <w:rsid w:val="00CC47FC"/>
    <w:rsid w:val="00CC494C"/>
    <w:rsid w:val="00CC4A66"/>
    <w:rsid w:val="00CC4ADB"/>
    <w:rsid w:val="00CC50ED"/>
    <w:rsid w:val="00CC568C"/>
    <w:rsid w:val="00CC57DF"/>
    <w:rsid w:val="00CC602A"/>
    <w:rsid w:val="00CC6EC0"/>
    <w:rsid w:val="00CC7141"/>
    <w:rsid w:val="00CC77DD"/>
    <w:rsid w:val="00CD005E"/>
    <w:rsid w:val="00CD04C2"/>
    <w:rsid w:val="00CD04D9"/>
    <w:rsid w:val="00CD09B9"/>
    <w:rsid w:val="00CD0EC6"/>
    <w:rsid w:val="00CD105A"/>
    <w:rsid w:val="00CD12EE"/>
    <w:rsid w:val="00CD1D01"/>
    <w:rsid w:val="00CD33A9"/>
    <w:rsid w:val="00CD410B"/>
    <w:rsid w:val="00CD4A25"/>
    <w:rsid w:val="00CD5030"/>
    <w:rsid w:val="00CD556D"/>
    <w:rsid w:val="00CD594B"/>
    <w:rsid w:val="00CD5F4C"/>
    <w:rsid w:val="00CD61FA"/>
    <w:rsid w:val="00CD69A9"/>
    <w:rsid w:val="00CD71EC"/>
    <w:rsid w:val="00CE0863"/>
    <w:rsid w:val="00CE10A2"/>
    <w:rsid w:val="00CE2083"/>
    <w:rsid w:val="00CE267E"/>
    <w:rsid w:val="00CE2BB0"/>
    <w:rsid w:val="00CE499E"/>
    <w:rsid w:val="00CE504A"/>
    <w:rsid w:val="00CE5B15"/>
    <w:rsid w:val="00CE6872"/>
    <w:rsid w:val="00CE6A7E"/>
    <w:rsid w:val="00CE6D54"/>
    <w:rsid w:val="00CE6EDA"/>
    <w:rsid w:val="00CE770C"/>
    <w:rsid w:val="00CE79F3"/>
    <w:rsid w:val="00CF0A09"/>
    <w:rsid w:val="00CF0EFF"/>
    <w:rsid w:val="00CF1B8A"/>
    <w:rsid w:val="00CF1BD6"/>
    <w:rsid w:val="00CF1CCB"/>
    <w:rsid w:val="00CF1E32"/>
    <w:rsid w:val="00CF300A"/>
    <w:rsid w:val="00CF3104"/>
    <w:rsid w:val="00CF389E"/>
    <w:rsid w:val="00CF3B3A"/>
    <w:rsid w:val="00CF3B5C"/>
    <w:rsid w:val="00CF3C90"/>
    <w:rsid w:val="00CF4B47"/>
    <w:rsid w:val="00CF4D33"/>
    <w:rsid w:val="00CF4F70"/>
    <w:rsid w:val="00CF5E02"/>
    <w:rsid w:val="00CF60AB"/>
    <w:rsid w:val="00CF6E3B"/>
    <w:rsid w:val="00CF7CB3"/>
    <w:rsid w:val="00CF7EA5"/>
    <w:rsid w:val="00D005DC"/>
    <w:rsid w:val="00D00724"/>
    <w:rsid w:val="00D00A8E"/>
    <w:rsid w:val="00D00B93"/>
    <w:rsid w:val="00D013B4"/>
    <w:rsid w:val="00D01631"/>
    <w:rsid w:val="00D01911"/>
    <w:rsid w:val="00D01D1D"/>
    <w:rsid w:val="00D02BB5"/>
    <w:rsid w:val="00D02DD6"/>
    <w:rsid w:val="00D03063"/>
    <w:rsid w:val="00D03425"/>
    <w:rsid w:val="00D0418C"/>
    <w:rsid w:val="00D049E0"/>
    <w:rsid w:val="00D0527B"/>
    <w:rsid w:val="00D053CB"/>
    <w:rsid w:val="00D05D00"/>
    <w:rsid w:val="00D0630D"/>
    <w:rsid w:val="00D0675A"/>
    <w:rsid w:val="00D07054"/>
    <w:rsid w:val="00D07208"/>
    <w:rsid w:val="00D07635"/>
    <w:rsid w:val="00D07A1C"/>
    <w:rsid w:val="00D10020"/>
    <w:rsid w:val="00D112ED"/>
    <w:rsid w:val="00D11356"/>
    <w:rsid w:val="00D11934"/>
    <w:rsid w:val="00D1215E"/>
    <w:rsid w:val="00D12304"/>
    <w:rsid w:val="00D12869"/>
    <w:rsid w:val="00D12B7F"/>
    <w:rsid w:val="00D12E83"/>
    <w:rsid w:val="00D12E92"/>
    <w:rsid w:val="00D1357D"/>
    <w:rsid w:val="00D13AE7"/>
    <w:rsid w:val="00D1502F"/>
    <w:rsid w:val="00D1553F"/>
    <w:rsid w:val="00D15FFF"/>
    <w:rsid w:val="00D16409"/>
    <w:rsid w:val="00D16BF1"/>
    <w:rsid w:val="00D17264"/>
    <w:rsid w:val="00D174F7"/>
    <w:rsid w:val="00D20035"/>
    <w:rsid w:val="00D206B9"/>
    <w:rsid w:val="00D20F7E"/>
    <w:rsid w:val="00D2135F"/>
    <w:rsid w:val="00D21937"/>
    <w:rsid w:val="00D22587"/>
    <w:rsid w:val="00D22C5A"/>
    <w:rsid w:val="00D23098"/>
    <w:rsid w:val="00D235F7"/>
    <w:rsid w:val="00D23A39"/>
    <w:rsid w:val="00D23E3D"/>
    <w:rsid w:val="00D2453D"/>
    <w:rsid w:val="00D258E6"/>
    <w:rsid w:val="00D25B65"/>
    <w:rsid w:val="00D266E9"/>
    <w:rsid w:val="00D26F88"/>
    <w:rsid w:val="00D27459"/>
    <w:rsid w:val="00D27C41"/>
    <w:rsid w:val="00D305DD"/>
    <w:rsid w:val="00D30843"/>
    <w:rsid w:val="00D3191A"/>
    <w:rsid w:val="00D31D29"/>
    <w:rsid w:val="00D32572"/>
    <w:rsid w:val="00D3304E"/>
    <w:rsid w:val="00D3343B"/>
    <w:rsid w:val="00D33EBB"/>
    <w:rsid w:val="00D34465"/>
    <w:rsid w:val="00D344C9"/>
    <w:rsid w:val="00D3456F"/>
    <w:rsid w:val="00D345C8"/>
    <w:rsid w:val="00D3473D"/>
    <w:rsid w:val="00D34B7E"/>
    <w:rsid w:val="00D34DC0"/>
    <w:rsid w:val="00D35722"/>
    <w:rsid w:val="00D3578E"/>
    <w:rsid w:val="00D36BC2"/>
    <w:rsid w:val="00D3790B"/>
    <w:rsid w:val="00D37C80"/>
    <w:rsid w:val="00D40037"/>
    <w:rsid w:val="00D4021E"/>
    <w:rsid w:val="00D40561"/>
    <w:rsid w:val="00D414A8"/>
    <w:rsid w:val="00D41C70"/>
    <w:rsid w:val="00D427E3"/>
    <w:rsid w:val="00D4289B"/>
    <w:rsid w:val="00D4358B"/>
    <w:rsid w:val="00D4501F"/>
    <w:rsid w:val="00D4612E"/>
    <w:rsid w:val="00D475F4"/>
    <w:rsid w:val="00D506FD"/>
    <w:rsid w:val="00D50D24"/>
    <w:rsid w:val="00D50FDF"/>
    <w:rsid w:val="00D51049"/>
    <w:rsid w:val="00D510BF"/>
    <w:rsid w:val="00D5124D"/>
    <w:rsid w:val="00D515E7"/>
    <w:rsid w:val="00D5294C"/>
    <w:rsid w:val="00D53093"/>
    <w:rsid w:val="00D5348C"/>
    <w:rsid w:val="00D5403B"/>
    <w:rsid w:val="00D540CF"/>
    <w:rsid w:val="00D54192"/>
    <w:rsid w:val="00D54340"/>
    <w:rsid w:val="00D54850"/>
    <w:rsid w:val="00D548C8"/>
    <w:rsid w:val="00D555EA"/>
    <w:rsid w:val="00D55A5C"/>
    <w:rsid w:val="00D56CC7"/>
    <w:rsid w:val="00D57035"/>
    <w:rsid w:val="00D602E0"/>
    <w:rsid w:val="00D60E4D"/>
    <w:rsid w:val="00D60F00"/>
    <w:rsid w:val="00D61172"/>
    <w:rsid w:val="00D61521"/>
    <w:rsid w:val="00D6190F"/>
    <w:rsid w:val="00D627B6"/>
    <w:rsid w:val="00D63201"/>
    <w:rsid w:val="00D633CB"/>
    <w:rsid w:val="00D63B49"/>
    <w:rsid w:val="00D64ECF"/>
    <w:rsid w:val="00D6602D"/>
    <w:rsid w:val="00D66E6C"/>
    <w:rsid w:val="00D67B0D"/>
    <w:rsid w:val="00D700A8"/>
    <w:rsid w:val="00D70250"/>
    <w:rsid w:val="00D709A4"/>
    <w:rsid w:val="00D7111A"/>
    <w:rsid w:val="00D7168A"/>
    <w:rsid w:val="00D720D8"/>
    <w:rsid w:val="00D73590"/>
    <w:rsid w:val="00D735C1"/>
    <w:rsid w:val="00D74325"/>
    <w:rsid w:val="00D755B4"/>
    <w:rsid w:val="00D75707"/>
    <w:rsid w:val="00D75F37"/>
    <w:rsid w:val="00D75F6F"/>
    <w:rsid w:val="00D7684D"/>
    <w:rsid w:val="00D7734D"/>
    <w:rsid w:val="00D809B7"/>
    <w:rsid w:val="00D80B4E"/>
    <w:rsid w:val="00D80BED"/>
    <w:rsid w:val="00D80DC3"/>
    <w:rsid w:val="00D81412"/>
    <w:rsid w:val="00D8196E"/>
    <w:rsid w:val="00D81A6F"/>
    <w:rsid w:val="00D81BF4"/>
    <w:rsid w:val="00D82E23"/>
    <w:rsid w:val="00D833DE"/>
    <w:rsid w:val="00D8344A"/>
    <w:rsid w:val="00D8420D"/>
    <w:rsid w:val="00D8429A"/>
    <w:rsid w:val="00D84528"/>
    <w:rsid w:val="00D8504A"/>
    <w:rsid w:val="00D853F5"/>
    <w:rsid w:val="00D854AF"/>
    <w:rsid w:val="00D855EC"/>
    <w:rsid w:val="00D8634B"/>
    <w:rsid w:val="00D86589"/>
    <w:rsid w:val="00D865BC"/>
    <w:rsid w:val="00D86F7E"/>
    <w:rsid w:val="00D87B09"/>
    <w:rsid w:val="00D9008F"/>
    <w:rsid w:val="00D900C6"/>
    <w:rsid w:val="00D90B4A"/>
    <w:rsid w:val="00D90E3C"/>
    <w:rsid w:val="00D91484"/>
    <w:rsid w:val="00D92386"/>
    <w:rsid w:val="00D92C7F"/>
    <w:rsid w:val="00D93A47"/>
    <w:rsid w:val="00D93AF7"/>
    <w:rsid w:val="00D93BBA"/>
    <w:rsid w:val="00D94398"/>
    <w:rsid w:val="00D965D7"/>
    <w:rsid w:val="00D97684"/>
    <w:rsid w:val="00D97CAB"/>
    <w:rsid w:val="00D97FA4"/>
    <w:rsid w:val="00DA023E"/>
    <w:rsid w:val="00DA06E3"/>
    <w:rsid w:val="00DA0E90"/>
    <w:rsid w:val="00DA1033"/>
    <w:rsid w:val="00DA1A58"/>
    <w:rsid w:val="00DA1E11"/>
    <w:rsid w:val="00DA206A"/>
    <w:rsid w:val="00DA2516"/>
    <w:rsid w:val="00DA3059"/>
    <w:rsid w:val="00DA39FE"/>
    <w:rsid w:val="00DA3A45"/>
    <w:rsid w:val="00DA43A4"/>
    <w:rsid w:val="00DA5060"/>
    <w:rsid w:val="00DA5A21"/>
    <w:rsid w:val="00DA5B2F"/>
    <w:rsid w:val="00DA5E7D"/>
    <w:rsid w:val="00DA6291"/>
    <w:rsid w:val="00DA7039"/>
    <w:rsid w:val="00DA769F"/>
    <w:rsid w:val="00DB0473"/>
    <w:rsid w:val="00DB08E4"/>
    <w:rsid w:val="00DB2448"/>
    <w:rsid w:val="00DB262B"/>
    <w:rsid w:val="00DB27AD"/>
    <w:rsid w:val="00DB2C6D"/>
    <w:rsid w:val="00DB2F9F"/>
    <w:rsid w:val="00DB33ED"/>
    <w:rsid w:val="00DB3664"/>
    <w:rsid w:val="00DB3CA9"/>
    <w:rsid w:val="00DB3F62"/>
    <w:rsid w:val="00DB4018"/>
    <w:rsid w:val="00DB4AC1"/>
    <w:rsid w:val="00DB4DE9"/>
    <w:rsid w:val="00DB4E94"/>
    <w:rsid w:val="00DB5292"/>
    <w:rsid w:val="00DB55F5"/>
    <w:rsid w:val="00DB5636"/>
    <w:rsid w:val="00DB5BC7"/>
    <w:rsid w:val="00DB601C"/>
    <w:rsid w:val="00DB607E"/>
    <w:rsid w:val="00DB6346"/>
    <w:rsid w:val="00DB6E27"/>
    <w:rsid w:val="00DB7AF7"/>
    <w:rsid w:val="00DC002C"/>
    <w:rsid w:val="00DC0DD1"/>
    <w:rsid w:val="00DC0F82"/>
    <w:rsid w:val="00DC1934"/>
    <w:rsid w:val="00DC219E"/>
    <w:rsid w:val="00DC21D6"/>
    <w:rsid w:val="00DC23CD"/>
    <w:rsid w:val="00DC29F1"/>
    <w:rsid w:val="00DC2A77"/>
    <w:rsid w:val="00DC2DF9"/>
    <w:rsid w:val="00DC3297"/>
    <w:rsid w:val="00DC34CD"/>
    <w:rsid w:val="00DC35C4"/>
    <w:rsid w:val="00DC44D4"/>
    <w:rsid w:val="00DC47AF"/>
    <w:rsid w:val="00DC4C01"/>
    <w:rsid w:val="00DC4F81"/>
    <w:rsid w:val="00DC5044"/>
    <w:rsid w:val="00DC52EF"/>
    <w:rsid w:val="00DD0367"/>
    <w:rsid w:val="00DD0820"/>
    <w:rsid w:val="00DD085B"/>
    <w:rsid w:val="00DD1B49"/>
    <w:rsid w:val="00DD22C8"/>
    <w:rsid w:val="00DD2A9C"/>
    <w:rsid w:val="00DD2C4A"/>
    <w:rsid w:val="00DD33C6"/>
    <w:rsid w:val="00DD3545"/>
    <w:rsid w:val="00DD403C"/>
    <w:rsid w:val="00DD53F6"/>
    <w:rsid w:val="00DD5BE5"/>
    <w:rsid w:val="00DD670E"/>
    <w:rsid w:val="00DD6D11"/>
    <w:rsid w:val="00DD74F6"/>
    <w:rsid w:val="00DD76F2"/>
    <w:rsid w:val="00DD7747"/>
    <w:rsid w:val="00DD792B"/>
    <w:rsid w:val="00DE0650"/>
    <w:rsid w:val="00DE0FDD"/>
    <w:rsid w:val="00DE1AD4"/>
    <w:rsid w:val="00DE1B60"/>
    <w:rsid w:val="00DE242D"/>
    <w:rsid w:val="00DE2835"/>
    <w:rsid w:val="00DE3069"/>
    <w:rsid w:val="00DE3D66"/>
    <w:rsid w:val="00DE461F"/>
    <w:rsid w:val="00DE48A4"/>
    <w:rsid w:val="00DE4E3D"/>
    <w:rsid w:val="00DE5080"/>
    <w:rsid w:val="00DE75B8"/>
    <w:rsid w:val="00DE7988"/>
    <w:rsid w:val="00DE7E3F"/>
    <w:rsid w:val="00DF111F"/>
    <w:rsid w:val="00DF1340"/>
    <w:rsid w:val="00DF430A"/>
    <w:rsid w:val="00DF440B"/>
    <w:rsid w:val="00DF4935"/>
    <w:rsid w:val="00DF527D"/>
    <w:rsid w:val="00DF5454"/>
    <w:rsid w:val="00DF58B7"/>
    <w:rsid w:val="00DF5BCA"/>
    <w:rsid w:val="00DF5DDA"/>
    <w:rsid w:val="00DF5F21"/>
    <w:rsid w:val="00DF6213"/>
    <w:rsid w:val="00DF6F51"/>
    <w:rsid w:val="00DF7C90"/>
    <w:rsid w:val="00DF7E44"/>
    <w:rsid w:val="00E015A9"/>
    <w:rsid w:val="00E02934"/>
    <w:rsid w:val="00E0324D"/>
    <w:rsid w:val="00E03D2D"/>
    <w:rsid w:val="00E04AD2"/>
    <w:rsid w:val="00E04B4C"/>
    <w:rsid w:val="00E04CD5"/>
    <w:rsid w:val="00E05589"/>
    <w:rsid w:val="00E05BDD"/>
    <w:rsid w:val="00E05EC3"/>
    <w:rsid w:val="00E060E5"/>
    <w:rsid w:val="00E06156"/>
    <w:rsid w:val="00E06ACB"/>
    <w:rsid w:val="00E108A7"/>
    <w:rsid w:val="00E10BA4"/>
    <w:rsid w:val="00E10E65"/>
    <w:rsid w:val="00E113A4"/>
    <w:rsid w:val="00E126AC"/>
    <w:rsid w:val="00E12D5B"/>
    <w:rsid w:val="00E13186"/>
    <w:rsid w:val="00E136A1"/>
    <w:rsid w:val="00E136F5"/>
    <w:rsid w:val="00E138C1"/>
    <w:rsid w:val="00E13CBF"/>
    <w:rsid w:val="00E1426A"/>
    <w:rsid w:val="00E1464F"/>
    <w:rsid w:val="00E146FE"/>
    <w:rsid w:val="00E14F0F"/>
    <w:rsid w:val="00E14FEC"/>
    <w:rsid w:val="00E1570D"/>
    <w:rsid w:val="00E15E24"/>
    <w:rsid w:val="00E15EA5"/>
    <w:rsid w:val="00E15F5F"/>
    <w:rsid w:val="00E160BE"/>
    <w:rsid w:val="00E161E1"/>
    <w:rsid w:val="00E162C7"/>
    <w:rsid w:val="00E16AB2"/>
    <w:rsid w:val="00E20CB7"/>
    <w:rsid w:val="00E20F76"/>
    <w:rsid w:val="00E21643"/>
    <w:rsid w:val="00E21BE2"/>
    <w:rsid w:val="00E235CB"/>
    <w:rsid w:val="00E24678"/>
    <w:rsid w:val="00E24BB6"/>
    <w:rsid w:val="00E24E16"/>
    <w:rsid w:val="00E24E5A"/>
    <w:rsid w:val="00E2628C"/>
    <w:rsid w:val="00E267CC"/>
    <w:rsid w:val="00E26EE3"/>
    <w:rsid w:val="00E27108"/>
    <w:rsid w:val="00E2730C"/>
    <w:rsid w:val="00E273AC"/>
    <w:rsid w:val="00E275E3"/>
    <w:rsid w:val="00E2767C"/>
    <w:rsid w:val="00E276A8"/>
    <w:rsid w:val="00E27EB4"/>
    <w:rsid w:val="00E307BB"/>
    <w:rsid w:val="00E3095C"/>
    <w:rsid w:val="00E30E24"/>
    <w:rsid w:val="00E31742"/>
    <w:rsid w:val="00E32496"/>
    <w:rsid w:val="00E32754"/>
    <w:rsid w:val="00E33015"/>
    <w:rsid w:val="00E33B1E"/>
    <w:rsid w:val="00E33ED4"/>
    <w:rsid w:val="00E33F15"/>
    <w:rsid w:val="00E34FA6"/>
    <w:rsid w:val="00E35C4C"/>
    <w:rsid w:val="00E36829"/>
    <w:rsid w:val="00E36BC8"/>
    <w:rsid w:val="00E36BE8"/>
    <w:rsid w:val="00E374F1"/>
    <w:rsid w:val="00E378FC"/>
    <w:rsid w:val="00E37E46"/>
    <w:rsid w:val="00E4019A"/>
    <w:rsid w:val="00E409B8"/>
    <w:rsid w:val="00E40DCF"/>
    <w:rsid w:val="00E4109A"/>
    <w:rsid w:val="00E41A98"/>
    <w:rsid w:val="00E41DE9"/>
    <w:rsid w:val="00E42402"/>
    <w:rsid w:val="00E4287F"/>
    <w:rsid w:val="00E43011"/>
    <w:rsid w:val="00E432AD"/>
    <w:rsid w:val="00E43DAF"/>
    <w:rsid w:val="00E43DE3"/>
    <w:rsid w:val="00E43FC3"/>
    <w:rsid w:val="00E444F2"/>
    <w:rsid w:val="00E44DAC"/>
    <w:rsid w:val="00E4545C"/>
    <w:rsid w:val="00E46B91"/>
    <w:rsid w:val="00E4710F"/>
    <w:rsid w:val="00E4752C"/>
    <w:rsid w:val="00E47612"/>
    <w:rsid w:val="00E47C89"/>
    <w:rsid w:val="00E5018B"/>
    <w:rsid w:val="00E50CD2"/>
    <w:rsid w:val="00E517A2"/>
    <w:rsid w:val="00E51909"/>
    <w:rsid w:val="00E51CC2"/>
    <w:rsid w:val="00E51FE6"/>
    <w:rsid w:val="00E523E9"/>
    <w:rsid w:val="00E529CF"/>
    <w:rsid w:val="00E533C4"/>
    <w:rsid w:val="00E53FAA"/>
    <w:rsid w:val="00E54426"/>
    <w:rsid w:val="00E54B36"/>
    <w:rsid w:val="00E56393"/>
    <w:rsid w:val="00E57601"/>
    <w:rsid w:val="00E5770A"/>
    <w:rsid w:val="00E600B2"/>
    <w:rsid w:val="00E6022F"/>
    <w:rsid w:val="00E605C8"/>
    <w:rsid w:val="00E609CE"/>
    <w:rsid w:val="00E60D86"/>
    <w:rsid w:val="00E61280"/>
    <w:rsid w:val="00E6152D"/>
    <w:rsid w:val="00E618A7"/>
    <w:rsid w:val="00E61D3A"/>
    <w:rsid w:val="00E61F0E"/>
    <w:rsid w:val="00E6282F"/>
    <w:rsid w:val="00E62830"/>
    <w:rsid w:val="00E629C6"/>
    <w:rsid w:val="00E6355D"/>
    <w:rsid w:val="00E6408E"/>
    <w:rsid w:val="00E655EF"/>
    <w:rsid w:val="00E65A78"/>
    <w:rsid w:val="00E65E25"/>
    <w:rsid w:val="00E67334"/>
    <w:rsid w:val="00E67CDA"/>
    <w:rsid w:val="00E67E56"/>
    <w:rsid w:val="00E67F4E"/>
    <w:rsid w:val="00E7006A"/>
    <w:rsid w:val="00E70BAD"/>
    <w:rsid w:val="00E70E11"/>
    <w:rsid w:val="00E710DD"/>
    <w:rsid w:val="00E71E44"/>
    <w:rsid w:val="00E72E57"/>
    <w:rsid w:val="00E72E78"/>
    <w:rsid w:val="00E7346B"/>
    <w:rsid w:val="00E738EA"/>
    <w:rsid w:val="00E73A27"/>
    <w:rsid w:val="00E73A35"/>
    <w:rsid w:val="00E73C90"/>
    <w:rsid w:val="00E73DEF"/>
    <w:rsid w:val="00E73EDF"/>
    <w:rsid w:val="00E74E68"/>
    <w:rsid w:val="00E75220"/>
    <w:rsid w:val="00E75896"/>
    <w:rsid w:val="00E758AA"/>
    <w:rsid w:val="00E75D3B"/>
    <w:rsid w:val="00E76143"/>
    <w:rsid w:val="00E76589"/>
    <w:rsid w:val="00E77799"/>
    <w:rsid w:val="00E77B41"/>
    <w:rsid w:val="00E77B9A"/>
    <w:rsid w:val="00E77CE4"/>
    <w:rsid w:val="00E77DCA"/>
    <w:rsid w:val="00E8066C"/>
    <w:rsid w:val="00E806EE"/>
    <w:rsid w:val="00E80BCD"/>
    <w:rsid w:val="00E81874"/>
    <w:rsid w:val="00E823B6"/>
    <w:rsid w:val="00E82DD4"/>
    <w:rsid w:val="00E83A25"/>
    <w:rsid w:val="00E83F03"/>
    <w:rsid w:val="00E84653"/>
    <w:rsid w:val="00E852C0"/>
    <w:rsid w:val="00E85411"/>
    <w:rsid w:val="00E85845"/>
    <w:rsid w:val="00E863BA"/>
    <w:rsid w:val="00E86A47"/>
    <w:rsid w:val="00E873C4"/>
    <w:rsid w:val="00E874B7"/>
    <w:rsid w:val="00E90984"/>
    <w:rsid w:val="00E909D2"/>
    <w:rsid w:val="00E911F7"/>
    <w:rsid w:val="00E931E3"/>
    <w:rsid w:val="00E936BE"/>
    <w:rsid w:val="00E93A6F"/>
    <w:rsid w:val="00E93F41"/>
    <w:rsid w:val="00E9481D"/>
    <w:rsid w:val="00E9504C"/>
    <w:rsid w:val="00E950BE"/>
    <w:rsid w:val="00E95B2E"/>
    <w:rsid w:val="00E95B4C"/>
    <w:rsid w:val="00E9695C"/>
    <w:rsid w:val="00E96A87"/>
    <w:rsid w:val="00E96DEC"/>
    <w:rsid w:val="00EA03ED"/>
    <w:rsid w:val="00EA081B"/>
    <w:rsid w:val="00EA0DBE"/>
    <w:rsid w:val="00EA1F36"/>
    <w:rsid w:val="00EA20FE"/>
    <w:rsid w:val="00EA2E68"/>
    <w:rsid w:val="00EA3186"/>
    <w:rsid w:val="00EA32EC"/>
    <w:rsid w:val="00EA3BA4"/>
    <w:rsid w:val="00EA4A00"/>
    <w:rsid w:val="00EA5221"/>
    <w:rsid w:val="00EA55BA"/>
    <w:rsid w:val="00EA5D23"/>
    <w:rsid w:val="00EA6579"/>
    <w:rsid w:val="00EA7025"/>
    <w:rsid w:val="00EA79DC"/>
    <w:rsid w:val="00EA7C21"/>
    <w:rsid w:val="00EA7F05"/>
    <w:rsid w:val="00EA7F21"/>
    <w:rsid w:val="00EB0B78"/>
    <w:rsid w:val="00EB0C72"/>
    <w:rsid w:val="00EB10F9"/>
    <w:rsid w:val="00EB13C1"/>
    <w:rsid w:val="00EB2C3A"/>
    <w:rsid w:val="00EB2FA0"/>
    <w:rsid w:val="00EB3571"/>
    <w:rsid w:val="00EB42D9"/>
    <w:rsid w:val="00EB45E1"/>
    <w:rsid w:val="00EB4AE5"/>
    <w:rsid w:val="00EB5382"/>
    <w:rsid w:val="00EB5724"/>
    <w:rsid w:val="00EB5DD6"/>
    <w:rsid w:val="00EB6508"/>
    <w:rsid w:val="00EB710D"/>
    <w:rsid w:val="00EB7435"/>
    <w:rsid w:val="00EB749E"/>
    <w:rsid w:val="00EB7A6C"/>
    <w:rsid w:val="00EB7FEB"/>
    <w:rsid w:val="00EC07CB"/>
    <w:rsid w:val="00EC114F"/>
    <w:rsid w:val="00EC144B"/>
    <w:rsid w:val="00EC1A4E"/>
    <w:rsid w:val="00EC23A9"/>
    <w:rsid w:val="00EC2658"/>
    <w:rsid w:val="00EC2C9A"/>
    <w:rsid w:val="00EC39DA"/>
    <w:rsid w:val="00EC3AEF"/>
    <w:rsid w:val="00EC518B"/>
    <w:rsid w:val="00EC51FE"/>
    <w:rsid w:val="00EC5CE8"/>
    <w:rsid w:val="00EC6066"/>
    <w:rsid w:val="00EC6234"/>
    <w:rsid w:val="00EC69EE"/>
    <w:rsid w:val="00EC6C9B"/>
    <w:rsid w:val="00EC7FC5"/>
    <w:rsid w:val="00ED11FF"/>
    <w:rsid w:val="00ED13D6"/>
    <w:rsid w:val="00ED14B8"/>
    <w:rsid w:val="00ED1B9D"/>
    <w:rsid w:val="00ED1BF6"/>
    <w:rsid w:val="00ED1D18"/>
    <w:rsid w:val="00ED1D83"/>
    <w:rsid w:val="00ED2366"/>
    <w:rsid w:val="00ED28A4"/>
    <w:rsid w:val="00ED39CF"/>
    <w:rsid w:val="00ED46E9"/>
    <w:rsid w:val="00ED4E66"/>
    <w:rsid w:val="00ED5BE1"/>
    <w:rsid w:val="00ED64EE"/>
    <w:rsid w:val="00ED6C69"/>
    <w:rsid w:val="00ED7F2B"/>
    <w:rsid w:val="00EE0037"/>
    <w:rsid w:val="00EE0A72"/>
    <w:rsid w:val="00EE14B4"/>
    <w:rsid w:val="00EE1593"/>
    <w:rsid w:val="00EE1B72"/>
    <w:rsid w:val="00EE22E9"/>
    <w:rsid w:val="00EE2553"/>
    <w:rsid w:val="00EE2A10"/>
    <w:rsid w:val="00EE2D07"/>
    <w:rsid w:val="00EE2E21"/>
    <w:rsid w:val="00EE355B"/>
    <w:rsid w:val="00EE377F"/>
    <w:rsid w:val="00EE3E39"/>
    <w:rsid w:val="00EE41E2"/>
    <w:rsid w:val="00EE4285"/>
    <w:rsid w:val="00EE4344"/>
    <w:rsid w:val="00EE451D"/>
    <w:rsid w:val="00EE4DDD"/>
    <w:rsid w:val="00EE4F55"/>
    <w:rsid w:val="00EE553B"/>
    <w:rsid w:val="00EE5678"/>
    <w:rsid w:val="00EE67F1"/>
    <w:rsid w:val="00EE68D3"/>
    <w:rsid w:val="00EE694E"/>
    <w:rsid w:val="00EE72C1"/>
    <w:rsid w:val="00EE784A"/>
    <w:rsid w:val="00EE7F79"/>
    <w:rsid w:val="00EF00E5"/>
    <w:rsid w:val="00EF0CE9"/>
    <w:rsid w:val="00EF0DBA"/>
    <w:rsid w:val="00EF171F"/>
    <w:rsid w:val="00EF1ACF"/>
    <w:rsid w:val="00EF1AE4"/>
    <w:rsid w:val="00EF1B08"/>
    <w:rsid w:val="00EF26BA"/>
    <w:rsid w:val="00EF2F74"/>
    <w:rsid w:val="00EF3730"/>
    <w:rsid w:val="00EF3769"/>
    <w:rsid w:val="00EF3EA1"/>
    <w:rsid w:val="00EF4DD5"/>
    <w:rsid w:val="00EF4E36"/>
    <w:rsid w:val="00EF510F"/>
    <w:rsid w:val="00EF6E2A"/>
    <w:rsid w:val="00EF7DF6"/>
    <w:rsid w:val="00F00049"/>
    <w:rsid w:val="00F0084B"/>
    <w:rsid w:val="00F014CB"/>
    <w:rsid w:val="00F01B8A"/>
    <w:rsid w:val="00F0282D"/>
    <w:rsid w:val="00F030DD"/>
    <w:rsid w:val="00F03F52"/>
    <w:rsid w:val="00F0455A"/>
    <w:rsid w:val="00F05A1B"/>
    <w:rsid w:val="00F05AE4"/>
    <w:rsid w:val="00F06454"/>
    <w:rsid w:val="00F0684E"/>
    <w:rsid w:val="00F06EE7"/>
    <w:rsid w:val="00F071BA"/>
    <w:rsid w:val="00F0779D"/>
    <w:rsid w:val="00F07C81"/>
    <w:rsid w:val="00F07EA9"/>
    <w:rsid w:val="00F107D0"/>
    <w:rsid w:val="00F10F92"/>
    <w:rsid w:val="00F11E41"/>
    <w:rsid w:val="00F11E5B"/>
    <w:rsid w:val="00F129CA"/>
    <w:rsid w:val="00F1378F"/>
    <w:rsid w:val="00F13896"/>
    <w:rsid w:val="00F1450E"/>
    <w:rsid w:val="00F16A4C"/>
    <w:rsid w:val="00F170B3"/>
    <w:rsid w:val="00F171EA"/>
    <w:rsid w:val="00F17207"/>
    <w:rsid w:val="00F20A5C"/>
    <w:rsid w:val="00F20F72"/>
    <w:rsid w:val="00F211E9"/>
    <w:rsid w:val="00F21D6D"/>
    <w:rsid w:val="00F22D98"/>
    <w:rsid w:val="00F23263"/>
    <w:rsid w:val="00F233FC"/>
    <w:rsid w:val="00F23BC1"/>
    <w:rsid w:val="00F24488"/>
    <w:rsid w:val="00F2533D"/>
    <w:rsid w:val="00F25607"/>
    <w:rsid w:val="00F25928"/>
    <w:rsid w:val="00F25B31"/>
    <w:rsid w:val="00F25EC1"/>
    <w:rsid w:val="00F265DA"/>
    <w:rsid w:val="00F26CD5"/>
    <w:rsid w:val="00F26DC3"/>
    <w:rsid w:val="00F27636"/>
    <w:rsid w:val="00F27785"/>
    <w:rsid w:val="00F27969"/>
    <w:rsid w:val="00F27F53"/>
    <w:rsid w:val="00F301A5"/>
    <w:rsid w:val="00F30C4E"/>
    <w:rsid w:val="00F30D29"/>
    <w:rsid w:val="00F31B2E"/>
    <w:rsid w:val="00F323EB"/>
    <w:rsid w:val="00F32585"/>
    <w:rsid w:val="00F32F47"/>
    <w:rsid w:val="00F32F5C"/>
    <w:rsid w:val="00F3313E"/>
    <w:rsid w:val="00F33463"/>
    <w:rsid w:val="00F35C5C"/>
    <w:rsid w:val="00F360D2"/>
    <w:rsid w:val="00F3632C"/>
    <w:rsid w:val="00F364E0"/>
    <w:rsid w:val="00F36542"/>
    <w:rsid w:val="00F36958"/>
    <w:rsid w:val="00F36AC8"/>
    <w:rsid w:val="00F36ED1"/>
    <w:rsid w:val="00F36FEA"/>
    <w:rsid w:val="00F373D7"/>
    <w:rsid w:val="00F375FD"/>
    <w:rsid w:val="00F377AF"/>
    <w:rsid w:val="00F37E80"/>
    <w:rsid w:val="00F402AF"/>
    <w:rsid w:val="00F40B96"/>
    <w:rsid w:val="00F41026"/>
    <w:rsid w:val="00F411B2"/>
    <w:rsid w:val="00F41337"/>
    <w:rsid w:val="00F41D4F"/>
    <w:rsid w:val="00F421EA"/>
    <w:rsid w:val="00F4269F"/>
    <w:rsid w:val="00F42E6B"/>
    <w:rsid w:val="00F42F78"/>
    <w:rsid w:val="00F432D1"/>
    <w:rsid w:val="00F432EB"/>
    <w:rsid w:val="00F4330B"/>
    <w:rsid w:val="00F4498A"/>
    <w:rsid w:val="00F44DC1"/>
    <w:rsid w:val="00F45399"/>
    <w:rsid w:val="00F454CA"/>
    <w:rsid w:val="00F458A8"/>
    <w:rsid w:val="00F45AA6"/>
    <w:rsid w:val="00F45E49"/>
    <w:rsid w:val="00F465A1"/>
    <w:rsid w:val="00F46C0E"/>
    <w:rsid w:val="00F46CCC"/>
    <w:rsid w:val="00F46D34"/>
    <w:rsid w:val="00F46E9C"/>
    <w:rsid w:val="00F470FA"/>
    <w:rsid w:val="00F4776A"/>
    <w:rsid w:val="00F47ED2"/>
    <w:rsid w:val="00F501CD"/>
    <w:rsid w:val="00F507FA"/>
    <w:rsid w:val="00F50E70"/>
    <w:rsid w:val="00F5219B"/>
    <w:rsid w:val="00F5226D"/>
    <w:rsid w:val="00F52898"/>
    <w:rsid w:val="00F52B17"/>
    <w:rsid w:val="00F52DAF"/>
    <w:rsid w:val="00F546D3"/>
    <w:rsid w:val="00F54C21"/>
    <w:rsid w:val="00F553FE"/>
    <w:rsid w:val="00F55409"/>
    <w:rsid w:val="00F554AB"/>
    <w:rsid w:val="00F561F0"/>
    <w:rsid w:val="00F562E0"/>
    <w:rsid w:val="00F5671F"/>
    <w:rsid w:val="00F57547"/>
    <w:rsid w:val="00F57550"/>
    <w:rsid w:val="00F57F86"/>
    <w:rsid w:val="00F60A08"/>
    <w:rsid w:val="00F61201"/>
    <w:rsid w:val="00F615AA"/>
    <w:rsid w:val="00F61661"/>
    <w:rsid w:val="00F61FBE"/>
    <w:rsid w:val="00F628C9"/>
    <w:rsid w:val="00F62A9F"/>
    <w:rsid w:val="00F62AE9"/>
    <w:rsid w:val="00F63732"/>
    <w:rsid w:val="00F641EC"/>
    <w:rsid w:val="00F6443B"/>
    <w:rsid w:val="00F655DE"/>
    <w:rsid w:val="00F656EC"/>
    <w:rsid w:val="00F6603B"/>
    <w:rsid w:val="00F66EBB"/>
    <w:rsid w:val="00F676AB"/>
    <w:rsid w:val="00F70120"/>
    <w:rsid w:val="00F7012A"/>
    <w:rsid w:val="00F71211"/>
    <w:rsid w:val="00F72491"/>
    <w:rsid w:val="00F72F08"/>
    <w:rsid w:val="00F731EA"/>
    <w:rsid w:val="00F742B7"/>
    <w:rsid w:val="00F744D5"/>
    <w:rsid w:val="00F74922"/>
    <w:rsid w:val="00F74E2F"/>
    <w:rsid w:val="00F74F07"/>
    <w:rsid w:val="00F752CD"/>
    <w:rsid w:val="00F75598"/>
    <w:rsid w:val="00F757DF"/>
    <w:rsid w:val="00F75DE4"/>
    <w:rsid w:val="00F768A9"/>
    <w:rsid w:val="00F76978"/>
    <w:rsid w:val="00F76B43"/>
    <w:rsid w:val="00F76BEE"/>
    <w:rsid w:val="00F773D2"/>
    <w:rsid w:val="00F8126B"/>
    <w:rsid w:val="00F8152C"/>
    <w:rsid w:val="00F81B3B"/>
    <w:rsid w:val="00F82621"/>
    <w:rsid w:val="00F82983"/>
    <w:rsid w:val="00F83988"/>
    <w:rsid w:val="00F8431E"/>
    <w:rsid w:val="00F8449A"/>
    <w:rsid w:val="00F844E4"/>
    <w:rsid w:val="00F84842"/>
    <w:rsid w:val="00F84FA6"/>
    <w:rsid w:val="00F8523C"/>
    <w:rsid w:val="00F8560F"/>
    <w:rsid w:val="00F856A2"/>
    <w:rsid w:val="00F866AD"/>
    <w:rsid w:val="00F86B7A"/>
    <w:rsid w:val="00F870BD"/>
    <w:rsid w:val="00F871CD"/>
    <w:rsid w:val="00F87499"/>
    <w:rsid w:val="00F877C2"/>
    <w:rsid w:val="00F905B9"/>
    <w:rsid w:val="00F90AC4"/>
    <w:rsid w:val="00F90B69"/>
    <w:rsid w:val="00F90BE5"/>
    <w:rsid w:val="00F92ADC"/>
    <w:rsid w:val="00F93010"/>
    <w:rsid w:val="00F93453"/>
    <w:rsid w:val="00F936C8"/>
    <w:rsid w:val="00F93AA7"/>
    <w:rsid w:val="00F94951"/>
    <w:rsid w:val="00F951ED"/>
    <w:rsid w:val="00F958A0"/>
    <w:rsid w:val="00F961CF"/>
    <w:rsid w:val="00F966DC"/>
    <w:rsid w:val="00F97C77"/>
    <w:rsid w:val="00FA09D1"/>
    <w:rsid w:val="00FA122D"/>
    <w:rsid w:val="00FA161A"/>
    <w:rsid w:val="00FA1F31"/>
    <w:rsid w:val="00FA2052"/>
    <w:rsid w:val="00FA2E94"/>
    <w:rsid w:val="00FA324C"/>
    <w:rsid w:val="00FA357D"/>
    <w:rsid w:val="00FA3857"/>
    <w:rsid w:val="00FA3A92"/>
    <w:rsid w:val="00FA3B2D"/>
    <w:rsid w:val="00FA4168"/>
    <w:rsid w:val="00FA58BD"/>
    <w:rsid w:val="00FA5AFC"/>
    <w:rsid w:val="00FA5F43"/>
    <w:rsid w:val="00FA606B"/>
    <w:rsid w:val="00FA634E"/>
    <w:rsid w:val="00FA644F"/>
    <w:rsid w:val="00FA6F05"/>
    <w:rsid w:val="00FA7C46"/>
    <w:rsid w:val="00FB06DF"/>
    <w:rsid w:val="00FB0873"/>
    <w:rsid w:val="00FB0881"/>
    <w:rsid w:val="00FB0CFB"/>
    <w:rsid w:val="00FB0D15"/>
    <w:rsid w:val="00FB10A6"/>
    <w:rsid w:val="00FB1A2F"/>
    <w:rsid w:val="00FB2869"/>
    <w:rsid w:val="00FB2BCD"/>
    <w:rsid w:val="00FB40A1"/>
    <w:rsid w:val="00FB4C8A"/>
    <w:rsid w:val="00FB596B"/>
    <w:rsid w:val="00FB6023"/>
    <w:rsid w:val="00FB690C"/>
    <w:rsid w:val="00FB7B7C"/>
    <w:rsid w:val="00FC0C85"/>
    <w:rsid w:val="00FC0E9F"/>
    <w:rsid w:val="00FC11B5"/>
    <w:rsid w:val="00FC1997"/>
    <w:rsid w:val="00FC1B77"/>
    <w:rsid w:val="00FC2414"/>
    <w:rsid w:val="00FC247E"/>
    <w:rsid w:val="00FC249C"/>
    <w:rsid w:val="00FC2612"/>
    <w:rsid w:val="00FC370B"/>
    <w:rsid w:val="00FC38CA"/>
    <w:rsid w:val="00FC3A59"/>
    <w:rsid w:val="00FC3EF0"/>
    <w:rsid w:val="00FC42C7"/>
    <w:rsid w:val="00FC4428"/>
    <w:rsid w:val="00FC44EB"/>
    <w:rsid w:val="00FC49E5"/>
    <w:rsid w:val="00FC5481"/>
    <w:rsid w:val="00FC56CD"/>
    <w:rsid w:val="00FC5EEA"/>
    <w:rsid w:val="00FC603B"/>
    <w:rsid w:val="00FC62B2"/>
    <w:rsid w:val="00FC68CC"/>
    <w:rsid w:val="00FC70A4"/>
    <w:rsid w:val="00FC71F7"/>
    <w:rsid w:val="00FC7257"/>
    <w:rsid w:val="00FD03E9"/>
    <w:rsid w:val="00FD063D"/>
    <w:rsid w:val="00FD09C8"/>
    <w:rsid w:val="00FD187E"/>
    <w:rsid w:val="00FD2194"/>
    <w:rsid w:val="00FD2433"/>
    <w:rsid w:val="00FD3152"/>
    <w:rsid w:val="00FD3260"/>
    <w:rsid w:val="00FD32AA"/>
    <w:rsid w:val="00FD3480"/>
    <w:rsid w:val="00FD3D8F"/>
    <w:rsid w:val="00FD4C19"/>
    <w:rsid w:val="00FD4E41"/>
    <w:rsid w:val="00FD579F"/>
    <w:rsid w:val="00FD699B"/>
    <w:rsid w:val="00FD6A55"/>
    <w:rsid w:val="00FD7224"/>
    <w:rsid w:val="00FD72AD"/>
    <w:rsid w:val="00FD78F9"/>
    <w:rsid w:val="00FD7976"/>
    <w:rsid w:val="00FD79B6"/>
    <w:rsid w:val="00FE0270"/>
    <w:rsid w:val="00FE03FD"/>
    <w:rsid w:val="00FE08F8"/>
    <w:rsid w:val="00FE0932"/>
    <w:rsid w:val="00FE2599"/>
    <w:rsid w:val="00FE2C48"/>
    <w:rsid w:val="00FE3336"/>
    <w:rsid w:val="00FE403C"/>
    <w:rsid w:val="00FE5DD5"/>
    <w:rsid w:val="00FE5DEC"/>
    <w:rsid w:val="00FE6437"/>
    <w:rsid w:val="00FE694D"/>
    <w:rsid w:val="00FE7404"/>
    <w:rsid w:val="00FE7D7A"/>
    <w:rsid w:val="00FF0006"/>
    <w:rsid w:val="00FF0532"/>
    <w:rsid w:val="00FF06CC"/>
    <w:rsid w:val="00FF07BC"/>
    <w:rsid w:val="00FF08B6"/>
    <w:rsid w:val="00FF0BAA"/>
    <w:rsid w:val="00FF1783"/>
    <w:rsid w:val="00FF1FB6"/>
    <w:rsid w:val="00FF2102"/>
    <w:rsid w:val="00FF26BB"/>
    <w:rsid w:val="00FF2E11"/>
    <w:rsid w:val="00FF2EF5"/>
    <w:rsid w:val="00FF3F22"/>
    <w:rsid w:val="00FF5368"/>
    <w:rsid w:val="00FF5455"/>
    <w:rsid w:val="00FF5A05"/>
    <w:rsid w:val="00FF5C4F"/>
    <w:rsid w:val="00FF65CA"/>
    <w:rsid w:val="00FF6A1F"/>
    <w:rsid w:val="00FF6F63"/>
    <w:rsid w:val="00FF7566"/>
    <w:rsid w:val="00FF765A"/>
    <w:rsid w:val="00FF7CDB"/>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4753" fill="f" fillcolor="white" stroke="f">
      <v:fill color="white" on="f"/>
      <v:stroke on="f"/>
      <o:colormru v:ext="edit" colors="#c30808,#00137b,#ca2918,#e3e2db,#6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8"/>
    <w:lsdException w:name="caption" w:uiPriority="35" w:qFormat="1"/>
    <w:lsdException w:name="annotation reference"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E44"/>
    <w:rPr>
      <w:sz w:val="24"/>
      <w:szCs w:val="24"/>
    </w:rPr>
  </w:style>
  <w:style w:type="paragraph" w:styleId="Rubrik1">
    <w:name w:val="heading 1"/>
    <w:basedOn w:val="ALMRubrik1"/>
    <w:next w:val="ALMBrdtext"/>
    <w:qFormat/>
    <w:rsid w:val="0029043C"/>
    <w:pPr>
      <w:numPr>
        <w:numId w:val="1"/>
      </w:numPr>
      <w:tabs>
        <w:tab w:val="left" w:pos="0"/>
      </w:tabs>
    </w:pPr>
  </w:style>
  <w:style w:type="paragraph" w:styleId="Rubrik2">
    <w:name w:val="heading 2"/>
    <w:basedOn w:val="ALMRubrik2"/>
    <w:next w:val="ALMBrdtext"/>
    <w:qFormat/>
    <w:rsid w:val="0029043C"/>
    <w:pPr>
      <w:numPr>
        <w:numId w:val="1"/>
      </w:numPr>
      <w:tabs>
        <w:tab w:val="clear" w:pos="576"/>
        <w:tab w:val="left" w:pos="567"/>
        <w:tab w:val="num" w:pos="718"/>
      </w:tabs>
      <w:ind w:left="718"/>
    </w:pPr>
  </w:style>
  <w:style w:type="paragraph" w:styleId="Rubrik3">
    <w:name w:val="heading 3"/>
    <w:basedOn w:val="ALMRubrik3"/>
    <w:next w:val="ALMBrdtext"/>
    <w:qFormat/>
    <w:rsid w:val="0029043C"/>
    <w:pPr>
      <w:numPr>
        <w:numId w:val="1"/>
      </w:numPr>
      <w:ind w:left="284" w:hanging="284"/>
    </w:pPr>
  </w:style>
  <w:style w:type="paragraph" w:styleId="Rubrik4">
    <w:name w:val="heading 4"/>
    <w:basedOn w:val="ALMRubrik4"/>
    <w:next w:val="ALMBrdtext"/>
    <w:qFormat/>
    <w:rsid w:val="0029043C"/>
  </w:style>
  <w:style w:type="paragraph" w:styleId="Rubrik5">
    <w:name w:val="heading 5"/>
    <w:basedOn w:val="ALMRubrik5"/>
    <w:next w:val="ALMBrdtext"/>
    <w:qFormat/>
    <w:rsid w:val="0029043C"/>
  </w:style>
  <w:style w:type="paragraph" w:styleId="Rubrik6">
    <w:name w:val="heading 6"/>
    <w:basedOn w:val="Rubrik5"/>
    <w:next w:val="ALMBrdtext"/>
    <w:qFormat/>
    <w:rsid w:val="0029043C"/>
    <w:pPr>
      <w:outlineLvl w:val="5"/>
    </w:pPr>
    <w:rPr>
      <w:rFonts w:ascii="Arial" w:hAnsi="Arial"/>
      <w:b/>
      <w:sz w:val="20"/>
    </w:rPr>
  </w:style>
  <w:style w:type="paragraph" w:styleId="Rubrik7">
    <w:name w:val="heading 7"/>
    <w:basedOn w:val="Rubrik6"/>
    <w:next w:val="ALMBrdtext"/>
    <w:qFormat/>
    <w:rsid w:val="0029043C"/>
    <w:pPr>
      <w:outlineLvl w:val="6"/>
    </w:pPr>
    <w:rPr>
      <w:b w:val="0"/>
    </w:rPr>
  </w:style>
  <w:style w:type="paragraph" w:styleId="Rubrik8">
    <w:name w:val="heading 8"/>
    <w:basedOn w:val="Rubrik7"/>
    <w:next w:val="ALMBrdtext"/>
    <w:qFormat/>
    <w:rsid w:val="0029043C"/>
    <w:pPr>
      <w:outlineLvl w:val="7"/>
    </w:pPr>
  </w:style>
  <w:style w:type="paragraph" w:styleId="Rubrik9">
    <w:name w:val="heading 9"/>
    <w:basedOn w:val="Rubrik8"/>
    <w:next w:val="ALMBrdtext"/>
    <w:qFormat/>
    <w:rsid w:val="0029043C"/>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MRubrik1">
    <w:name w:val="ALM_Rubrik 1"/>
    <w:next w:val="ALMBrdtext"/>
    <w:link w:val="ALMRubrik1Char"/>
    <w:rsid w:val="0029043C"/>
    <w:pPr>
      <w:keepNext/>
      <w:keepLines/>
      <w:pageBreakBefore/>
      <w:numPr>
        <w:numId w:val="4"/>
      </w:numPr>
      <w:spacing w:after="240"/>
      <w:ind w:left="431" w:hanging="431"/>
      <w:outlineLvl w:val="0"/>
    </w:pPr>
    <w:rPr>
      <w:rFonts w:ascii="Arial" w:hAnsi="Arial"/>
      <w:b/>
      <w:sz w:val="30"/>
    </w:rPr>
  </w:style>
  <w:style w:type="paragraph" w:customStyle="1" w:styleId="ALMBrdtext">
    <w:name w:val="ALM_Brödtext"/>
    <w:rsid w:val="0029043C"/>
    <w:pPr>
      <w:tabs>
        <w:tab w:val="left" w:pos="284"/>
        <w:tab w:val="left" w:pos="567"/>
      </w:tabs>
    </w:pPr>
    <w:rPr>
      <w:sz w:val="24"/>
      <w:lang w:eastAsia="en-US"/>
    </w:rPr>
  </w:style>
  <w:style w:type="paragraph" w:customStyle="1" w:styleId="ALMRubrik2">
    <w:name w:val="ALM_Rubrik 2"/>
    <w:basedOn w:val="ALMRubrik1"/>
    <w:next w:val="ALMBrdtext"/>
    <w:rsid w:val="0029043C"/>
    <w:pPr>
      <w:pageBreakBefore w:val="0"/>
      <w:numPr>
        <w:ilvl w:val="1"/>
      </w:numPr>
      <w:tabs>
        <w:tab w:val="left" w:pos="567"/>
      </w:tabs>
      <w:spacing w:before="480" w:after="120"/>
      <w:ind w:left="431" w:hanging="431"/>
      <w:outlineLvl w:val="1"/>
    </w:pPr>
    <w:rPr>
      <w:sz w:val="26"/>
    </w:rPr>
  </w:style>
  <w:style w:type="paragraph" w:customStyle="1" w:styleId="ALMRubrik3">
    <w:name w:val="ALM_Rubrik 3"/>
    <w:basedOn w:val="ALMRubrik2"/>
    <w:next w:val="ALMBrdtext"/>
    <w:rsid w:val="00436E55"/>
    <w:pPr>
      <w:numPr>
        <w:ilvl w:val="2"/>
      </w:numPr>
      <w:tabs>
        <w:tab w:val="clear" w:pos="567"/>
        <w:tab w:val="left" w:pos="680"/>
      </w:tabs>
      <w:outlineLvl w:val="2"/>
    </w:pPr>
    <w:rPr>
      <w:sz w:val="24"/>
    </w:rPr>
  </w:style>
  <w:style w:type="paragraph" w:customStyle="1" w:styleId="ALMRubrik4">
    <w:name w:val="ALM_Rubrik 4"/>
    <w:basedOn w:val="ALMRubrik3"/>
    <w:next w:val="ALMBrdtext"/>
    <w:rsid w:val="0029043C"/>
    <w:pPr>
      <w:numPr>
        <w:ilvl w:val="0"/>
        <w:numId w:val="0"/>
      </w:numPr>
      <w:spacing w:before="240" w:after="60"/>
      <w:outlineLvl w:val="3"/>
    </w:pPr>
    <w:rPr>
      <w:rFonts w:ascii="Times New Roman" w:hAnsi="Times New Roman"/>
    </w:rPr>
  </w:style>
  <w:style w:type="paragraph" w:customStyle="1" w:styleId="ALMRubrik5">
    <w:name w:val="ALM_Rubrik 5"/>
    <w:basedOn w:val="ALMRubrik4"/>
    <w:next w:val="ALMBrdtext"/>
    <w:rsid w:val="0029043C"/>
    <w:pPr>
      <w:outlineLvl w:val="4"/>
    </w:pPr>
    <w:rPr>
      <w:b w:val="0"/>
      <w:i/>
    </w:rPr>
  </w:style>
  <w:style w:type="paragraph" w:customStyle="1" w:styleId="ALMPunktlista">
    <w:name w:val="ALM_Punktlista"/>
    <w:basedOn w:val="ALMBrdtext"/>
    <w:rsid w:val="0029043C"/>
    <w:pPr>
      <w:keepLines/>
      <w:numPr>
        <w:numId w:val="2"/>
      </w:numPr>
      <w:tabs>
        <w:tab w:val="clear" w:pos="284"/>
        <w:tab w:val="clear" w:pos="360"/>
        <w:tab w:val="left" w:pos="357"/>
      </w:tabs>
      <w:spacing w:before="120"/>
      <w:ind w:left="357" w:right="567" w:hanging="357"/>
    </w:pPr>
  </w:style>
  <w:style w:type="paragraph" w:customStyle="1" w:styleId="ALMSidfot">
    <w:name w:val="ALM_Sidfot"/>
    <w:link w:val="ALMSidfotChar"/>
    <w:rsid w:val="0029043C"/>
    <w:pPr>
      <w:keepLines/>
      <w:tabs>
        <w:tab w:val="center" w:pos="4536"/>
        <w:tab w:val="right" w:pos="9072"/>
      </w:tabs>
      <w:jc w:val="center"/>
    </w:pPr>
    <w:rPr>
      <w:rFonts w:ascii="Arial" w:hAnsi="Arial"/>
      <w:sz w:val="16"/>
    </w:rPr>
  </w:style>
  <w:style w:type="paragraph" w:customStyle="1" w:styleId="ALMOmslagsrubrik1">
    <w:name w:val="ALM_Omslagsrubrik 1"/>
    <w:next w:val="ALMOmslagsrubrik2"/>
    <w:rsid w:val="0029043C"/>
    <w:pPr>
      <w:spacing w:before="6300" w:after="120"/>
      <w:ind w:left="567" w:right="170"/>
      <w:jc w:val="right"/>
    </w:pPr>
    <w:rPr>
      <w:rFonts w:ascii="Arial" w:hAnsi="Arial"/>
      <w:b/>
      <w:sz w:val="36"/>
    </w:rPr>
  </w:style>
  <w:style w:type="paragraph" w:customStyle="1" w:styleId="ALMOmslagsrubrik2">
    <w:name w:val="ALM_Omslagsrubrik 2"/>
    <w:rsid w:val="0029043C"/>
    <w:pPr>
      <w:ind w:left="567" w:right="170"/>
      <w:jc w:val="right"/>
    </w:pPr>
    <w:rPr>
      <w:i/>
      <w:sz w:val="24"/>
    </w:rPr>
  </w:style>
  <w:style w:type="character" w:customStyle="1" w:styleId="ALMSidnummer">
    <w:name w:val="ALM_Sidnummer"/>
    <w:rsid w:val="0029043C"/>
    <w:rPr>
      <w:rFonts w:ascii="Arial" w:hAnsi="Arial"/>
      <w:sz w:val="16"/>
    </w:rPr>
  </w:style>
  <w:style w:type="paragraph" w:customStyle="1" w:styleId="ALMRubrikInnehll">
    <w:name w:val="ALM_Rubrik Innehåll"/>
    <w:next w:val="ALMBrdtext"/>
    <w:rsid w:val="0029043C"/>
    <w:pPr>
      <w:keepNext/>
      <w:tabs>
        <w:tab w:val="right" w:leader="dot" w:pos="9072"/>
      </w:tabs>
      <w:spacing w:before="1320" w:after="240"/>
    </w:pPr>
    <w:rPr>
      <w:rFonts w:ascii="Arial" w:hAnsi="Arial"/>
      <w:b/>
      <w:bCs/>
      <w:sz w:val="30"/>
      <w:lang w:val="en-GB" w:eastAsia="en-US"/>
    </w:rPr>
  </w:style>
  <w:style w:type="character" w:customStyle="1" w:styleId="ALMDatum">
    <w:name w:val="ALM_Datum"/>
    <w:rsid w:val="0029043C"/>
    <w:rPr>
      <w:rFonts w:ascii="Arial" w:hAnsi="Arial"/>
      <w:sz w:val="16"/>
    </w:rPr>
  </w:style>
  <w:style w:type="paragraph" w:styleId="Innehll1">
    <w:name w:val="toc 1"/>
    <w:uiPriority w:val="39"/>
    <w:rsid w:val="0029043C"/>
    <w:pPr>
      <w:tabs>
        <w:tab w:val="left" w:pos="567"/>
        <w:tab w:val="left" w:leader="dot" w:pos="7371"/>
      </w:tabs>
      <w:spacing w:line="360" w:lineRule="exact"/>
    </w:pPr>
    <w:rPr>
      <w:rFonts w:ascii="Arial" w:hAnsi="Arial"/>
      <w:b/>
      <w:noProof/>
      <w:sz w:val="22"/>
    </w:rPr>
  </w:style>
  <w:style w:type="paragraph" w:customStyle="1" w:styleId="ALMNumreradlista">
    <w:name w:val="ALM_Numrerad lista"/>
    <w:basedOn w:val="ALMBrdtext"/>
    <w:rsid w:val="0029043C"/>
    <w:pPr>
      <w:numPr>
        <w:numId w:val="3"/>
      </w:numPr>
      <w:tabs>
        <w:tab w:val="clear" w:pos="284"/>
        <w:tab w:val="clear" w:pos="567"/>
      </w:tabs>
      <w:spacing w:before="120"/>
      <w:ind w:right="567"/>
    </w:pPr>
  </w:style>
  <w:style w:type="paragraph" w:styleId="Innehll2">
    <w:name w:val="toc 2"/>
    <w:uiPriority w:val="39"/>
    <w:rsid w:val="0029043C"/>
    <w:pPr>
      <w:tabs>
        <w:tab w:val="left" w:pos="567"/>
        <w:tab w:val="left" w:leader="dot" w:pos="7371"/>
      </w:tabs>
      <w:spacing w:line="360" w:lineRule="exact"/>
      <w:ind w:left="1134" w:hanging="567"/>
    </w:pPr>
    <w:rPr>
      <w:noProof/>
      <w:sz w:val="24"/>
    </w:rPr>
  </w:style>
  <w:style w:type="paragraph" w:styleId="Innehll3">
    <w:name w:val="toc 3"/>
    <w:semiHidden/>
    <w:rsid w:val="0029043C"/>
    <w:pPr>
      <w:tabs>
        <w:tab w:val="left" w:pos="567"/>
        <w:tab w:val="left" w:leader="dot" w:pos="7371"/>
      </w:tabs>
      <w:spacing w:line="360" w:lineRule="exact"/>
      <w:ind w:left="1871" w:hanging="737"/>
    </w:pPr>
    <w:rPr>
      <w:noProof/>
      <w:sz w:val="24"/>
    </w:rPr>
  </w:style>
  <w:style w:type="paragraph" w:customStyle="1" w:styleId="ALMIngress">
    <w:name w:val="ALM_Ingress"/>
    <w:basedOn w:val="ALMBrdtext"/>
    <w:rsid w:val="0029043C"/>
    <w:rPr>
      <w:i/>
    </w:rPr>
  </w:style>
  <w:style w:type="paragraph" w:styleId="Ballongtext">
    <w:name w:val="Balloon Text"/>
    <w:basedOn w:val="Normal"/>
    <w:semiHidden/>
    <w:rsid w:val="00F138E7"/>
    <w:rPr>
      <w:rFonts w:ascii="Tahoma" w:hAnsi="Tahoma" w:cs="Tahoma"/>
      <w:sz w:val="16"/>
      <w:szCs w:val="16"/>
    </w:rPr>
  </w:style>
  <w:style w:type="character" w:styleId="Hyperlnk">
    <w:name w:val="Hyperlink"/>
    <w:uiPriority w:val="99"/>
    <w:rsid w:val="00A63E44"/>
    <w:rPr>
      <w:color w:val="0000FF"/>
      <w:u w:val="single"/>
    </w:rPr>
  </w:style>
  <w:style w:type="paragraph" w:styleId="Fotnotstext">
    <w:name w:val="footnote text"/>
    <w:basedOn w:val="Normal"/>
    <w:link w:val="FotnotstextChar"/>
    <w:uiPriority w:val="99"/>
    <w:semiHidden/>
    <w:rsid w:val="00A63E44"/>
    <w:rPr>
      <w:sz w:val="20"/>
      <w:szCs w:val="20"/>
    </w:rPr>
  </w:style>
  <w:style w:type="character" w:styleId="Fotnotsreferens">
    <w:name w:val="footnote reference"/>
    <w:uiPriority w:val="99"/>
    <w:semiHidden/>
    <w:rsid w:val="00A63E44"/>
    <w:rPr>
      <w:vertAlign w:val="superscript"/>
    </w:rPr>
  </w:style>
  <w:style w:type="character" w:customStyle="1" w:styleId="ALMSidfotChar">
    <w:name w:val="ALM_Sidfot Char"/>
    <w:link w:val="ALMSidfot"/>
    <w:rsid w:val="00A63E44"/>
    <w:rPr>
      <w:rFonts w:ascii="Arial" w:hAnsi="Arial"/>
      <w:sz w:val="16"/>
      <w:lang w:val="sv-SE" w:eastAsia="sv-SE" w:bidi="ar-SA"/>
    </w:rPr>
  </w:style>
  <w:style w:type="paragraph" w:styleId="Sidhuvud">
    <w:name w:val="header"/>
    <w:basedOn w:val="Normal"/>
    <w:rsid w:val="007D2F6C"/>
    <w:pPr>
      <w:tabs>
        <w:tab w:val="left" w:pos="284"/>
        <w:tab w:val="left" w:pos="567"/>
        <w:tab w:val="left" w:pos="851"/>
      </w:tabs>
      <w:spacing w:line="360" w:lineRule="auto"/>
      <w:jc w:val="both"/>
    </w:pPr>
    <w:rPr>
      <w:rFonts w:ascii="Arial Narrow" w:hAnsi="Arial Narrow"/>
      <w:b/>
      <w:bCs/>
      <w:i/>
      <w:iCs/>
    </w:rPr>
  </w:style>
  <w:style w:type="table" w:styleId="Tabellrutnt">
    <w:name w:val="Table Grid"/>
    <w:basedOn w:val="Normaltabell"/>
    <w:rsid w:val="008E6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dtextalmega">
    <w:name w:val="Brödtext_almega"/>
    <w:basedOn w:val="Normal"/>
    <w:link w:val="BrdtextalmegaChar"/>
    <w:rsid w:val="008E6F8D"/>
    <w:pPr>
      <w:spacing w:after="120" w:line="264" w:lineRule="auto"/>
    </w:pPr>
    <w:rPr>
      <w:sz w:val="20"/>
      <w:szCs w:val="20"/>
      <w:lang w:eastAsia="en-US"/>
    </w:rPr>
  </w:style>
  <w:style w:type="character" w:customStyle="1" w:styleId="BrdtextalmegaChar">
    <w:name w:val="Brödtext_almega Char"/>
    <w:link w:val="Brdtextalmega"/>
    <w:rsid w:val="008E6F8D"/>
    <w:rPr>
      <w:lang w:val="sv-SE" w:eastAsia="en-US" w:bidi="ar-SA"/>
    </w:rPr>
  </w:style>
  <w:style w:type="character" w:customStyle="1" w:styleId="ALMRubrik1Char">
    <w:name w:val="ALM_Rubrik 1 Char"/>
    <w:link w:val="ALMRubrik1"/>
    <w:rsid w:val="008E6F8D"/>
    <w:rPr>
      <w:rFonts w:ascii="Arial" w:hAnsi="Arial"/>
      <w:b/>
      <w:sz w:val="30"/>
      <w:lang w:val="sv-SE" w:eastAsia="sv-SE" w:bidi="ar-SA"/>
    </w:rPr>
  </w:style>
  <w:style w:type="paragraph" w:customStyle="1" w:styleId="almingress0">
    <w:name w:val="almingress"/>
    <w:basedOn w:val="Normal"/>
    <w:rsid w:val="008A6474"/>
  </w:style>
  <w:style w:type="character" w:styleId="Betoning">
    <w:name w:val="Emphasis"/>
    <w:qFormat/>
    <w:rsid w:val="008A6474"/>
    <w:rPr>
      <w:i/>
      <w:iCs/>
    </w:rPr>
  </w:style>
  <w:style w:type="character" w:customStyle="1" w:styleId="formatmallrubrik2arialnarrow12ptintefet1char">
    <w:name w:val="formatmallrubrik2arialnarrow12ptintefet1char"/>
    <w:basedOn w:val="Standardstycketeckensnitt"/>
    <w:rsid w:val="008A6474"/>
  </w:style>
  <w:style w:type="paragraph" w:styleId="Sidfot">
    <w:name w:val="footer"/>
    <w:basedOn w:val="Normal"/>
    <w:link w:val="SidfotChar"/>
    <w:uiPriority w:val="8"/>
    <w:rsid w:val="008A6474"/>
    <w:pPr>
      <w:tabs>
        <w:tab w:val="center" w:pos="4536"/>
        <w:tab w:val="right" w:pos="9072"/>
      </w:tabs>
    </w:pPr>
  </w:style>
  <w:style w:type="character" w:styleId="Kommentarsreferens">
    <w:name w:val="annotation reference"/>
    <w:semiHidden/>
    <w:rsid w:val="00214373"/>
    <w:rPr>
      <w:sz w:val="16"/>
      <w:szCs w:val="16"/>
    </w:rPr>
  </w:style>
  <w:style w:type="paragraph" w:styleId="Kommentarer">
    <w:name w:val="annotation text"/>
    <w:basedOn w:val="Normal"/>
    <w:semiHidden/>
    <w:rsid w:val="00214373"/>
    <w:rPr>
      <w:sz w:val="20"/>
      <w:szCs w:val="20"/>
    </w:rPr>
  </w:style>
  <w:style w:type="paragraph" w:styleId="Kommentarsmne">
    <w:name w:val="annotation subject"/>
    <w:basedOn w:val="Kommentarer"/>
    <w:next w:val="Kommentarer"/>
    <w:semiHidden/>
    <w:rsid w:val="00214373"/>
    <w:rPr>
      <w:b/>
      <w:bCs/>
    </w:rPr>
  </w:style>
  <w:style w:type="character" w:styleId="AnvndHyperlnk">
    <w:name w:val="FollowedHyperlink"/>
    <w:rsid w:val="00BF6AC5"/>
    <w:rPr>
      <w:color w:val="800080"/>
      <w:u w:val="single"/>
    </w:rPr>
  </w:style>
  <w:style w:type="paragraph" w:styleId="Innehllsfrteckningsrubrik">
    <w:name w:val="TOC Heading"/>
    <w:basedOn w:val="Rubrik1"/>
    <w:next w:val="Normal"/>
    <w:uiPriority w:val="39"/>
    <w:unhideWhenUsed/>
    <w:qFormat/>
    <w:rsid w:val="00280724"/>
    <w:pPr>
      <w:pageBreakBefore w:val="0"/>
      <w:numPr>
        <w:numId w:val="0"/>
      </w:numPr>
      <w:tabs>
        <w:tab w:val="clear" w:pos="0"/>
      </w:tabs>
      <w:spacing w:before="480" w:after="0" w:line="276" w:lineRule="auto"/>
      <w:outlineLvl w:val="9"/>
    </w:pPr>
    <w:rPr>
      <w:rFonts w:ascii="Cambria" w:hAnsi="Cambria"/>
      <w:bCs/>
      <w:color w:val="365F91"/>
      <w:sz w:val="28"/>
      <w:szCs w:val="28"/>
      <w:lang w:eastAsia="en-US"/>
    </w:rPr>
  </w:style>
  <w:style w:type="paragraph" w:styleId="Revision">
    <w:name w:val="Revision"/>
    <w:hidden/>
    <w:uiPriority w:val="99"/>
    <w:semiHidden/>
    <w:rsid w:val="005470F6"/>
    <w:rPr>
      <w:sz w:val="24"/>
      <w:szCs w:val="24"/>
    </w:rPr>
  </w:style>
  <w:style w:type="character" w:customStyle="1" w:styleId="SidfotChar">
    <w:name w:val="Sidfot Char"/>
    <w:link w:val="Sidfot"/>
    <w:uiPriority w:val="8"/>
    <w:rsid w:val="00F46D34"/>
    <w:rPr>
      <w:sz w:val="24"/>
      <w:szCs w:val="24"/>
    </w:rPr>
  </w:style>
  <w:style w:type="character" w:customStyle="1" w:styleId="FotnotstextChar">
    <w:name w:val="Fotnotstext Char"/>
    <w:basedOn w:val="Standardstycketeckensnitt"/>
    <w:link w:val="Fotnotstext"/>
    <w:uiPriority w:val="99"/>
    <w:semiHidden/>
    <w:rsid w:val="009A7935"/>
  </w:style>
  <w:style w:type="paragraph" w:customStyle="1" w:styleId="Allmntstyckeformat">
    <w:name w:val="[Allmänt styckeformat]"/>
    <w:basedOn w:val="Normal"/>
    <w:uiPriority w:val="99"/>
    <w:rsid w:val="004B407B"/>
    <w:pPr>
      <w:autoSpaceDE w:val="0"/>
      <w:autoSpaceDN w:val="0"/>
      <w:adjustRightInd w:val="0"/>
      <w:spacing w:line="288" w:lineRule="auto"/>
      <w:textAlignment w:val="center"/>
    </w:pPr>
    <w:rPr>
      <w:rFonts w:ascii="Minion Pro" w:hAnsi="Minion Pro" w:cs="Minion Pro"/>
      <w:color w:val="000000"/>
    </w:rPr>
  </w:style>
  <w:style w:type="paragraph" w:customStyle="1" w:styleId="Default">
    <w:name w:val="Default"/>
    <w:rsid w:val="00B64228"/>
    <w:pPr>
      <w:autoSpaceDE w:val="0"/>
      <w:autoSpaceDN w:val="0"/>
      <w:adjustRightInd w:val="0"/>
    </w:pPr>
    <w:rPr>
      <w:rFonts w:ascii="Arial" w:hAnsi="Arial" w:cs="Arial"/>
      <w:color w:val="000000"/>
      <w:sz w:val="24"/>
      <w:szCs w:val="24"/>
    </w:rPr>
  </w:style>
  <w:style w:type="character" w:customStyle="1" w:styleId="A7">
    <w:name w:val="A7"/>
    <w:uiPriority w:val="99"/>
    <w:rsid w:val="00710BBD"/>
    <w:rPr>
      <w:rFonts w:cs="ITC Galliard Std"/>
      <w:color w:val="000000"/>
      <w:sz w:val="18"/>
      <w:szCs w:val="18"/>
    </w:rPr>
  </w:style>
  <w:style w:type="paragraph" w:styleId="Liststycke">
    <w:name w:val="List Paragraph"/>
    <w:basedOn w:val="Normal"/>
    <w:uiPriority w:val="34"/>
    <w:qFormat/>
    <w:rsid w:val="00EE5678"/>
    <w:pPr>
      <w:ind w:left="720"/>
    </w:pPr>
    <w:rPr>
      <w:rFonts w:ascii="Calibri" w:eastAsia="Calibri" w:hAnsi="Calibri" w:cs="Calibri"/>
      <w:sz w:val="22"/>
      <w:szCs w:val="22"/>
      <w:lang w:eastAsia="en-US"/>
    </w:rPr>
  </w:style>
  <w:style w:type="paragraph" w:styleId="Numreradlista">
    <w:name w:val="List Number"/>
    <w:basedOn w:val="Normal"/>
    <w:uiPriority w:val="99"/>
    <w:unhideWhenUsed/>
    <w:qFormat/>
    <w:rsid w:val="007D60C5"/>
    <w:pPr>
      <w:numPr>
        <w:numId w:val="13"/>
      </w:numPr>
      <w:tabs>
        <w:tab w:val="clear" w:pos="360"/>
        <w:tab w:val="num" w:pos="432"/>
      </w:tabs>
      <w:spacing w:after="240"/>
      <w:ind w:left="397" w:hanging="397"/>
      <w:contextualSpacing/>
    </w:pPr>
    <w:rPr>
      <w:rFonts w:ascii="Calibri" w:eastAsia="Calibr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8"/>
    <w:lsdException w:name="caption" w:uiPriority="35" w:qFormat="1"/>
    <w:lsdException w:name="annotation reference"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E44"/>
    <w:rPr>
      <w:sz w:val="24"/>
      <w:szCs w:val="24"/>
    </w:rPr>
  </w:style>
  <w:style w:type="paragraph" w:styleId="Rubrik1">
    <w:name w:val="heading 1"/>
    <w:basedOn w:val="ALMRubrik1"/>
    <w:next w:val="ALMBrdtext"/>
    <w:qFormat/>
    <w:rsid w:val="0029043C"/>
    <w:pPr>
      <w:numPr>
        <w:numId w:val="1"/>
      </w:numPr>
      <w:tabs>
        <w:tab w:val="left" w:pos="0"/>
      </w:tabs>
    </w:pPr>
  </w:style>
  <w:style w:type="paragraph" w:styleId="Rubrik2">
    <w:name w:val="heading 2"/>
    <w:basedOn w:val="ALMRubrik2"/>
    <w:next w:val="ALMBrdtext"/>
    <w:qFormat/>
    <w:rsid w:val="0029043C"/>
    <w:pPr>
      <w:numPr>
        <w:numId w:val="1"/>
      </w:numPr>
      <w:tabs>
        <w:tab w:val="clear" w:pos="576"/>
        <w:tab w:val="left" w:pos="567"/>
        <w:tab w:val="num" w:pos="718"/>
      </w:tabs>
      <w:ind w:left="718"/>
    </w:pPr>
  </w:style>
  <w:style w:type="paragraph" w:styleId="Rubrik3">
    <w:name w:val="heading 3"/>
    <w:basedOn w:val="ALMRubrik3"/>
    <w:next w:val="ALMBrdtext"/>
    <w:qFormat/>
    <w:rsid w:val="0029043C"/>
    <w:pPr>
      <w:numPr>
        <w:numId w:val="1"/>
      </w:numPr>
      <w:ind w:left="284" w:hanging="284"/>
    </w:pPr>
  </w:style>
  <w:style w:type="paragraph" w:styleId="Rubrik4">
    <w:name w:val="heading 4"/>
    <w:basedOn w:val="ALMRubrik4"/>
    <w:next w:val="ALMBrdtext"/>
    <w:qFormat/>
    <w:rsid w:val="0029043C"/>
  </w:style>
  <w:style w:type="paragraph" w:styleId="Rubrik5">
    <w:name w:val="heading 5"/>
    <w:basedOn w:val="ALMRubrik5"/>
    <w:next w:val="ALMBrdtext"/>
    <w:qFormat/>
    <w:rsid w:val="0029043C"/>
  </w:style>
  <w:style w:type="paragraph" w:styleId="Rubrik6">
    <w:name w:val="heading 6"/>
    <w:basedOn w:val="Rubrik5"/>
    <w:next w:val="ALMBrdtext"/>
    <w:qFormat/>
    <w:rsid w:val="0029043C"/>
    <w:pPr>
      <w:outlineLvl w:val="5"/>
    </w:pPr>
    <w:rPr>
      <w:rFonts w:ascii="Arial" w:hAnsi="Arial"/>
      <w:b/>
      <w:sz w:val="20"/>
    </w:rPr>
  </w:style>
  <w:style w:type="paragraph" w:styleId="Rubrik7">
    <w:name w:val="heading 7"/>
    <w:basedOn w:val="Rubrik6"/>
    <w:next w:val="ALMBrdtext"/>
    <w:qFormat/>
    <w:rsid w:val="0029043C"/>
    <w:pPr>
      <w:outlineLvl w:val="6"/>
    </w:pPr>
    <w:rPr>
      <w:b w:val="0"/>
    </w:rPr>
  </w:style>
  <w:style w:type="paragraph" w:styleId="Rubrik8">
    <w:name w:val="heading 8"/>
    <w:basedOn w:val="Rubrik7"/>
    <w:next w:val="ALMBrdtext"/>
    <w:qFormat/>
    <w:rsid w:val="0029043C"/>
    <w:pPr>
      <w:outlineLvl w:val="7"/>
    </w:pPr>
  </w:style>
  <w:style w:type="paragraph" w:styleId="Rubrik9">
    <w:name w:val="heading 9"/>
    <w:basedOn w:val="Rubrik8"/>
    <w:next w:val="ALMBrdtext"/>
    <w:qFormat/>
    <w:rsid w:val="0029043C"/>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MRubrik1">
    <w:name w:val="ALM_Rubrik 1"/>
    <w:next w:val="ALMBrdtext"/>
    <w:link w:val="ALMRubrik1Char"/>
    <w:rsid w:val="0029043C"/>
    <w:pPr>
      <w:keepNext/>
      <w:keepLines/>
      <w:pageBreakBefore/>
      <w:numPr>
        <w:numId w:val="4"/>
      </w:numPr>
      <w:spacing w:after="240"/>
      <w:ind w:left="431" w:hanging="431"/>
      <w:outlineLvl w:val="0"/>
    </w:pPr>
    <w:rPr>
      <w:rFonts w:ascii="Arial" w:hAnsi="Arial"/>
      <w:b/>
      <w:sz w:val="30"/>
    </w:rPr>
  </w:style>
  <w:style w:type="paragraph" w:customStyle="1" w:styleId="ALMBrdtext">
    <w:name w:val="ALM_Brödtext"/>
    <w:rsid w:val="0029043C"/>
    <w:pPr>
      <w:tabs>
        <w:tab w:val="left" w:pos="284"/>
        <w:tab w:val="left" w:pos="567"/>
      </w:tabs>
    </w:pPr>
    <w:rPr>
      <w:sz w:val="24"/>
      <w:lang w:eastAsia="en-US"/>
    </w:rPr>
  </w:style>
  <w:style w:type="paragraph" w:customStyle="1" w:styleId="ALMRubrik2">
    <w:name w:val="ALM_Rubrik 2"/>
    <w:basedOn w:val="ALMRubrik1"/>
    <w:next w:val="ALMBrdtext"/>
    <w:rsid w:val="0029043C"/>
    <w:pPr>
      <w:pageBreakBefore w:val="0"/>
      <w:numPr>
        <w:ilvl w:val="1"/>
      </w:numPr>
      <w:tabs>
        <w:tab w:val="left" w:pos="567"/>
      </w:tabs>
      <w:spacing w:before="480" w:after="120"/>
      <w:ind w:left="431" w:hanging="431"/>
      <w:outlineLvl w:val="1"/>
    </w:pPr>
    <w:rPr>
      <w:sz w:val="26"/>
    </w:rPr>
  </w:style>
  <w:style w:type="paragraph" w:customStyle="1" w:styleId="ALMRubrik3">
    <w:name w:val="ALM_Rubrik 3"/>
    <w:basedOn w:val="ALMRubrik2"/>
    <w:next w:val="ALMBrdtext"/>
    <w:rsid w:val="00436E55"/>
    <w:pPr>
      <w:numPr>
        <w:ilvl w:val="2"/>
      </w:numPr>
      <w:tabs>
        <w:tab w:val="clear" w:pos="567"/>
        <w:tab w:val="left" w:pos="680"/>
      </w:tabs>
      <w:outlineLvl w:val="2"/>
    </w:pPr>
    <w:rPr>
      <w:sz w:val="24"/>
    </w:rPr>
  </w:style>
  <w:style w:type="paragraph" w:customStyle="1" w:styleId="ALMRubrik4">
    <w:name w:val="ALM_Rubrik 4"/>
    <w:basedOn w:val="ALMRubrik3"/>
    <w:next w:val="ALMBrdtext"/>
    <w:rsid w:val="0029043C"/>
    <w:pPr>
      <w:numPr>
        <w:ilvl w:val="0"/>
        <w:numId w:val="0"/>
      </w:numPr>
      <w:spacing w:before="240" w:after="60"/>
      <w:outlineLvl w:val="3"/>
    </w:pPr>
    <w:rPr>
      <w:rFonts w:ascii="Times New Roman" w:hAnsi="Times New Roman"/>
    </w:rPr>
  </w:style>
  <w:style w:type="paragraph" w:customStyle="1" w:styleId="ALMRubrik5">
    <w:name w:val="ALM_Rubrik 5"/>
    <w:basedOn w:val="ALMRubrik4"/>
    <w:next w:val="ALMBrdtext"/>
    <w:rsid w:val="0029043C"/>
    <w:pPr>
      <w:outlineLvl w:val="4"/>
    </w:pPr>
    <w:rPr>
      <w:b w:val="0"/>
      <w:i/>
    </w:rPr>
  </w:style>
  <w:style w:type="paragraph" w:customStyle="1" w:styleId="ALMPunktlista">
    <w:name w:val="ALM_Punktlista"/>
    <w:basedOn w:val="ALMBrdtext"/>
    <w:rsid w:val="0029043C"/>
    <w:pPr>
      <w:keepLines/>
      <w:numPr>
        <w:numId w:val="2"/>
      </w:numPr>
      <w:tabs>
        <w:tab w:val="clear" w:pos="284"/>
        <w:tab w:val="clear" w:pos="360"/>
        <w:tab w:val="left" w:pos="357"/>
      </w:tabs>
      <w:spacing w:before="120"/>
      <w:ind w:left="357" w:right="567" w:hanging="357"/>
    </w:pPr>
  </w:style>
  <w:style w:type="paragraph" w:customStyle="1" w:styleId="ALMSidfot">
    <w:name w:val="ALM_Sidfot"/>
    <w:link w:val="ALMSidfotChar"/>
    <w:rsid w:val="0029043C"/>
    <w:pPr>
      <w:keepLines/>
      <w:tabs>
        <w:tab w:val="center" w:pos="4536"/>
        <w:tab w:val="right" w:pos="9072"/>
      </w:tabs>
      <w:jc w:val="center"/>
    </w:pPr>
    <w:rPr>
      <w:rFonts w:ascii="Arial" w:hAnsi="Arial"/>
      <w:sz w:val="16"/>
    </w:rPr>
  </w:style>
  <w:style w:type="paragraph" w:customStyle="1" w:styleId="ALMOmslagsrubrik1">
    <w:name w:val="ALM_Omslagsrubrik 1"/>
    <w:next w:val="ALMOmslagsrubrik2"/>
    <w:rsid w:val="0029043C"/>
    <w:pPr>
      <w:spacing w:before="6300" w:after="120"/>
      <w:ind w:left="567" w:right="170"/>
      <w:jc w:val="right"/>
    </w:pPr>
    <w:rPr>
      <w:rFonts w:ascii="Arial" w:hAnsi="Arial"/>
      <w:b/>
      <w:sz w:val="36"/>
    </w:rPr>
  </w:style>
  <w:style w:type="paragraph" w:customStyle="1" w:styleId="ALMOmslagsrubrik2">
    <w:name w:val="ALM_Omslagsrubrik 2"/>
    <w:rsid w:val="0029043C"/>
    <w:pPr>
      <w:ind w:left="567" w:right="170"/>
      <w:jc w:val="right"/>
    </w:pPr>
    <w:rPr>
      <w:i/>
      <w:sz w:val="24"/>
    </w:rPr>
  </w:style>
  <w:style w:type="character" w:customStyle="1" w:styleId="ALMSidnummer">
    <w:name w:val="ALM_Sidnummer"/>
    <w:rsid w:val="0029043C"/>
    <w:rPr>
      <w:rFonts w:ascii="Arial" w:hAnsi="Arial"/>
      <w:sz w:val="16"/>
    </w:rPr>
  </w:style>
  <w:style w:type="paragraph" w:customStyle="1" w:styleId="ALMRubrikInnehll">
    <w:name w:val="ALM_Rubrik Innehåll"/>
    <w:next w:val="ALMBrdtext"/>
    <w:rsid w:val="0029043C"/>
    <w:pPr>
      <w:keepNext/>
      <w:tabs>
        <w:tab w:val="right" w:leader="dot" w:pos="9072"/>
      </w:tabs>
      <w:spacing w:before="1320" w:after="240"/>
    </w:pPr>
    <w:rPr>
      <w:rFonts w:ascii="Arial" w:hAnsi="Arial"/>
      <w:b/>
      <w:bCs/>
      <w:sz w:val="30"/>
      <w:lang w:val="en-GB" w:eastAsia="en-US"/>
    </w:rPr>
  </w:style>
  <w:style w:type="character" w:customStyle="1" w:styleId="ALMDatum">
    <w:name w:val="ALM_Datum"/>
    <w:rsid w:val="0029043C"/>
    <w:rPr>
      <w:rFonts w:ascii="Arial" w:hAnsi="Arial"/>
      <w:sz w:val="16"/>
    </w:rPr>
  </w:style>
  <w:style w:type="paragraph" w:styleId="Innehll1">
    <w:name w:val="toc 1"/>
    <w:uiPriority w:val="39"/>
    <w:rsid w:val="0029043C"/>
    <w:pPr>
      <w:tabs>
        <w:tab w:val="left" w:pos="567"/>
        <w:tab w:val="left" w:leader="dot" w:pos="7371"/>
      </w:tabs>
      <w:spacing w:line="360" w:lineRule="exact"/>
    </w:pPr>
    <w:rPr>
      <w:rFonts w:ascii="Arial" w:hAnsi="Arial"/>
      <w:b/>
      <w:noProof/>
      <w:sz w:val="22"/>
    </w:rPr>
  </w:style>
  <w:style w:type="paragraph" w:customStyle="1" w:styleId="ALMNumreradlista">
    <w:name w:val="ALM_Numrerad lista"/>
    <w:basedOn w:val="ALMBrdtext"/>
    <w:rsid w:val="0029043C"/>
    <w:pPr>
      <w:numPr>
        <w:numId w:val="3"/>
      </w:numPr>
      <w:tabs>
        <w:tab w:val="clear" w:pos="284"/>
        <w:tab w:val="clear" w:pos="567"/>
      </w:tabs>
      <w:spacing w:before="120"/>
      <w:ind w:right="567"/>
    </w:pPr>
  </w:style>
  <w:style w:type="paragraph" w:styleId="Innehll2">
    <w:name w:val="toc 2"/>
    <w:uiPriority w:val="39"/>
    <w:rsid w:val="0029043C"/>
    <w:pPr>
      <w:tabs>
        <w:tab w:val="left" w:pos="567"/>
        <w:tab w:val="left" w:leader="dot" w:pos="7371"/>
      </w:tabs>
      <w:spacing w:line="360" w:lineRule="exact"/>
      <w:ind w:left="1134" w:hanging="567"/>
    </w:pPr>
    <w:rPr>
      <w:noProof/>
      <w:sz w:val="24"/>
    </w:rPr>
  </w:style>
  <w:style w:type="paragraph" w:styleId="Innehll3">
    <w:name w:val="toc 3"/>
    <w:semiHidden/>
    <w:rsid w:val="0029043C"/>
    <w:pPr>
      <w:tabs>
        <w:tab w:val="left" w:pos="567"/>
        <w:tab w:val="left" w:leader="dot" w:pos="7371"/>
      </w:tabs>
      <w:spacing w:line="360" w:lineRule="exact"/>
      <w:ind w:left="1871" w:hanging="737"/>
    </w:pPr>
    <w:rPr>
      <w:noProof/>
      <w:sz w:val="24"/>
    </w:rPr>
  </w:style>
  <w:style w:type="paragraph" w:customStyle="1" w:styleId="ALMIngress">
    <w:name w:val="ALM_Ingress"/>
    <w:basedOn w:val="ALMBrdtext"/>
    <w:rsid w:val="0029043C"/>
    <w:rPr>
      <w:i/>
    </w:rPr>
  </w:style>
  <w:style w:type="paragraph" w:styleId="Ballongtext">
    <w:name w:val="Balloon Text"/>
    <w:basedOn w:val="Normal"/>
    <w:semiHidden/>
    <w:rsid w:val="00F138E7"/>
    <w:rPr>
      <w:rFonts w:ascii="Tahoma" w:hAnsi="Tahoma" w:cs="Tahoma"/>
      <w:sz w:val="16"/>
      <w:szCs w:val="16"/>
    </w:rPr>
  </w:style>
  <w:style w:type="character" w:styleId="Hyperlnk">
    <w:name w:val="Hyperlink"/>
    <w:uiPriority w:val="99"/>
    <w:rsid w:val="00A63E44"/>
    <w:rPr>
      <w:color w:val="0000FF"/>
      <w:u w:val="single"/>
    </w:rPr>
  </w:style>
  <w:style w:type="paragraph" w:styleId="Fotnotstext">
    <w:name w:val="footnote text"/>
    <w:basedOn w:val="Normal"/>
    <w:link w:val="FotnotstextChar"/>
    <w:uiPriority w:val="99"/>
    <w:semiHidden/>
    <w:rsid w:val="00A63E44"/>
    <w:rPr>
      <w:sz w:val="20"/>
      <w:szCs w:val="20"/>
    </w:rPr>
  </w:style>
  <w:style w:type="character" w:styleId="Fotnotsreferens">
    <w:name w:val="footnote reference"/>
    <w:uiPriority w:val="99"/>
    <w:semiHidden/>
    <w:rsid w:val="00A63E44"/>
    <w:rPr>
      <w:vertAlign w:val="superscript"/>
    </w:rPr>
  </w:style>
  <w:style w:type="character" w:customStyle="1" w:styleId="ALMSidfotChar">
    <w:name w:val="ALM_Sidfot Char"/>
    <w:link w:val="ALMSidfot"/>
    <w:rsid w:val="00A63E44"/>
    <w:rPr>
      <w:rFonts w:ascii="Arial" w:hAnsi="Arial"/>
      <w:sz w:val="16"/>
      <w:lang w:val="sv-SE" w:eastAsia="sv-SE" w:bidi="ar-SA"/>
    </w:rPr>
  </w:style>
  <w:style w:type="paragraph" w:styleId="Sidhuvud">
    <w:name w:val="header"/>
    <w:basedOn w:val="Normal"/>
    <w:rsid w:val="007D2F6C"/>
    <w:pPr>
      <w:tabs>
        <w:tab w:val="left" w:pos="284"/>
        <w:tab w:val="left" w:pos="567"/>
        <w:tab w:val="left" w:pos="851"/>
      </w:tabs>
      <w:spacing w:line="360" w:lineRule="auto"/>
      <w:jc w:val="both"/>
    </w:pPr>
    <w:rPr>
      <w:rFonts w:ascii="Arial Narrow" w:hAnsi="Arial Narrow"/>
      <w:b/>
      <w:bCs/>
      <w:i/>
      <w:iCs/>
    </w:rPr>
  </w:style>
  <w:style w:type="table" w:styleId="Tabellrutnt">
    <w:name w:val="Table Grid"/>
    <w:basedOn w:val="Normaltabell"/>
    <w:rsid w:val="008E6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dtextalmega">
    <w:name w:val="Brödtext_almega"/>
    <w:basedOn w:val="Normal"/>
    <w:link w:val="BrdtextalmegaChar"/>
    <w:rsid w:val="008E6F8D"/>
    <w:pPr>
      <w:spacing w:after="120" w:line="264" w:lineRule="auto"/>
    </w:pPr>
    <w:rPr>
      <w:sz w:val="20"/>
      <w:szCs w:val="20"/>
      <w:lang w:eastAsia="en-US"/>
    </w:rPr>
  </w:style>
  <w:style w:type="character" w:customStyle="1" w:styleId="BrdtextalmegaChar">
    <w:name w:val="Brödtext_almega Char"/>
    <w:link w:val="Brdtextalmega"/>
    <w:rsid w:val="008E6F8D"/>
    <w:rPr>
      <w:lang w:val="sv-SE" w:eastAsia="en-US" w:bidi="ar-SA"/>
    </w:rPr>
  </w:style>
  <w:style w:type="character" w:customStyle="1" w:styleId="ALMRubrik1Char">
    <w:name w:val="ALM_Rubrik 1 Char"/>
    <w:link w:val="ALMRubrik1"/>
    <w:rsid w:val="008E6F8D"/>
    <w:rPr>
      <w:rFonts w:ascii="Arial" w:hAnsi="Arial"/>
      <w:b/>
      <w:sz w:val="30"/>
      <w:lang w:val="sv-SE" w:eastAsia="sv-SE" w:bidi="ar-SA"/>
    </w:rPr>
  </w:style>
  <w:style w:type="paragraph" w:customStyle="1" w:styleId="almingress0">
    <w:name w:val="almingress"/>
    <w:basedOn w:val="Normal"/>
    <w:rsid w:val="008A6474"/>
  </w:style>
  <w:style w:type="character" w:styleId="Betoning">
    <w:name w:val="Emphasis"/>
    <w:qFormat/>
    <w:rsid w:val="008A6474"/>
    <w:rPr>
      <w:i/>
      <w:iCs/>
    </w:rPr>
  </w:style>
  <w:style w:type="character" w:customStyle="1" w:styleId="formatmallrubrik2arialnarrow12ptintefet1char">
    <w:name w:val="formatmallrubrik2arialnarrow12ptintefet1char"/>
    <w:basedOn w:val="Standardstycketeckensnitt"/>
    <w:rsid w:val="008A6474"/>
  </w:style>
  <w:style w:type="paragraph" w:styleId="Sidfot">
    <w:name w:val="footer"/>
    <w:basedOn w:val="Normal"/>
    <w:link w:val="SidfotChar"/>
    <w:uiPriority w:val="8"/>
    <w:rsid w:val="008A6474"/>
    <w:pPr>
      <w:tabs>
        <w:tab w:val="center" w:pos="4536"/>
        <w:tab w:val="right" w:pos="9072"/>
      </w:tabs>
    </w:pPr>
  </w:style>
  <w:style w:type="character" w:styleId="Kommentarsreferens">
    <w:name w:val="annotation reference"/>
    <w:semiHidden/>
    <w:rsid w:val="00214373"/>
    <w:rPr>
      <w:sz w:val="16"/>
      <w:szCs w:val="16"/>
    </w:rPr>
  </w:style>
  <w:style w:type="paragraph" w:styleId="Kommentarer">
    <w:name w:val="annotation text"/>
    <w:basedOn w:val="Normal"/>
    <w:semiHidden/>
    <w:rsid w:val="00214373"/>
    <w:rPr>
      <w:sz w:val="20"/>
      <w:szCs w:val="20"/>
    </w:rPr>
  </w:style>
  <w:style w:type="paragraph" w:styleId="Kommentarsmne">
    <w:name w:val="annotation subject"/>
    <w:basedOn w:val="Kommentarer"/>
    <w:next w:val="Kommentarer"/>
    <w:semiHidden/>
    <w:rsid w:val="00214373"/>
    <w:rPr>
      <w:b/>
      <w:bCs/>
    </w:rPr>
  </w:style>
  <w:style w:type="character" w:styleId="AnvndHyperlnk">
    <w:name w:val="FollowedHyperlink"/>
    <w:rsid w:val="00BF6AC5"/>
    <w:rPr>
      <w:color w:val="800080"/>
      <w:u w:val="single"/>
    </w:rPr>
  </w:style>
  <w:style w:type="paragraph" w:styleId="Innehllsfrteckningsrubrik">
    <w:name w:val="TOC Heading"/>
    <w:basedOn w:val="Rubrik1"/>
    <w:next w:val="Normal"/>
    <w:uiPriority w:val="39"/>
    <w:unhideWhenUsed/>
    <w:qFormat/>
    <w:rsid w:val="00280724"/>
    <w:pPr>
      <w:pageBreakBefore w:val="0"/>
      <w:numPr>
        <w:numId w:val="0"/>
      </w:numPr>
      <w:tabs>
        <w:tab w:val="clear" w:pos="0"/>
      </w:tabs>
      <w:spacing w:before="480" w:after="0" w:line="276" w:lineRule="auto"/>
      <w:outlineLvl w:val="9"/>
    </w:pPr>
    <w:rPr>
      <w:rFonts w:ascii="Cambria" w:hAnsi="Cambria"/>
      <w:bCs/>
      <w:color w:val="365F91"/>
      <w:sz w:val="28"/>
      <w:szCs w:val="28"/>
      <w:lang w:eastAsia="en-US"/>
    </w:rPr>
  </w:style>
  <w:style w:type="paragraph" w:styleId="Revision">
    <w:name w:val="Revision"/>
    <w:hidden/>
    <w:uiPriority w:val="99"/>
    <w:semiHidden/>
    <w:rsid w:val="005470F6"/>
    <w:rPr>
      <w:sz w:val="24"/>
      <w:szCs w:val="24"/>
    </w:rPr>
  </w:style>
  <w:style w:type="character" w:customStyle="1" w:styleId="SidfotChar">
    <w:name w:val="Sidfot Char"/>
    <w:link w:val="Sidfot"/>
    <w:uiPriority w:val="8"/>
    <w:rsid w:val="00F46D34"/>
    <w:rPr>
      <w:sz w:val="24"/>
      <w:szCs w:val="24"/>
    </w:rPr>
  </w:style>
  <w:style w:type="character" w:customStyle="1" w:styleId="FotnotstextChar">
    <w:name w:val="Fotnotstext Char"/>
    <w:basedOn w:val="Standardstycketeckensnitt"/>
    <w:link w:val="Fotnotstext"/>
    <w:uiPriority w:val="99"/>
    <w:semiHidden/>
    <w:rsid w:val="009A7935"/>
  </w:style>
  <w:style w:type="paragraph" w:customStyle="1" w:styleId="Allmntstyckeformat">
    <w:name w:val="[Allmänt styckeformat]"/>
    <w:basedOn w:val="Normal"/>
    <w:uiPriority w:val="99"/>
    <w:rsid w:val="004B407B"/>
    <w:pPr>
      <w:autoSpaceDE w:val="0"/>
      <w:autoSpaceDN w:val="0"/>
      <w:adjustRightInd w:val="0"/>
      <w:spacing w:line="288" w:lineRule="auto"/>
      <w:textAlignment w:val="center"/>
    </w:pPr>
    <w:rPr>
      <w:rFonts w:ascii="Minion Pro" w:hAnsi="Minion Pro" w:cs="Minion Pro"/>
      <w:color w:val="000000"/>
    </w:rPr>
  </w:style>
  <w:style w:type="paragraph" w:customStyle="1" w:styleId="Default">
    <w:name w:val="Default"/>
    <w:rsid w:val="00B64228"/>
    <w:pPr>
      <w:autoSpaceDE w:val="0"/>
      <w:autoSpaceDN w:val="0"/>
      <w:adjustRightInd w:val="0"/>
    </w:pPr>
    <w:rPr>
      <w:rFonts w:ascii="Arial" w:hAnsi="Arial" w:cs="Arial"/>
      <w:color w:val="000000"/>
      <w:sz w:val="24"/>
      <w:szCs w:val="24"/>
    </w:rPr>
  </w:style>
  <w:style w:type="character" w:customStyle="1" w:styleId="A7">
    <w:name w:val="A7"/>
    <w:uiPriority w:val="99"/>
    <w:rsid w:val="00710BBD"/>
    <w:rPr>
      <w:rFonts w:cs="ITC Galliard Std"/>
      <w:color w:val="000000"/>
      <w:sz w:val="18"/>
      <w:szCs w:val="18"/>
    </w:rPr>
  </w:style>
  <w:style w:type="paragraph" w:styleId="Liststycke">
    <w:name w:val="List Paragraph"/>
    <w:basedOn w:val="Normal"/>
    <w:uiPriority w:val="34"/>
    <w:qFormat/>
    <w:rsid w:val="00EE5678"/>
    <w:pPr>
      <w:ind w:left="720"/>
    </w:pPr>
    <w:rPr>
      <w:rFonts w:ascii="Calibri" w:eastAsia="Calibri" w:hAnsi="Calibri" w:cs="Calibri"/>
      <w:sz w:val="22"/>
      <w:szCs w:val="22"/>
      <w:lang w:eastAsia="en-US"/>
    </w:rPr>
  </w:style>
  <w:style w:type="paragraph" w:styleId="Numreradlista">
    <w:name w:val="List Number"/>
    <w:basedOn w:val="Normal"/>
    <w:uiPriority w:val="99"/>
    <w:unhideWhenUsed/>
    <w:qFormat/>
    <w:rsid w:val="007D60C5"/>
    <w:pPr>
      <w:numPr>
        <w:numId w:val="13"/>
      </w:numPr>
      <w:tabs>
        <w:tab w:val="clear" w:pos="360"/>
        <w:tab w:val="num" w:pos="432"/>
      </w:tabs>
      <w:spacing w:after="240"/>
      <w:ind w:left="397" w:hanging="397"/>
      <w:contextualSpacing/>
    </w:pPr>
    <w:rPr>
      <w:rFonts w:ascii="Calibri" w:eastAsia="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505">
      <w:bodyDiv w:val="1"/>
      <w:marLeft w:val="0"/>
      <w:marRight w:val="0"/>
      <w:marTop w:val="0"/>
      <w:marBottom w:val="0"/>
      <w:divBdr>
        <w:top w:val="none" w:sz="0" w:space="0" w:color="auto"/>
        <w:left w:val="none" w:sz="0" w:space="0" w:color="auto"/>
        <w:bottom w:val="none" w:sz="0" w:space="0" w:color="auto"/>
        <w:right w:val="none" w:sz="0" w:space="0" w:color="auto"/>
      </w:divBdr>
    </w:div>
    <w:div w:id="35352814">
      <w:bodyDiv w:val="1"/>
      <w:marLeft w:val="0"/>
      <w:marRight w:val="0"/>
      <w:marTop w:val="0"/>
      <w:marBottom w:val="0"/>
      <w:divBdr>
        <w:top w:val="none" w:sz="0" w:space="0" w:color="auto"/>
        <w:left w:val="none" w:sz="0" w:space="0" w:color="auto"/>
        <w:bottom w:val="none" w:sz="0" w:space="0" w:color="auto"/>
        <w:right w:val="none" w:sz="0" w:space="0" w:color="auto"/>
      </w:divBdr>
    </w:div>
    <w:div w:id="118844714">
      <w:bodyDiv w:val="1"/>
      <w:marLeft w:val="0"/>
      <w:marRight w:val="0"/>
      <w:marTop w:val="0"/>
      <w:marBottom w:val="0"/>
      <w:divBdr>
        <w:top w:val="none" w:sz="0" w:space="0" w:color="auto"/>
        <w:left w:val="none" w:sz="0" w:space="0" w:color="auto"/>
        <w:bottom w:val="none" w:sz="0" w:space="0" w:color="auto"/>
        <w:right w:val="none" w:sz="0" w:space="0" w:color="auto"/>
      </w:divBdr>
    </w:div>
    <w:div w:id="138958165">
      <w:bodyDiv w:val="1"/>
      <w:marLeft w:val="0"/>
      <w:marRight w:val="0"/>
      <w:marTop w:val="0"/>
      <w:marBottom w:val="0"/>
      <w:divBdr>
        <w:top w:val="none" w:sz="0" w:space="0" w:color="auto"/>
        <w:left w:val="none" w:sz="0" w:space="0" w:color="auto"/>
        <w:bottom w:val="none" w:sz="0" w:space="0" w:color="auto"/>
        <w:right w:val="none" w:sz="0" w:space="0" w:color="auto"/>
      </w:divBdr>
    </w:div>
    <w:div w:id="178930038">
      <w:bodyDiv w:val="1"/>
      <w:marLeft w:val="0"/>
      <w:marRight w:val="0"/>
      <w:marTop w:val="0"/>
      <w:marBottom w:val="0"/>
      <w:divBdr>
        <w:top w:val="none" w:sz="0" w:space="0" w:color="auto"/>
        <w:left w:val="none" w:sz="0" w:space="0" w:color="auto"/>
        <w:bottom w:val="none" w:sz="0" w:space="0" w:color="auto"/>
        <w:right w:val="none" w:sz="0" w:space="0" w:color="auto"/>
      </w:divBdr>
    </w:div>
    <w:div w:id="235239167">
      <w:bodyDiv w:val="1"/>
      <w:marLeft w:val="0"/>
      <w:marRight w:val="0"/>
      <w:marTop w:val="0"/>
      <w:marBottom w:val="0"/>
      <w:divBdr>
        <w:top w:val="none" w:sz="0" w:space="0" w:color="auto"/>
        <w:left w:val="none" w:sz="0" w:space="0" w:color="auto"/>
        <w:bottom w:val="none" w:sz="0" w:space="0" w:color="auto"/>
        <w:right w:val="none" w:sz="0" w:space="0" w:color="auto"/>
      </w:divBdr>
    </w:div>
    <w:div w:id="288321781">
      <w:bodyDiv w:val="1"/>
      <w:marLeft w:val="0"/>
      <w:marRight w:val="0"/>
      <w:marTop w:val="0"/>
      <w:marBottom w:val="0"/>
      <w:divBdr>
        <w:top w:val="none" w:sz="0" w:space="0" w:color="auto"/>
        <w:left w:val="none" w:sz="0" w:space="0" w:color="auto"/>
        <w:bottom w:val="none" w:sz="0" w:space="0" w:color="auto"/>
        <w:right w:val="none" w:sz="0" w:space="0" w:color="auto"/>
      </w:divBdr>
    </w:div>
    <w:div w:id="324434722">
      <w:bodyDiv w:val="1"/>
      <w:marLeft w:val="0"/>
      <w:marRight w:val="0"/>
      <w:marTop w:val="0"/>
      <w:marBottom w:val="0"/>
      <w:divBdr>
        <w:top w:val="none" w:sz="0" w:space="0" w:color="auto"/>
        <w:left w:val="none" w:sz="0" w:space="0" w:color="auto"/>
        <w:bottom w:val="none" w:sz="0" w:space="0" w:color="auto"/>
        <w:right w:val="none" w:sz="0" w:space="0" w:color="auto"/>
      </w:divBdr>
    </w:div>
    <w:div w:id="384526736">
      <w:bodyDiv w:val="1"/>
      <w:marLeft w:val="0"/>
      <w:marRight w:val="0"/>
      <w:marTop w:val="0"/>
      <w:marBottom w:val="0"/>
      <w:divBdr>
        <w:top w:val="none" w:sz="0" w:space="0" w:color="auto"/>
        <w:left w:val="none" w:sz="0" w:space="0" w:color="auto"/>
        <w:bottom w:val="none" w:sz="0" w:space="0" w:color="auto"/>
        <w:right w:val="none" w:sz="0" w:space="0" w:color="auto"/>
      </w:divBdr>
    </w:div>
    <w:div w:id="402946183">
      <w:bodyDiv w:val="1"/>
      <w:marLeft w:val="0"/>
      <w:marRight w:val="0"/>
      <w:marTop w:val="0"/>
      <w:marBottom w:val="0"/>
      <w:divBdr>
        <w:top w:val="none" w:sz="0" w:space="0" w:color="auto"/>
        <w:left w:val="none" w:sz="0" w:space="0" w:color="auto"/>
        <w:bottom w:val="none" w:sz="0" w:space="0" w:color="auto"/>
        <w:right w:val="none" w:sz="0" w:space="0" w:color="auto"/>
      </w:divBdr>
    </w:div>
    <w:div w:id="570434906">
      <w:bodyDiv w:val="1"/>
      <w:marLeft w:val="0"/>
      <w:marRight w:val="0"/>
      <w:marTop w:val="0"/>
      <w:marBottom w:val="0"/>
      <w:divBdr>
        <w:top w:val="none" w:sz="0" w:space="0" w:color="auto"/>
        <w:left w:val="none" w:sz="0" w:space="0" w:color="auto"/>
        <w:bottom w:val="none" w:sz="0" w:space="0" w:color="auto"/>
        <w:right w:val="none" w:sz="0" w:space="0" w:color="auto"/>
      </w:divBdr>
    </w:div>
    <w:div w:id="605188890">
      <w:bodyDiv w:val="1"/>
      <w:marLeft w:val="0"/>
      <w:marRight w:val="0"/>
      <w:marTop w:val="0"/>
      <w:marBottom w:val="0"/>
      <w:divBdr>
        <w:top w:val="none" w:sz="0" w:space="0" w:color="auto"/>
        <w:left w:val="none" w:sz="0" w:space="0" w:color="auto"/>
        <w:bottom w:val="none" w:sz="0" w:space="0" w:color="auto"/>
        <w:right w:val="none" w:sz="0" w:space="0" w:color="auto"/>
      </w:divBdr>
    </w:div>
    <w:div w:id="650062158">
      <w:bodyDiv w:val="1"/>
      <w:marLeft w:val="0"/>
      <w:marRight w:val="0"/>
      <w:marTop w:val="0"/>
      <w:marBottom w:val="0"/>
      <w:divBdr>
        <w:top w:val="none" w:sz="0" w:space="0" w:color="auto"/>
        <w:left w:val="none" w:sz="0" w:space="0" w:color="auto"/>
        <w:bottom w:val="none" w:sz="0" w:space="0" w:color="auto"/>
        <w:right w:val="none" w:sz="0" w:space="0" w:color="auto"/>
      </w:divBdr>
    </w:div>
    <w:div w:id="662390856">
      <w:bodyDiv w:val="1"/>
      <w:marLeft w:val="0"/>
      <w:marRight w:val="0"/>
      <w:marTop w:val="0"/>
      <w:marBottom w:val="0"/>
      <w:divBdr>
        <w:top w:val="none" w:sz="0" w:space="0" w:color="auto"/>
        <w:left w:val="none" w:sz="0" w:space="0" w:color="auto"/>
        <w:bottom w:val="none" w:sz="0" w:space="0" w:color="auto"/>
        <w:right w:val="none" w:sz="0" w:space="0" w:color="auto"/>
      </w:divBdr>
    </w:div>
    <w:div w:id="667178851">
      <w:bodyDiv w:val="1"/>
      <w:marLeft w:val="0"/>
      <w:marRight w:val="0"/>
      <w:marTop w:val="0"/>
      <w:marBottom w:val="0"/>
      <w:divBdr>
        <w:top w:val="none" w:sz="0" w:space="0" w:color="auto"/>
        <w:left w:val="none" w:sz="0" w:space="0" w:color="auto"/>
        <w:bottom w:val="none" w:sz="0" w:space="0" w:color="auto"/>
        <w:right w:val="none" w:sz="0" w:space="0" w:color="auto"/>
      </w:divBdr>
    </w:div>
    <w:div w:id="793213694">
      <w:bodyDiv w:val="1"/>
      <w:marLeft w:val="0"/>
      <w:marRight w:val="0"/>
      <w:marTop w:val="0"/>
      <w:marBottom w:val="0"/>
      <w:divBdr>
        <w:top w:val="none" w:sz="0" w:space="0" w:color="auto"/>
        <w:left w:val="none" w:sz="0" w:space="0" w:color="auto"/>
        <w:bottom w:val="none" w:sz="0" w:space="0" w:color="auto"/>
        <w:right w:val="none" w:sz="0" w:space="0" w:color="auto"/>
      </w:divBdr>
    </w:div>
    <w:div w:id="848567592">
      <w:bodyDiv w:val="1"/>
      <w:marLeft w:val="0"/>
      <w:marRight w:val="0"/>
      <w:marTop w:val="0"/>
      <w:marBottom w:val="0"/>
      <w:divBdr>
        <w:top w:val="none" w:sz="0" w:space="0" w:color="auto"/>
        <w:left w:val="none" w:sz="0" w:space="0" w:color="auto"/>
        <w:bottom w:val="none" w:sz="0" w:space="0" w:color="auto"/>
        <w:right w:val="none" w:sz="0" w:space="0" w:color="auto"/>
      </w:divBdr>
    </w:div>
    <w:div w:id="864096762">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1024940449">
      <w:bodyDiv w:val="1"/>
      <w:marLeft w:val="0"/>
      <w:marRight w:val="0"/>
      <w:marTop w:val="0"/>
      <w:marBottom w:val="0"/>
      <w:divBdr>
        <w:top w:val="none" w:sz="0" w:space="0" w:color="auto"/>
        <w:left w:val="none" w:sz="0" w:space="0" w:color="auto"/>
        <w:bottom w:val="none" w:sz="0" w:space="0" w:color="auto"/>
        <w:right w:val="none" w:sz="0" w:space="0" w:color="auto"/>
      </w:divBdr>
    </w:div>
    <w:div w:id="1054694226">
      <w:bodyDiv w:val="1"/>
      <w:marLeft w:val="0"/>
      <w:marRight w:val="0"/>
      <w:marTop w:val="0"/>
      <w:marBottom w:val="0"/>
      <w:divBdr>
        <w:top w:val="none" w:sz="0" w:space="0" w:color="auto"/>
        <w:left w:val="none" w:sz="0" w:space="0" w:color="auto"/>
        <w:bottom w:val="none" w:sz="0" w:space="0" w:color="auto"/>
        <w:right w:val="none" w:sz="0" w:space="0" w:color="auto"/>
      </w:divBdr>
    </w:div>
    <w:div w:id="1091120569">
      <w:bodyDiv w:val="1"/>
      <w:marLeft w:val="0"/>
      <w:marRight w:val="0"/>
      <w:marTop w:val="0"/>
      <w:marBottom w:val="0"/>
      <w:divBdr>
        <w:top w:val="none" w:sz="0" w:space="0" w:color="auto"/>
        <w:left w:val="none" w:sz="0" w:space="0" w:color="auto"/>
        <w:bottom w:val="none" w:sz="0" w:space="0" w:color="auto"/>
        <w:right w:val="none" w:sz="0" w:space="0" w:color="auto"/>
      </w:divBdr>
    </w:div>
    <w:div w:id="1116943915">
      <w:bodyDiv w:val="1"/>
      <w:marLeft w:val="0"/>
      <w:marRight w:val="0"/>
      <w:marTop w:val="0"/>
      <w:marBottom w:val="0"/>
      <w:divBdr>
        <w:top w:val="none" w:sz="0" w:space="0" w:color="auto"/>
        <w:left w:val="none" w:sz="0" w:space="0" w:color="auto"/>
        <w:bottom w:val="none" w:sz="0" w:space="0" w:color="auto"/>
        <w:right w:val="none" w:sz="0" w:space="0" w:color="auto"/>
      </w:divBdr>
    </w:div>
    <w:div w:id="1214851159">
      <w:bodyDiv w:val="1"/>
      <w:marLeft w:val="0"/>
      <w:marRight w:val="0"/>
      <w:marTop w:val="0"/>
      <w:marBottom w:val="0"/>
      <w:divBdr>
        <w:top w:val="none" w:sz="0" w:space="0" w:color="auto"/>
        <w:left w:val="none" w:sz="0" w:space="0" w:color="auto"/>
        <w:bottom w:val="none" w:sz="0" w:space="0" w:color="auto"/>
        <w:right w:val="none" w:sz="0" w:space="0" w:color="auto"/>
      </w:divBdr>
    </w:div>
    <w:div w:id="1360282487">
      <w:bodyDiv w:val="1"/>
      <w:marLeft w:val="0"/>
      <w:marRight w:val="0"/>
      <w:marTop w:val="0"/>
      <w:marBottom w:val="0"/>
      <w:divBdr>
        <w:top w:val="none" w:sz="0" w:space="0" w:color="auto"/>
        <w:left w:val="none" w:sz="0" w:space="0" w:color="auto"/>
        <w:bottom w:val="none" w:sz="0" w:space="0" w:color="auto"/>
        <w:right w:val="none" w:sz="0" w:space="0" w:color="auto"/>
      </w:divBdr>
    </w:div>
    <w:div w:id="1430540025">
      <w:bodyDiv w:val="1"/>
      <w:marLeft w:val="0"/>
      <w:marRight w:val="0"/>
      <w:marTop w:val="0"/>
      <w:marBottom w:val="0"/>
      <w:divBdr>
        <w:top w:val="none" w:sz="0" w:space="0" w:color="auto"/>
        <w:left w:val="none" w:sz="0" w:space="0" w:color="auto"/>
        <w:bottom w:val="none" w:sz="0" w:space="0" w:color="auto"/>
        <w:right w:val="none" w:sz="0" w:space="0" w:color="auto"/>
      </w:divBdr>
    </w:div>
    <w:div w:id="1475903278">
      <w:bodyDiv w:val="1"/>
      <w:marLeft w:val="0"/>
      <w:marRight w:val="0"/>
      <w:marTop w:val="0"/>
      <w:marBottom w:val="0"/>
      <w:divBdr>
        <w:top w:val="none" w:sz="0" w:space="0" w:color="auto"/>
        <w:left w:val="none" w:sz="0" w:space="0" w:color="auto"/>
        <w:bottom w:val="none" w:sz="0" w:space="0" w:color="auto"/>
        <w:right w:val="none" w:sz="0" w:space="0" w:color="auto"/>
      </w:divBdr>
    </w:div>
    <w:div w:id="1483547092">
      <w:bodyDiv w:val="1"/>
      <w:marLeft w:val="0"/>
      <w:marRight w:val="0"/>
      <w:marTop w:val="0"/>
      <w:marBottom w:val="0"/>
      <w:divBdr>
        <w:top w:val="none" w:sz="0" w:space="0" w:color="auto"/>
        <w:left w:val="none" w:sz="0" w:space="0" w:color="auto"/>
        <w:bottom w:val="none" w:sz="0" w:space="0" w:color="auto"/>
        <w:right w:val="none" w:sz="0" w:space="0" w:color="auto"/>
      </w:divBdr>
    </w:div>
    <w:div w:id="1515149215">
      <w:bodyDiv w:val="1"/>
      <w:marLeft w:val="0"/>
      <w:marRight w:val="0"/>
      <w:marTop w:val="0"/>
      <w:marBottom w:val="0"/>
      <w:divBdr>
        <w:top w:val="none" w:sz="0" w:space="0" w:color="auto"/>
        <w:left w:val="none" w:sz="0" w:space="0" w:color="auto"/>
        <w:bottom w:val="none" w:sz="0" w:space="0" w:color="auto"/>
        <w:right w:val="none" w:sz="0" w:space="0" w:color="auto"/>
      </w:divBdr>
    </w:div>
    <w:div w:id="1821191632">
      <w:bodyDiv w:val="1"/>
      <w:marLeft w:val="0"/>
      <w:marRight w:val="0"/>
      <w:marTop w:val="0"/>
      <w:marBottom w:val="0"/>
      <w:divBdr>
        <w:top w:val="none" w:sz="0" w:space="0" w:color="auto"/>
        <w:left w:val="none" w:sz="0" w:space="0" w:color="auto"/>
        <w:bottom w:val="none" w:sz="0" w:space="0" w:color="auto"/>
        <w:right w:val="none" w:sz="0" w:space="0" w:color="auto"/>
      </w:divBdr>
    </w:div>
    <w:div w:id="1930891315">
      <w:bodyDiv w:val="1"/>
      <w:marLeft w:val="0"/>
      <w:marRight w:val="0"/>
      <w:marTop w:val="0"/>
      <w:marBottom w:val="0"/>
      <w:divBdr>
        <w:top w:val="none" w:sz="0" w:space="0" w:color="auto"/>
        <w:left w:val="none" w:sz="0" w:space="0" w:color="auto"/>
        <w:bottom w:val="none" w:sz="0" w:space="0" w:color="auto"/>
        <w:right w:val="none" w:sz="0" w:space="0" w:color="auto"/>
      </w:divBdr>
    </w:div>
    <w:div w:id="1947957740">
      <w:bodyDiv w:val="1"/>
      <w:marLeft w:val="0"/>
      <w:marRight w:val="0"/>
      <w:marTop w:val="0"/>
      <w:marBottom w:val="0"/>
      <w:divBdr>
        <w:top w:val="none" w:sz="0" w:space="0" w:color="auto"/>
        <w:left w:val="none" w:sz="0" w:space="0" w:color="auto"/>
        <w:bottom w:val="none" w:sz="0" w:space="0" w:color="auto"/>
        <w:right w:val="none" w:sz="0" w:space="0" w:color="auto"/>
      </w:divBdr>
    </w:div>
    <w:div w:id="1977098403">
      <w:bodyDiv w:val="1"/>
      <w:marLeft w:val="0"/>
      <w:marRight w:val="0"/>
      <w:marTop w:val="0"/>
      <w:marBottom w:val="0"/>
      <w:divBdr>
        <w:top w:val="none" w:sz="0" w:space="0" w:color="auto"/>
        <w:left w:val="none" w:sz="0" w:space="0" w:color="auto"/>
        <w:bottom w:val="none" w:sz="0" w:space="0" w:color="auto"/>
        <w:right w:val="none" w:sz="0" w:space="0" w:color="auto"/>
      </w:divBdr>
    </w:div>
    <w:div w:id="2014334935">
      <w:bodyDiv w:val="1"/>
      <w:marLeft w:val="0"/>
      <w:marRight w:val="0"/>
      <w:marTop w:val="0"/>
      <w:marBottom w:val="0"/>
      <w:divBdr>
        <w:top w:val="none" w:sz="0" w:space="0" w:color="auto"/>
        <w:left w:val="none" w:sz="0" w:space="0" w:color="auto"/>
        <w:bottom w:val="none" w:sz="0" w:space="0" w:color="auto"/>
        <w:right w:val="none" w:sz="0" w:space="0" w:color="auto"/>
      </w:divBdr>
    </w:div>
    <w:div w:id="2039547549">
      <w:bodyDiv w:val="1"/>
      <w:marLeft w:val="0"/>
      <w:marRight w:val="0"/>
      <w:marTop w:val="0"/>
      <w:marBottom w:val="0"/>
      <w:divBdr>
        <w:top w:val="none" w:sz="0" w:space="0" w:color="auto"/>
        <w:left w:val="none" w:sz="0" w:space="0" w:color="auto"/>
        <w:bottom w:val="none" w:sz="0" w:space="0" w:color="auto"/>
        <w:right w:val="none" w:sz="0" w:space="0" w:color="auto"/>
      </w:divBdr>
    </w:div>
    <w:div w:id="2106029876">
      <w:bodyDiv w:val="1"/>
      <w:marLeft w:val="0"/>
      <w:marRight w:val="0"/>
      <w:marTop w:val="0"/>
      <w:marBottom w:val="0"/>
      <w:divBdr>
        <w:top w:val="none" w:sz="0" w:space="0" w:color="auto"/>
        <w:left w:val="none" w:sz="0" w:space="0" w:color="auto"/>
        <w:bottom w:val="none" w:sz="0" w:space="0" w:color="auto"/>
        <w:right w:val="none" w:sz="0" w:space="0" w:color="auto"/>
      </w:divBdr>
    </w:div>
    <w:div w:id="2138453998">
      <w:bodyDiv w:val="1"/>
      <w:marLeft w:val="0"/>
      <w:marRight w:val="0"/>
      <w:marTop w:val="0"/>
      <w:marBottom w:val="0"/>
      <w:divBdr>
        <w:top w:val="none" w:sz="0" w:space="0" w:color="auto"/>
        <w:left w:val="none" w:sz="0" w:space="0" w:color="auto"/>
        <w:bottom w:val="none" w:sz="0" w:space="0" w:color="auto"/>
        <w:right w:val="none" w:sz="0" w:space="0" w:color="auto"/>
      </w:divBdr>
    </w:div>
    <w:div w:id="214546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na.hagman@almega.se" TargetMode="External"/><Relationship Id="rId18" Type="http://schemas.openxmlformats.org/officeDocument/2006/relationships/oleObject" Target="embeddings/oleObject2.bin"/><Relationship Id="rId26" Type="http://schemas.openxmlformats.org/officeDocument/2006/relationships/image" Target="media/image10.emf"/><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oleObject" Target="embeddings/oleObject13.bin"/><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oleObject" Target="embeddings/oleObject12.bin"/><Relationship Id="rId45" Type="http://schemas.openxmlformats.org/officeDocument/2006/relationships/image" Target="media/image21.jpeg"/><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oleObject" Target="embeddings/oleObject8.bin"/><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linnea.kvist@almega.se" TargetMode="External"/><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A2CEB-5B49-45FD-BD75-EA80E333CA2F}">
  <ds:schemaRefs>
    <ds:schemaRef ds:uri="http://schemas.openxmlformats.org/officeDocument/2006/bibliography"/>
  </ds:schemaRefs>
</ds:datastoreItem>
</file>

<file path=customXml/itemProps2.xml><?xml version="1.0" encoding="utf-8"?>
<ds:datastoreItem xmlns:ds="http://schemas.openxmlformats.org/officeDocument/2006/customXml" ds:itemID="{6CD99561-78E7-47C7-B284-032AB036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6394</Words>
  <Characters>33891</Characters>
  <Application>Microsoft Office Word</Application>
  <DocSecurity>4</DocSecurity>
  <Lines>282</Lines>
  <Paragraphs>80</Paragraphs>
  <ScaleCrop>false</ScaleCrop>
  <HeadingPairs>
    <vt:vector size="2" baseType="variant">
      <vt:variant>
        <vt:lpstr>Rubrik</vt:lpstr>
      </vt:variant>
      <vt:variant>
        <vt:i4>1</vt:i4>
      </vt:variant>
    </vt:vector>
  </HeadingPairs>
  <TitlesOfParts>
    <vt:vector size="1" baseType="lpstr">
      <vt:lpstr>Almega rapportmall</vt:lpstr>
    </vt:vector>
  </TitlesOfParts>
  <Company>Almega</Company>
  <LinksUpToDate>false</LinksUpToDate>
  <CharactersWithSpaces>40205</CharactersWithSpaces>
  <SharedDoc>false</SharedDoc>
  <HLinks>
    <vt:vector size="66" baseType="variant">
      <vt:variant>
        <vt:i4>1441848</vt:i4>
      </vt:variant>
      <vt:variant>
        <vt:i4>56</vt:i4>
      </vt:variant>
      <vt:variant>
        <vt:i4>0</vt:i4>
      </vt:variant>
      <vt:variant>
        <vt:i4>5</vt:i4>
      </vt:variant>
      <vt:variant>
        <vt:lpwstr/>
      </vt:variant>
      <vt:variant>
        <vt:lpwstr>_Toc381886276</vt:lpwstr>
      </vt:variant>
      <vt:variant>
        <vt:i4>1441848</vt:i4>
      </vt:variant>
      <vt:variant>
        <vt:i4>50</vt:i4>
      </vt:variant>
      <vt:variant>
        <vt:i4>0</vt:i4>
      </vt:variant>
      <vt:variant>
        <vt:i4>5</vt:i4>
      </vt:variant>
      <vt:variant>
        <vt:lpwstr/>
      </vt:variant>
      <vt:variant>
        <vt:lpwstr>_Toc381886275</vt:lpwstr>
      </vt:variant>
      <vt:variant>
        <vt:i4>1441848</vt:i4>
      </vt:variant>
      <vt:variant>
        <vt:i4>44</vt:i4>
      </vt:variant>
      <vt:variant>
        <vt:i4>0</vt:i4>
      </vt:variant>
      <vt:variant>
        <vt:i4>5</vt:i4>
      </vt:variant>
      <vt:variant>
        <vt:lpwstr/>
      </vt:variant>
      <vt:variant>
        <vt:lpwstr>_Toc381886274</vt:lpwstr>
      </vt:variant>
      <vt:variant>
        <vt:i4>1441848</vt:i4>
      </vt:variant>
      <vt:variant>
        <vt:i4>38</vt:i4>
      </vt:variant>
      <vt:variant>
        <vt:i4>0</vt:i4>
      </vt:variant>
      <vt:variant>
        <vt:i4>5</vt:i4>
      </vt:variant>
      <vt:variant>
        <vt:lpwstr/>
      </vt:variant>
      <vt:variant>
        <vt:lpwstr>_Toc381886273</vt:lpwstr>
      </vt:variant>
      <vt:variant>
        <vt:i4>1441848</vt:i4>
      </vt:variant>
      <vt:variant>
        <vt:i4>32</vt:i4>
      </vt:variant>
      <vt:variant>
        <vt:i4>0</vt:i4>
      </vt:variant>
      <vt:variant>
        <vt:i4>5</vt:i4>
      </vt:variant>
      <vt:variant>
        <vt:lpwstr/>
      </vt:variant>
      <vt:variant>
        <vt:lpwstr>_Toc381886272</vt:lpwstr>
      </vt:variant>
      <vt:variant>
        <vt:i4>1441848</vt:i4>
      </vt:variant>
      <vt:variant>
        <vt:i4>26</vt:i4>
      </vt:variant>
      <vt:variant>
        <vt:i4>0</vt:i4>
      </vt:variant>
      <vt:variant>
        <vt:i4>5</vt:i4>
      </vt:variant>
      <vt:variant>
        <vt:lpwstr/>
      </vt:variant>
      <vt:variant>
        <vt:lpwstr>_Toc381886271</vt:lpwstr>
      </vt:variant>
      <vt:variant>
        <vt:i4>1441848</vt:i4>
      </vt:variant>
      <vt:variant>
        <vt:i4>20</vt:i4>
      </vt:variant>
      <vt:variant>
        <vt:i4>0</vt:i4>
      </vt:variant>
      <vt:variant>
        <vt:i4>5</vt:i4>
      </vt:variant>
      <vt:variant>
        <vt:lpwstr/>
      </vt:variant>
      <vt:variant>
        <vt:lpwstr>_Toc381886270</vt:lpwstr>
      </vt:variant>
      <vt:variant>
        <vt:i4>1507384</vt:i4>
      </vt:variant>
      <vt:variant>
        <vt:i4>14</vt:i4>
      </vt:variant>
      <vt:variant>
        <vt:i4>0</vt:i4>
      </vt:variant>
      <vt:variant>
        <vt:i4>5</vt:i4>
      </vt:variant>
      <vt:variant>
        <vt:lpwstr/>
      </vt:variant>
      <vt:variant>
        <vt:lpwstr>_Toc381886269</vt:lpwstr>
      </vt:variant>
      <vt:variant>
        <vt:i4>1507384</vt:i4>
      </vt:variant>
      <vt:variant>
        <vt:i4>8</vt:i4>
      </vt:variant>
      <vt:variant>
        <vt:i4>0</vt:i4>
      </vt:variant>
      <vt:variant>
        <vt:i4>5</vt:i4>
      </vt:variant>
      <vt:variant>
        <vt:lpwstr/>
      </vt:variant>
      <vt:variant>
        <vt:lpwstr>_Toc381886268</vt:lpwstr>
      </vt:variant>
      <vt:variant>
        <vt:i4>7667743</vt:i4>
      </vt:variant>
      <vt:variant>
        <vt:i4>3</vt:i4>
      </vt:variant>
      <vt:variant>
        <vt:i4>0</vt:i4>
      </vt:variant>
      <vt:variant>
        <vt:i4>5</vt:i4>
      </vt:variant>
      <vt:variant>
        <vt:lpwstr>mailto:linnea.kvist@almega.se</vt:lpwstr>
      </vt:variant>
      <vt:variant>
        <vt:lpwstr/>
      </vt:variant>
      <vt:variant>
        <vt:i4>786555</vt:i4>
      </vt:variant>
      <vt:variant>
        <vt:i4>0</vt:i4>
      </vt:variant>
      <vt:variant>
        <vt:i4>0</vt:i4>
      </vt:variant>
      <vt:variant>
        <vt:i4>5</vt:i4>
      </vt:variant>
      <vt:variant>
        <vt:lpwstr>mailto:lena.hagman@almega.se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Almega rapportmall</dc:title>
  <dc:creator>Hagman, Lena</dc:creator>
  <cp:lastModifiedBy>Hernadi, Alexandra</cp:lastModifiedBy>
  <cp:revision>2</cp:revision>
  <cp:lastPrinted>2014-06-16T07:38:00Z</cp:lastPrinted>
  <dcterms:created xsi:type="dcterms:W3CDTF">2014-06-16T07:58:00Z</dcterms:created>
  <dcterms:modified xsi:type="dcterms:W3CDTF">2014-06-16T07:58:00Z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