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39" w:rsidRDefault="00724639" w:rsidP="00C50835">
      <w:pPr>
        <w:pStyle w:val="PressContactDetails"/>
        <w:spacing w:line="240" w:lineRule="auto"/>
        <w:rPr>
          <w:b/>
          <w:i/>
          <w:szCs w:val="20"/>
          <w:lang w:val="nb-NO"/>
        </w:rPr>
      </w:pPr>
    </w:p>
    <w:p w:rsidR="00C50835" w:rsidRPr="008E6A8F" w:rsidRDefault="00C50835" w:rsidP="00C50835">
      <w:pPr>
        <w:pStyle w:val="PressContactDetails"/>
        <w:spacing w:line="240" w:lineRule="auto"/>
        <w:rPr>
          <w:b/>
          <w:i/>
          <w:szCs w:val="20"/>
          <w:lang w:val="nb-NO"/>
        </w:rPr>
      </w:pPr>
      <w:r w:rsidRPr="008E6A8F">
        <w:rPr>
          <w:b/>
          <w:i/>
          <w:szCs w:val="20"/>
          <w:lang w:val="nb-NO"/>
        </w:rPr>
        <w:t>Pressekontakt</w:t>
      </w:r>
    </w:p>
    <w:p w:rsidR="00C50835" w:rsidRPr="008E6A8F" w:rsidRDefault="00C50835" w:rsidP="00C50835">
      <w:pPr>
        <w:pStyle w:val="PressContactDetails"/>
        <w:spacing w:line="240" w:lineRule="auto"/>
        <w:rPr>
          <w:i/>
          <w:szCs w:val="20"/>
          <w:lang w:val="nb-NO"/>
        </w:rPr>
      </w:pPr>
      <w:r w:rsidRPr="008E6A8F">
        <w:rPr>
          <w:i/>
          <w:szCs w:val="20"/>
          <w:lang w:val="nb-NO"/>
        </w:rPr>
        <w:t>Gunilla Resare</w:t>
      </w:r>
    </w:p>
    <w:p w:rsidR="00C50835" w:rsidRPr="008E6A8F" w:rsidRDefault="00C50835" w:rsidP="00C50835">
      <w:pPr>
        <w:pStyle w:val="PressContactDetails"/>
        <w:spacing w:line="240" w:lineRule="auto"/>
        <w:rPr>
          <w:i/>
          <w:szCs w:val="20"/>
          <w:lang w:val="nb-NO"/>
        </w:rPr>
      </w:pPr>
      <w:r w:rsidRPr="008E6A8F">
        <w:rPr>
          <w:i/>
          <w:szCs w:val="20"/>
          <w:lang w:val="nb-NO"/>
        </w:rPr>
        <w:t>Tel: + 47 450 025 42</w:t>
      </w:r>
    </w:p>
    <w:p w:rsidR="00C50835" w:rsidRPr="008E6A8F" w:rsidRDefault="00C50835" w:rsidP="00C50835">
      <w:pPr>
        <w:pStyle w:val="PressContactDetails"/>
        <w:spacing w:line="240" w:lineRule="auto"/>
        <w:rPr>
          <w:i/>
          <w:szCs w:val="20"/>
          <w:lang w:val="nb-NO"/>
        </w:rPr>
      </w:pPr>
      <w:r w:rsidRPr="008E6A8F">
        <w:rPr>
          <w:i/>
          <w:szCs w:val="20"/>
          <w:lang w:val="nb-NO"/>
        </w:rPr>
        <w:t>E</w:t>
      </w:r>
      <w:bookmarkStart w:id="0" w:name="_GoBack"/>
      <w:bookmarkEnd w:id="0"/>
      <w:r w:rsidRPr="008E6A8F">
        <w:rPr>
          <w:i/>
          <w:szCs w:val="20"/>
          <w:lang w:val="nb-NO"/>
        </w:rPr>
        <w:t>-mail: gunilla.resare@capgemini.com</w:t>
      </w:r>
    </w:p>
    <w:p w:rsidR="00C50835" w:rsidRPr="008E6A8F" w:rsidRDefault="00C50835" w:rsidP="00C50835">
      <w:pPr>
        <w:rPr>
          <w:rFonts w:asciiTheme="minorHAnsi" w:hAnsiTheme="minorHAnsi" w:cstheme="majorHAnsi"/>
          <w:lang w:val="nb-NO"/>
        </w:rPr>
      </w:pPr>
    </w:p>
    <w:p w:rsidR="00C50835" w:rsidRDefault="00C50835" w:rsidP="00C50835">
      <w:pPr>
        <w:rPr>
          <w:rFonts w:asciiTheme="minorHAnsi" w:hAnsiTheme="minorHAnsi" w:cstheme="majorHAnsi"/>
          <w:b/>
          <w:lang w:val="nb-NO"/>
        </w:rPr>
      </w:pPr>
    </w:p>
    <w:p w:rsidR="00724639" w:rsidRPr="008E6A8F" w:rsidRDefault="00724639" w:rsidP="00C50835">
      <w:pPr>
        <w:rPr>
          <w:rFonts w:asciiTheme="minorHAnsi" w:hAnsiTheme="minorHAnsi" w:cstheme="majorHAnsi"/>
          <w:b/>
          <w:lang w:val="nb-NO"/>
        </w:rPr>
      </w:pPr>
    </w:p>
    <w:p w:rsidR="00C50835" w:rsidRPr="00C50835" w:rsidRDefault="00C50835" w:rsidP="00C50835">
      <w:pPr>
        <w:jc w:val="center"/>
        <w:rPr>
          <w:rFonts w:asciiTheme="minorHAnsi" w:hAnsiTheme="minorHAnsi" w:cstheme="majorHAnsi"/>
          <w:b/>
          <w:sz w:val="22"/>
          <w:szCs w:val="22"/>
          <w:lang w:val="nb-NO"/>
        </w:rPr>
      </w:pPr>
      <w:r w:rsidRPr="00C50835">
        <w:rPr>
          <w:rFonts w:asciiTheme="minorHAnsi" w:hAnsiTheme="minorHAnsi" w:cstheme="majorHAnsi"/>
          <w:b/>
          <w:sz w:val="22"/>
          <w:szCs w:val="22"/>
          <w:lang w:val="nb-NO"/>
        </w:rPr>
        <w:t>World Wealth Report 2018: Tredobling av norske dollarmillionærer siden 2007</w:t>
      </w:r>
    </w:p>
    <w:p w:rsidR="00C50835" w:rsidRPr="00C50835" w:rsidRDefault="00C50835" w:rsidP="00C50835">
      <w:pPr>
        <w:jc w:val="center"/>
        <w:rPr>
          <w:rFonts w:asciiTheme="minorHAnsi" w:hAnsiTheme="minorHAnsi" w:cstheme="majorHAnsi"/>
          <w:b/>
          <w:sz w:val="22"/>
          <w:szCs w:val="22"/>
          <w:lang w:val="nb-NO"/>
        </w:rPr>
      </w:pPr>
    </w:p>
    <w:p w:rsidR="00C50835" w:rsidRPr="008E6A8F" w:rsidRDefault="00C50835" w:rsidP="00C50835">
      <w:pPr>
        <w:jc w:val="both"/>
        <w:rPr>
          <w:rFonts w:asciiTheme="minorHAnsi" w:hAnsiTheme="minorHAnsi" w:cstheme="majorHAnsi"/>
          <w:b/>
          <w:lang w:val="nb-NO"/>
        </w:rPr>
      </w:pPr>
      <w:r w:rsidRPr="008E6A8F">
        <w:rPr>
          <w:rFonts w:asciiTheme="minorHAnsi" w:hAnsiTheme="minorHAnsi" w:cstheme="majorHAnsi"/>
          <w:b/>
          <w:lang w:val="nb-NO"/>
        </w:rPr>
        <w:t>Oslo, 19. juni, 2018 – Antall rike nordmenn øker, og de rike blir stadig rikere. Ved utgangen av 2017 var det 169 000 dollarmillionærer i Norge, en tredobling siden 2007 og en økning på ti prosent siden 2016. Norge har nå flere dollarmillionærer per innbygger enn blant annet Sverige, Østerrike</w:t>
      </w:r>
      <w:r>
        <w:rPr>
          <w:rFonts w:asciiTheme="minorHAnsi" w:hAnsiTheme="minorHAnsi" w:cstheme="majorHAnsi"/>
          <w:b/>
          <w:lang w:val="nb-NO"/>
        </w:rPr>
        <w:t xml:space="preserve">, Argentina og Mexico, ifølge </w:t>
      </w:r>
      <w:hyperlink r:id="rId9" w:history="1">
        <w:r w:rsidRPr="00C50835">
          <w:rPr>
            <w:rStyle w:val="Hyperkobling"/>
            <w:rFonts w:asciiTheme="minorHAnsi" w:hAnsiTheme="minorHAnsi" w:cstheme="majorHAnsi"/>
            <w:b/>
            <w:lang w:val="nb-NO"/>
          </w:rPr>
          <w:t>Capgemini</w:t>
        </w:r>
      </w:hyperlink>
      <w:r>
        <w:rPr>
          <w:rFonts w:asciiTheme="minorHAnsi" w:hAnsiTheme="minorHAnsi" w:cstheme="majorHAnsi"/>
          <w:b/>
          <w:lang w:val="nb-NO"/>
        </w:rPr>
        <w:t xml:space="preserve"> som i dag lanserer </w:t>
      </w:r>
      <w:r w:rsidR="007E3B88">
        <w:rPr>
          <w:rFonts w:asciiTheme="minorHAnsi" w:hAnsiTheme="minorHAnsi" w:cstheme="majorHAnsi"/>
          <w:b/>
          <w:lang w:val="nb-NO"/>
        </w:rPr>
        <w:t>den årlige undersøkelsen</w:t>
      </w:r>
      <w:r>
        <w:rPr>
          <w:rFonts w:asciiTheme="minorHAnsi" w:hAnsiTheme="minorHAnsi" w:cstheme="majorHAnsi"/>
          <w:b/>
          <w:lang w:val="nb-NO"/>
        </w:rPr>
        <w:t xml:space="preserve"> World Wealth Rapport som kartlegger </w:t>
      </w:r>
      <w:r w:rsidR="007E3B88">
        <w:rPr>
          <w:rFonts w:asciiTheme="minorHAnsi" w:hAnsiTheme="minorHAnsi" w:cstheme="majorHAnsi"/>
          <w:b/>
          <w:lang w:val="nb-NO"/>
        </w:rPr>
        <w:t xml:space="preserve">den </w:t>
      </w:r>
      <w:r>
        <w:rPr>
          <w:rFonts w:asciiTheme="minorHAnsi" w:hAnsiTheme="minorHAnsi" w:cstheme="majorHAnsi"/>
          <w:b/>
          <w:lang w:val="nb-NO"/>
        </w:rPr>
        <w:t>global</w:t>
      </w:r>
      <w:r w:rsidR="00DF5E3B">
        <w:rPr>
          <w:rFonts w:asciiTheme="minorHAnsi" w:hAnsiTheme="minorHAnsi" w:cstheme="majorHAnsi"/>
          <w:b/>
          <w:lang w:val="nb-NO"/>
        </w:rPr>
        <w:t>e</w:t>
      </w:r>
      <w:r>
        <w:rPr>
          <w:rFonts w:asciiTheme="minorHAnsi" w:hAnsiTheme="minorHAnsi" w:cstheme="majorHAnsi"/>
          <w:b/>
          <w:lang w:val="nb-NO"/>
        </w:rPr>
        <w:t xml:space="preserve"> formue</w:t>
      </w:r>
      <w:r w:rsidR="007E3B88">
        <w:rPr>
          <w:rFonts w:asciiTheme="minorHAnsi" w:hAnsiTheme="minorHAnsi" w:cstheme="majorHAnsi"/>
          <w:b/>
          <w:lang w:val="nb-NO"/>
        </w:rPr>
        <w:t>n</w:t>
      </w:r>
      <w:r w:rsidRPr="008E6A8F">
        <w:rPr>
          <w:rFonts w:asciiTheme="minorHAnsi" w:hAnsiTheme="minorHAnsi" w:cstheme="majorHAnsi"/>
          <w:b/>
          <w:lang w:val="nb-NO"/>
        </w:rPr>
        <w:t>.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</w:p>
    <w:p w:rsidR="00C50835" w:rsidRPr="00C50835" w:rsidRDefault="00C50835" w:rsidP="00C50835">
      <w:pPr>
        <w:jc w:val="both"/>
        <w:rPr>
          <w:rFonts w:asciiTheme="minorHAnsi" w:hAnsiTheme="minorHAnsi" w:cstheme="majorHAnsi"/>
          <w:i/>
          <w:lang w:val="nb-NO"/>
        </w:rPr>
      </w:pPr>
      <w:r>
        <w:rPr>
          <w:rFonts w:asciiTheme="minorHAnsi" w:hAnsiTheme="minorHAnsi" w:cstheme="majorHAnsi"/>
          <w:i/>
          <w:lang w:val="nb-NO"/>
        </w:rPr>
        <w:t>-</w:t>
      </w:r>
      <w:r w:rsidRPr="00C50835">
        <w:rPr>
          <w:rFonts w:asciiTheme="minorHAnsi" w:hAnsiTheme="minorHAnsi" w:cstheme="majorHAnsi"/>
          <w:i/>
          <w:lang w:val="nb-NO"/>
        </w:rPr>
        <w:t>De norske dollarmillionærene har til sammen en formue på 454,8 milliarder amerikanske dollar, eller vel 3.700 milliarder kroner. I snitt blir det 22 millioner kroner på hver. Men i realiteten er tallet høyere fordi undersøkelsen ikke tar med verdien av for eksempel primærbolig. I stedet måles den finansielle formuen, som blant annet omfatter bankinnskudd, aksjer og annen eiendom,</w:t>
      </w:r>
      <w:r w:rsidRPr="00C50835">
        <w:rPr>
          <w:rFonts w:asciiTheme="minorHAnsi" w:hAnsiTheme="minorHAnsi" w:cstheme="majorHAnsi"/>
          <w:lang w:val="nb-NO"/>
        </w:rPr>
        <w:t xml:space="preserve"> forklarer Johan Bergström, finansekspert hos Capgemini </w:t>
      </w:r>
      <w:proofErr w:type="spellStart"/>
      <w:r w:rsidRPr="00C50835">
        <w:rPr>
          <w:rFonts w:asciiTheme="minorHAnsi" w:hAnsiTheme="minorHAnsi" w:cstheme="majorHAnsi"/>
          <w:lang w:val="nb-NO"/>
        </w:rPr>
        <w:t>Consulting</w:t>
      </w:r>
      <w:proofErr w:type="spellEnd"/>
      <w:r w:rsidRPr="00C50835">
        <w:rPr>
          <w:rFonts w:asciiTheme="minorHAnsi" w:hAnsiTheme="minorHAnsi" w:cstheme="majorHAnsi"/>
          <w:lang w:val="nb-NO"/>
        </w:rPr>
        <w:t>.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i/>
          <w:lang w:val="nb-NO"/>
        </w:rPr>
      </w:pPr>
    </w:p>
    <w:p w:rsidR="00C50835" w:rsidRPr="00C50835" w:rsidRDefault="00C50835" w:rsidP="00C50835">
      <w:pPr>
        <w:jc w:val="both"/>
        <w:rPr>
          <w:rFonts w:asciiTheme="minorHAnsi" w:hAnsiTheme="minorHAnsi" w:cstheme="majorHAnsi"/>
          <w:highlight w:val="yellow"/>
          <w:lang w:val="nb-NO"/>
        </w:rPr>
      </w:pPr>
      <w:r w:rsidRPr="008E6A8F">
        <w:rPr>
          <w:rFonts w:asciiTheme="minorHAnsi" w:hAnsiTheme="minorHAnsi" w:cstheme="majorHAnsi"/>
          <w:lang w:val="nb-NO"/>
        </w:rPr>
        <w:t xml:space="preserve">Rapporten viser </w:t>
      </w:r>
      <w:r>
        <w:rPr>
          <w:rFonts w:asciiTheme="minorHAnsi" w:hAnsiTheme="minorHAnsi" w:cstheme="majorHAnsi"/>
          <w:lang w:val="nb-NO"/>
        </w:rPr>
        <w:t>a</w:t>
      </w:r>
      <w:r w:rsidRPr="008E6A8F">
        <w:rPr>
          <w:rFonts w:asciiTheme="minorHAnsi" w:hAnsiTheme="minorHAnsi" w:cstheme="majorHAnsi"/>
          <w:lang w:val="nb-NO"/>
        </w:rPr>
        <w:t xml:space="preserve">t </w:t>
      </w:r>
      <w:r>
        <w:rPr>
          <w:rFonts w:asciiTheme="minorHAnsi" w:hAnsiTheme="minorHAnsi" w:cstheme="majorHAnsi"/>
          <w:lang w:val="nb-NO"/>
        </w:rPr>
        <w:t>verdens r</w:t>
      </w:r>
      <w:r w:rsidRPr="008E6A8F">
        <w:rPr>
          <w:rFonts w:asciiTheme="minorHAnsi" w:hAnsiTheme="minorHAnsi" w:cstheme="majorHAnsi"/>
          <w:lang w:val="nb-NO"/>
        </w:rPr>
        <w:t xml:space="preserve">ikeste har tilgang på </w:t>
      </w:r>
      <w:proofErr w:type="spellStart"/>
      <w:r w:rsidR="007E3B88" w:rsidRPr="008E6A8F">
        <w:rPr>
          <w:rFonts w:asciiTheme="minorHAnsi" w:hAnsiTheme="minorHAnsi" w:cstheme="majorHAnsi"/>
          <w:lang w:val="nb-NO"/>
        </w:rPr>
        <w:t>formue</w:t>
      </w:r>
      <w:r w:rsidR="007E3B88">
        <w:rPr>
          <w:rFonts w:asciiTheme="minorHAnsi" w:hAnsiTheme="minorHAnsi" w:cstheme="majorHAnsi"/>
          <w:lang w:val="nb-NO"/>
        </w:rPr>
        <w:t>s</w:t>
      </w:r>
      <w:r w:rsidR="007E3B88" w:rsidRPr="008E6A8F">
        <w:rPr>
          <w:rFonts w:asciiTheme="minorHAnsi" w:hAnsiTheme="minorHAnsi" w:cstheme="majorHAnsi"/>
          <w:lang w:val="nb-NO"/>
        </w:rPr>
        <w:t>forvaltere</w:t>
      </w:r>
      <w:proofErr w:type="spellEnd"/>
      <w:r w:rsidRPr="008E6A8F">
        <w:rPr>
          <w:rFonts w:asciiTheme="minorHAnsi" w:hAnsiTheme="minorHAnsi" w:cstheme="majorHAnsi"/>
          <w:lang w:val="nb-NO"/>
        </w:rPr>
        <w:t xml:space="preserve"> som </w:t>
      </w:r>
      <w:r>
        <w:rPr>
          <w:rFonts w:asciiTheme="minorHAnsi" w:hAnsiTheme="minorHAnsi" w:cstheme="majorHAnsi"/>
          <w:lang w:val="nb-NO"/>
        </w:rPr>
        <w:t xml:space="preserve">oppnår </w:t>
      </w:r>
      <w:r w:rsidRPr="008E6A8F">
        <w:rPr>
          <w:rFonts w:asciiTheme="minorHAnsi" w:hAnsiTheme="minorHAnsi" w:cstheme="majorHAnsi"/>
          <w:lang w:val="nb-NO"/>
        </w:rPr>
        <w:t xml:space="preserve">høyere avkastning enn resten av markedet. To år på rad har </w:t>
      </w:r>
      <w:r>
        <w:rPr>
          <w:rFonts w:asciiTheme="minorHAnsi" w:hAnsiTheme="minorHAnsi" w:cstheme="majorHAnsi"/>
          <w:lang w:val="nb-NO"/>
        </w:rPr>
        <w:t>forvalterne i</w:t>
      </w:r>
      <w:r w:rsidRPr="008E6A8F">
        <w:rPr>
          <w:rFonts w:asciiTheme="minorHAnsi" w:hAnsiTheme="minorHAnsi" w:cstheme="majorHAnsi"/>
          <w:lang w:val="nb-NO"/>
        </w:rPr>
        <w:t xml:space="preserve"> gjennomsnitt levert en avkastning på over 20 prosent globalt. </w:t>
      </w:r>
      <w:r>
        <w:rPr>
          <w:rFonts w:asciiTheme="minorHAnsi" w:hAnsiTheme="minorHAnsi" w:cstheme="majorHAnsi"/>
          <w:lang w:val="nb-NO"/>
        </w:rPr>
        <w:t>De med størst f</w:t>
      </w:r>
      <w:r w:rsidRPr="008E6A8F">
        <w:rPr>
          <w:rFonts w:asciiTheme="minorHAnsi" w:hAnsiTheme="minorHAnsi" w:cstheme="majorHAnsi"/>
          <w:lang w:val="nb-NO"/>
        </w:rPr>
        <w:t>ormue</w:t>
      </w:r>
      <w:r>
        <w:rPr>
          <w:rFonts w:asciiTheme="minorHAnsi" w:hAnsiTheme="minorHAnsi" w:cstheme="majorHAnsi"/>
          <w:lang w:val="nb-NO"/>
        </w:rPr>
        <w:t xml:space="preserve"> hadde de beste forvalterne: Personer </w:t>
      </w:r>
      <w:r w:rsidRPr="008E6A8F">
        <w:rPr>
          <w:rFonts w:asciiTheme="minorHAnsi" w:hAnsiTheme="minorHAnsi" w:cstheme="majorHAnsi"/>
          <w:lang w:val="nb-NO"/>
        </w:rPr>
        <w:t xml:space="preserve">med formue på over 20 millioner dollar, eller vel 160 millioner kroner, hadde en avkastning på 36 prosent </w:t>
      </w:r>
      <w:r>
        <w:rPr>
          <w:rFonts w:asciiTheme="minorHAnsi" w:hAnsiTheme="minorHAnsi" w:cstheme="majorHAnsi"/>
          <w:lang w:val="nb-NO"/>
        </w:rPr>
        <w:t>i 2017. Til sammenlikning oppnådde personer med en formue på mellom én og fem m</w:t>
      </w:r>
      <w:r w:rsidRPr="008E6A8F">
        <w:rPr>
          <w:rFonts w:asciiTheme="minorHAnsi" w:hAnsiTheme="minorHAnsi" w:cstheme="majorHAnsi"/>
          <w:lang w:val="nb-NO"/>
        </w:rPr>
        <w:t xml:space="preserve">illioner dollar </w:t>
      </w:r>
      <w:r>
        <w:rPr>
          <w:rFonts w:asciiTheme="minorHAnsi" w:hAnsiTheme="minorHAnsi" w:cstheme="majorHAnsi"/>
          <w:lang w:val="nb-NO"/>
        </w:rPr>
        <w:t xml:space="preserve">i snitt en avkastning på </w:t>
      </w:r>
      <w:r w:rsidRPr="008E6A8F">
        <w:rPr>
          <w:rFonts w:asciiTheme="minorHAnsi" w:hAnsiTheme="minorHAnsi" w:cstheme="majorHAnsi"/>
          <w:lang w:val="nb-NO"/>
        </w:rPr>
        <w:t>25 prosent.</w:t>
      </w:r>
    </w:p>
    <w:p w:rsidR="00C50835" w:rsidRPr="008E6A8F" w:rsidRDefault="00C50835" w:rsidP="00C50835">
      <w:pPr>
        <w:tabs>
          <w:tab w:val="right" w:pos="9746"/>
        </w:tabs>
        <w:jc w:val="both"/>
        <w:rPr>
          <w:rFonts w:asciiTheme="minorHAnsi" w:hAnsiTheme="minorHAnsi" w:cstheme="majorHAnsi"/>
          <w:lang w:val="nb-NO"/>
        </w:rPr>
      </w:pPr>
    </w:p>
    <w:p w:rsidR="00C50835" w:rsidRPr="008E6A8F" w:rsidRDefault="00C50835" w:rsidP="00C50835">
      <w:pPr>
        <w:tabs>
          <w:tab w:val="right" w:pos="9746"/>
        </w:tabs>
        <w:jc w:val="both"/>
        <w:rPr>
          <w:rFonts w:asciiTheme="minorHAnsi" w:hAnsiTheme="minorHAnsi" w:cstheme="majorHAnsi"/>
          <w:b/>
          <w:lang w:val="nb-NO"/>
        </w:rPr>
      </w:pPr>
      <w:r w:rsidRPr="008E6A8F">
        <w:rPr>
          <w:rFonts w:asciiTheme="minorHAnsi" w:hAnsiTheme="minorHAnsi" w:cstheme="majorHAnsi"/>
          <w:b/>
          <w:lang w:val="nb-NO"/>
        </w:rPr>
        <w:t>Spår oljesmurt oppgang</w:t>
      </w:r>
      <w:r>
        <w:rPr>
          <w:rFonts w:asciiTheme="minorHAnsi" w:hAnsiTheme="minorHAnsi" w:cstheme="majorHAnsi"/>
          <w:b/>
          <w:lang w:val="nb-NO"/>
        </w:rPr>
        <w:t xml:space="preserve"> </w:t>
      </w:r>
    </w:p>
    <w:p w:rsidR="00C50835" w:rsidRPr="00C50835" w:rsidRDefault="00C50835" w:rsidP="00C50835">
      <w:pPr>
        <w:tabs>
          <w:tab w:val="right" w:pos="9746"/>
        </w:tabs>
        <w:jc w:val="both"/>
        <w:rPr>
          <w:rFonts w:asciiTheme="minorHAnsi" w:hAnsiTheme="minorHAnsi" w:cstheme="majorHAnsi"/>
          <w:b/>
          <w:lang w:val="nb-NO"/>
        </w:rPr>
      </w:pPr>
      <w:r w:rsidRPr="008E6A8F">
        <w:rPr>
          <w:rFonts w:asciiTheme="minorHAnsi" w:hAnsiTheme="minorHAnsi" w:cstheme="majorHAnsi"/>
          <w:b/>
          <w:lang w:val="nb-NO"/>
        </w:rPr>
        <w:tab/>
      </w:r>
      <w:r w:rsidRPr="008E6A8F">
        <w:rPr>
          <w:rFonts w:asciiTheme="minorHAnsi" w:hAnsiTheme="minorHAnsi" w:cstheme="majorHAnsi"/>
          <w:lang w:val="nb-NO"/>
        </w:rPr>
        <w:t xml:space="preserve">Sterk norsk eksport drevet av lav kronekurs, kombinert med solid børsoppgang, er de fremste årsakene til at norske mangemillionærer ble enda rikere. I 2007 var det 55 000 dollarmillionærer i Norge. Tallet har økt til 169.000. Det vil si at antallet norske dollarmillionærer er </w:t>
      </w:r>
      <w:r>
        <w:rPr>
          <w:rFonts w:asciiTheme="minorHAnsi" w:hAnsiTheme="minorHAnsi" w:cstheme="majorHAnsi"/>
          <w:lang w:val="nb-NO"/>
        </w:rPr>
        <w:t>tredoblet på elleve år, ifølge World Wealth Report</w:t>
      </w:r>
      <w:r w:rsidRPr="008E6A8F">
        <w:rPr>
          <w:rFonts w:asciiTheme="minorHAnsi" w:hAnsiTheme="minorHAnsi" w:cstheme="majorHAnsi"/>
          <w:lang w:val="nb-NO"/>
        </w:rPr>
        <w:t>.</w:t>
      </w:r>
    </w:p>
    <w:p w:rsidR="00C50835" w:rsidRPr="008E6A8F" w:rsidRDefault="00C50835" w:rsidP="00C50835">
      <w:pPr>
        <w:tabs>
          <w:tab w:val="right" w:pos="9746"/>
        </w:tabs>
        <w:jc w:val="both"/>
        <w:rPr>
          <w:rFonts w:asciiTheme="minorHAnsi" w:hAnsiTheme="minorHAnsi" w:cstheme="majorHAnsi"/>
          <w:lang w:val="nb-NO"/>
        </w:rPr>
      </w:pPr>
    </w:p>
    <w:p w:rsidR="00C50835" w:rsidRPr="008E6A8F" w:rsidRDefault="00C50835" w:rsidP="00C50835">
      <w:pPr>
        <w:jc w:val="both"/>
        <w:rPr>
          <w:rFonts w:asciiTheme="minorHAnsi" w:hAnsiTheme="minorHAnsi"/>
          <w:lang w:val="nb-NO"/>
        </w:rPr>
      </w:pPr>
      <w:r w:rsidRPr="0085697E">
        <w:rPr>
          <w:rFonts w:asciiTheme="minorHAnsi" w:hAnsiTheme="minorHAnsi" w:cstheme="majorHAnsi"/>
          <w:lang w:val="nb-NO"/>
        </w:rPr>
        <w:t xml:space="preserve">Capgemini tror ikke festen er over, tvert imot. Konsulentselskapet </w:t>
      </w:r>
      <w:r>
        <w:rPr>
          <w:rFonts w:asciiTheme="minorHAnsi" w:hAnsiTheme="minorHAnsi" w:cstheme="majorHAnsi"/>
          <w:lang w:val="nb-NO"/>
        </w:rPr>
        <w:t xml:space="preserve">forventer </w:t>
      </w:r>
      <w:r w:rsidRPr="0085697E">
        <w:rPr>
          <w:rFonts w:asciiTheme="minorHAnsi" w:hAnsiTheme="minorHAnsi" w:cstheme="majorHAnsi"/>
          <w:lang w:val="nb-NO"/>
        </w:rPr>
        <w:t>en kraf</w:t>
      </w:r>
      <w:r w:rsidRPr="008E6A8F">
        <w:rPr>
          <w:rFonts w:asciiTheme="minorHAnsi" w:hAnsiTheme="minorHAnsi" w:cstheme="majorHAnsi"/>
          <w:lang w:val="nb-NO"/>
        </w:rPr>
        <w:t>t</w:t>
      </w:r>
      <w:r w:rsidRPr="0085697E">
        <w:rPr>
          <w:rFonts w:asciiTheme="minorHAnsi" w:hAnsiTheme="minorHAnsi" w:cstheme="majorHAnsi"/>
          <w:lang w:val="nb-NO"/>
        </w:rPr>
        <w:t xml:space="preserve">ig vekst i norsk økonomi som følge </w:t>
      </w:r>
      <w:r w:rsidRPr="008E6A8F">
        <w:rPr>
          <w:rFonts w:asciiTheme="minorHAnsi" w:hAnsiTheme="minorHAnsi"/>
          <w:lang w:val="nb-NO"/>
        </w:rPr>
        <w:t xml:space="preserve">av høyere oljeinvesteringer og fallende arbeidsledighet. </w:t>
      </w:r>
      <w:r>
        <w:rPr>
          <w:rFonts w:asciiTheme="minorHAnsi" w:hAnsiTheme="minorHAnsi"/>
          <w:lang w:val="nb-NO"/>
        </w:rPr>
        <w:t>De</w:t>
      </w:r>
      <w:r w:rsidRPr="008E6A8F">
        <w:rPr>
          <w:rFonts w:asciiTheme="minorHAnsi" w:hAnsiTheme="minorHAnsi"/>
          <w:lang w:val="nb-NO"/>
        </w:rPr>
        <w:t xml:space="preserve"> </w:t>
      </w:r>
      <w:r>
        <w:rPr>
          <w:rFonts w:asciiTheme="minorHAnsi" w:hAnsiTheme="minorHAnsi"/>
          <w:lang w:val="nb-NO"/>
        </w:rPr>
        <w:t xml:space="preserve">spår </w:t>
      </w:r>
      <w:r w:rsidRPr="008E6A8F">
        <w:rPr>
          <w:rFonts w:asciiTheme="minorHAnsi" w:hAnsiTheme="minorHAnsi"/>
          <w:lang w:val="nb-NO"/>
        </w:rPr>
        <w:t>en ledighet på 3,6 prosent</w:t>
      </w:r>
      <w:r>
        <w:rPr>
          <w:rFonts w:asciiTheme="minorHAnsi" w:hAnsiTheme="minorHAnsi"/>
          <w:lang w:val="nb-NO"/>
        </w:rPr>
        <w:t xml:space="preserve"> i 2019</w:t>
      </w:r>
      <w:r w:rsidRPr="008E6A8F">
        <w:rPr>
          <w:rFonts w:asciiTheme="minorHAnsi" w:hAnsiTheme="minorHAnsi"/>
          <w:lang w:val="nb-NO"/>
        </w:rPr>
        <w:t>, ned fra dagens 4,2 prosent. Selskapet tror også på høyere eiendomspriser</w:t>
      </w:r>
      <w:r>
        <w:rPr>
          <w:rFonts w:asciiTheme="minorHAnsi" w:hAnsiTheme="minorHAnsi"/>
          <w:lang w:val="nb-NO"/>
        </w:rPr>
        <w:t xml:space="preserve"> fremover. 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highlight w:val="yellow"/>
          <w:lang w:val="nb-NO"/>
        </w:rPr>
      </w:pPr>
    </w:p>
    <w:p w:rsidR="00C50835" w:rsidRDefault="00C50835" w:rsidP="00C50835">
      <w:pPr>
        <w:jc w:val="both"/>
        <w:rPr>
          <w:rFonts w:asciiTheme="minorHAnsi" w:hAnsiTheme="minorHAnsi" w:cstheme="majorHAnsi"/>
          <w:b/>
          <w:lang w:val="nb-NO"/>
        </w:rPr>
      </w:pPr>
      <w:r w:rsidRPr="008E6A8F">
        <w:rPr>
          <w:rFonts w:asciiTheme="minorHAnsi" w:hAnsiTheme="minorHAnsi" w:cstheme="majorHAnsi"/>
          <w:b/>
          <w:lang w:val="nb-NO"/>
        </w:rPr>
        <w:t>Teknologikjempene angriper bankene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  <w:r w:rsidRPr="008E6A8F">
        <w:rPr>
          <w:rFonts w:asciiTheme="minorHAnsi" w:hAnsiTheme="minorHAnsi" w:cstheme="majorHAnsi"/>
          <w:lang w:val="nb-NO"/>
        </w:rPr>
        <w:t xml:space="preserve">Det er ikke bare i Norge at veksten </w:t>
      </w:r>
      <w:r>
        <w:rPr>
          <w:rFonts w:asciiTheme="minorHAnsi" w:hAnsiTheme="minorHAnsi" w:cstheme="majorHAnsi"/>
          <w:lang w:val="nb-NO"/>
        </w:rPr>
        <w:t xml:space="preserve">blant </w:t>
      </w:r>
      <w:r w:rsidRPr="008E6A8F">
        <w:rPr>
          <w:rFonts w:asciiTheme="minorHAnsi" w:hAnsiTheme="minorHAnsi" w:cstheme="majorHAnsi"/>
          <w:lang w:val="nb-NO"/>
        </w:rPr>
        <w:t>dollarmillionærer vokser. Aldri før har det vært flere dollarmillionærer i verden</w:t>
      </w:r>
      <w:r w:rsidR="0084327B">
        <w:rPr>
          <w:rFonts w:asciiTheme="minorHAnsi" w:hAnsiTheme="minorHAnsi" w:cstheme="majorHAnsi"/>
          <w:lang w:val="nb-NO"/>
        </w:rPr>
        <w:t>,</w:t>
      </w:r>
      <w:r w:rsidRPr="008E6A8F">
        <w:rPr>
          <w:rFonts w:asciiTheme="minorHAnsi" w:hAnsiTheme="minorHAnsi" w:cstheme="majorHAnsi"/>
          <w:lang w:val="nb-NO"/>
        </w:rPr>
        <w:t xml:space="preserve"> og aldri har de hatt så mye penger. For første gang overstiger rikdommen til </w:t>
      </w:r>
      <w:r>
        <w:rPr>
          <w:rFonts w:asciiTheme="minorHAnsi" w:hAnsiTheme="minorHAnsi" w:cstheme="majorHAnsi"/>
          <w:lang w:val="nb-NO"/>
        </w:rPr>
        <w:t xml:space="preserve">personer med høye inntekter </w:t>
      </w:r>
      <w:r w:rsidRPr="008E6A8F">
        <w:rPr>
          <w:rFonts w:asciiTheme="minorHAnsi" w:hAnsiTheme="minorHAnsi" w:cstheme="majorHAnsi"/>
          <w:lang w:val="nb-NO"/>
        </w:rPr>
        <w:t xml:space="preserve">70 tusen milliarder amerikanske dollar. Oppgangen på 10,6 prosent fra året før er den kraftigste siden 2011 og markerer det sjette året med sammenhengende vekst i formuen til de </w:t>
      </w:r>
      <w:r>
        <w:rPr>
          <w:rFonts w:asciiTheme="minorHAnsi" w:hAnsiTheme="minorHAnsi" w:cstheme="majorHAnsi"/>
          <w:lang w:val="nb-NO"/>
        </w:rPr>
        <w:t xml:space="preserve">aller </w:t>
      </w:r>
      <w:r w:rsidRPr="008E6A8F">
        <w:rPr>
          <w:rFonts w:asciiTheme="minorHAnsi" w:hAnsiTheme="minorHAnsi" w:cstheme="majorHAnsi"/>
          <w:lang w:val="nb-NO"/>
        </w:rPr>
        <w:t>rikeste.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  <w:r w:rsidRPr="008E6A8F">
        <w:rPr>
          <w:rFonts w:asciiTheme="minorHAnsi" w:hAnsiTheme="minorHAnsi" w:cstheme="majorHAnsi"/>
          <w:lang w:val="nb-NO"/>
        </w:rPr>
        <w:t xml:space="preserve">Den store rikdomsveksten i Norge og internasjonalt gjør at formuesforvaltning blir en stadig mer attraktiv </w:t>
      </w:r>
      <w:r>
        <w:rPr>
          <w:rFonts w:asciiTheme="minorHAnsi" w:hAnsiTheme="minorHAnsi" w:cstheme="majorHAnsi"/>
          <w:lang w:val="nb-NO"/>
        </w:rPr>
        <w:t>næring</w:t>
      </w:r>
      <w:r w:rsidRPr="008E6A8F">
        <w:rPr>
          <w:rFonts w:asciiTheme="minorHAnsi" w:hAnsiTheme="minorHAnsi" w:cstheme="majorHAnsi"/>
          <w:lang w:val="nb-NO"/>
        </w:rPr>
        <w:t xml:space="preserve">. Capgemini </w:t>
      </w:r>
      <w:r>
        <w:rPr>
          <w:rFonts w:asciiTheme="minorHAnsi" w:hAnsiTheme="minorHAnsi" w:cstheme="majorHAnsi"/>
          <w:lang w:val="nb-NO"/>
        </w:rPr>
        <w:t>forventer at t</w:t>
      </w:r>
      <w:r w:rsidRPr="008E6A8F">
        <w:rPr>
          <w:rFonts w:asciiTheme="minorHAnsi" w:hAnsiTheme="minorHAnsi" w:cstheme="majorHAnsi"/>
          <w:lang w:val="nb-NO"/>
        </w:rPr>
        <w:t xml:space="preserve">eknologikjemper som Google, </w:t>
      </w:r>
      <w:proofErr w:type="spellStart"/>
      <w:r w:rsidRPr="008E6A8F">
        <w:rPr>
          <w:rFonts w:asciiTheme="minorHAnsi" w:hAnsiTheme="minorHAnsi" w:cstheme="majorHAnsi"/>
          <w:lang w:val="nb-NO"/>
        </w:rPr>
        <w:t>Facebook</w:t>
      </w:r>
      <w:proofErr w:type="spellEnd"/>
      <w:r w:rsidRPr="008E6A8F">
        <w:rPr>
          <w:rFonts w:asciiTheme="minorHAnsi" w:hAnsiTheme="minorHAnsi" w:cstheme="majorHAnsi"/>
          <w:lang w:val="nb-NO"/>
        </w:rPr>
        <w:t xml:space="preserve">, Amazon og </w:t>
      </w:r>
      <w:proofErr w:type="spellStart"/>
      <w:r w:rsidRPr="008E6A8F">
        <w:rPr>
          <w:rFonts w:asciiTheme="minorHAnsi" w:hAnsiTheme="minorHAnsi" w:cstheme="majorHAnsi"/>
          <w:lang w:val="nb-NO"/>
        </w:rPr>
        <w:t>Alibaba</w:t>
      </w:r>
      <w:proofErr w:type="spellEnd"/>
      <w:r w:rsidRPr="008E6A8F">
        <w:rPr>
          <w:rFonts w:asciiTheme="minorHAnsi" w:hAnsiTheme="minorHAnsi" w:cstheme="majorHAnsi"/>
          <w:lang w:val="nb-NO"/>
        </w:rPr>
        <w:t xml:space="preserve"> vil </w:t>
      </w:r>
      <w:r>
        <w:rPr>
          <w:rFonts w:asciiTheme="minorHAnsi" w:hAnsiTheme="minorHAnsi" w:cstheme="majorHAnsi"/>
          <w:lang w:val="nb-NO"/>
        </w:rPr>
        <w:t xml:space="preserve">utnytte kunde- og markedsinnsikt til å </w:t>
      </w:r>
      <w:r w:rsidRPr="008E6A8F">
        <w:rPr>
          <w:rFonts w:asciiTheme="minorHAnsi" w:hAnsiTheme="minorHAnsi" w:cstheme="majorHAnsi"/>
          <w:lang w:val="nb-NO"/>
        </w:rPr>
        <w:t xml:space="preserve">utfordre banker og finansinstitusjoner som tradisjonelt har passet på pengene til de rikeste. 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</w:p>
    <w:p w:rsidR="00C50835" w:rsidRPr="00C50835" w:rsidRDefault="00C50835" w:rsidP="00C50835">
      <w:pPr>
        <w:jc w:val="both"/>
        <w:rPr>
          <w:rFonts w:asciiTheme="minorHAnsi" w:hAnsiTheme="minorHAnsi" w:cstheme="majorHAnsi"/>
          <w:i/>
          <w:lang w:val="nb-NO"/>
        </w:rPr>
      </w:pPr>
      <w:r>
        <w:rPr>
          <w:rFonts w:asciiTheme="minorHAnsi" w:hAnsiTheme="minorHAnsi" w:cstheme="majorHAnsi"/>
          <w:i/>
          <w:lang w:val="nb-NO"/>
        </w:rPr>
        <w:t>- Teknologiselskapene</w:t>
      </w:r>
      <w:r w:rsidRPr="00C50835">
        <w:rPr>
          <w:rFonts w:asciiTheme="minorHAnsi" w:hAnsiTheme="minorHAnsi" w:cstheme="majorHAnsi"/>
          <w:i/>
          <w:lang w:val="nb-NO"/>
        </w:rPr>
        <w:t xml:space="preserve"> sitter på data som gjør at de kan tilby bedre og billigere løsninger enn tradisjonelle </w:t>
      </w:r>
      <w:proofErr w:type="spellStart"/>
      <w:r w:rsidRPr="00C50835">
        <w:rPr>
          <w:rFonts w:asciiTheme="minorHAnsi" w:hAnsiTheme="minorHAnsi" w:cstheme="majorHAnsi"/>
          <w:i/>
          <w:lang w:val="nb-NO"/>
        </w:rPr>
        <w:t>formuesforvaltere</w:t>
      </w:r>
      <w:proofErr w:type="spellEnd"/>
      <w:r w:rsidRPr="00C50835">
        <w:rPr>
          <w:rFonts w:asciiTheme="minorHAnsi" w:hAnsiTheme="minorHAnsi" w:cstheme="majorHAnsi"/>
          <w:i/>
          <w:lang w:val="nb-NO"/>
        </w:rPr>
        <w:t xml:space="preserve">. Selskaper som vi i dag kjenner best som nettbutikker, søkemotorer eller sosiale nettverk vil trolig utvikle forretningsmodeller </w:t>
      </w:r>
      <w:r w:rsidR="007E3B88">
        <w:rPr>
          <w:rFonts w:asciiTheme="minorHAnsi" w:hAnsiTheme="minorHAnsi" w:cstheme="majorHAnsi"/>
          <w:i/>
          <w:lang w:val="nb-NO"/>
        </w:rPr>
        <w:t>som kan bidra til veksten i formue</w:t>
      </w:r>
      <w:r w:rsidRPr="00C50835">
        <w:rPr>
          <w:rFonts w:asciiTheme="minorHAnsi" w:hAnsiTheme="minorHAnsi" w:cstheme="majorHAnsi"/>
          <w:i/>
          <w:lang w:val="nb-NO"/>
        </w:rPr>
        <w:t xml:space="preserve">, </w:t>
      </w:r>
      <w:r w:rsidRPr="00C50835">
        <w:rPr>
          <w:rFonts w:asciiTheme="minorHAnsi" w:hAnsiTheme="minorHAnsi" w:cstheme="majorHAnsi"/>
          <w:lang w:val="nb-NO"/>
        </w:rPr>
        <w:t>sier Bergström.</w:t>
      </w:r>
      <w:r w:rsidRPr="00C50835">
        <w:rPr>
          <w:rFonts w:asciiTheme="minorHAnsi" w:hAnsiTheme="minorHAnsi" w:cstheme="majorHAnsi"/>
          <w:i/>
          <w:lang w:val="nb-NO"/>
        </w:rPr>
        <w:t xml:space="preserve">  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  <w:r>
        <w:rPr>
          <w:rFonts w:asciiTheme="minorHAnsi" w:hAnsiTheme="minorHAnsi" w:cstheme="majorHAnsi"/>
          <w:lang w:val="nb-NO"/>
        </w:rPr>
        <w:t xml:space="preserve">Rapporten peker også på en annen trend, nemlig </w:t>
      </w:r>
      <w:r w:rsidRPr="008E6A8F">
        <w:rPr>
          <w:rFonts w:asciiTheme="minorHAnsi" w:hAnsiTheme="minorHAnsi" w:cstheme="majorHAnsi"/>
          <w:lang w:val="nb-NO"/>
        </w:rPr>
        <w:t>at de rikeste investe</w:t>
      </w:r>
      <w:r w:rsidR="007E3B88">
        <w:rPr>
          <w:rFonts w:asciiTheme="minorHAnsi" w:hAnsiTheme="minorHAnsi" w:cstheme="majorHAnsi"/>
          <w:lang w:val="nb-NO"/>
        </w:rPr>
        <w:t>rer i kryptovalutaer, som for eksempel</w:t>
      </w:r>
      <w:r w:rsidRPr="008E6A8F">
        <w:rPr>
          <w:rFonts w:asciiTheme="minorHAnsi" w:hAnsiTheme="minorHAnsi" w:cstheme="majorHAnsi"/>
          <w:lang w:val="nb-NO"/>
        </w:rPr>
        <w:t xml:space="preserve"> </w:t>
      </w:r>
      <w:proofErr w:type="spellStart"/>
      <w:r w:rsidRPr="008E6A8F">
        <w:rPr>
          <w:rFonts w:asciiTheme="minorHAnsi" w:hAnsiTheme="minorHAnsi" w:cstheme="majorHAnsi"/>
          <w:lang w:val="nb-NO"/>
        </w:rPr>
        <w:t>Bitcoin</w:t>
      </w:r>
      <w:proofErr w:type="spellEnd"/>
      <w:r w:rsidRPr="008E6A8F">
        <w:rPr>
          <w:rFonts w:asciiTheme="minorHAnsi" w:hAnsiTheme="minorHAnsi" w:cstheme="majorHAnsi"/>
          <w:lang w:val="nb-NO"/>
        </w:rPr>
        <w:t>.</w:t>
      </w:r>
    </w:p>
    <w:p w:rsidR="00C50835" w:rsidRPr="008E6A8F" w:rsidRDefault="00C50835" w:rsidP="00C50835">
      <w:pPr>
        <w:jc w:val="both"/>
        <w:rPr>
          <w:rFonts w:asciiTheme="minorHAnsi" w:hAnsiTheme="minorHAnsi" w:cstheme="majorHAnsi"/>
          <w:lang w:val="nb-NO"/>
        </w:rPr>
      </w:pPr>
    </w:p>
    <w:p w:rsidR="00C50835" w:rsidRPr="00C50835" w:rsidRDefault="00C50835" w:rsidP="00C50835">
      <w:pPr>
        <w:jc w:val="both"/>
        <w:rPr>
          <w:rFonts w:asciiTheme="minorHAnsi" w:hAnsiTheme="minorHAnsi" w:cstheme="majorHAnsi"/>
          <w:i/>
          <w:lang w:val="nb-NO"/>
        </w:rPr>
      </w:pPr>
      <w:r>
        <w:rPr>
          <w:rFonts w:asciiTheme="minorHAnsi" w:hAnsiTheme="minorHAnsi" w:cstheme="majorHAnsi"/>
          <w:i/>
          <w:lang w:val="nb-NO"/>
        </w:rPr>
        <w:t>- Investorene</w:t>
      </w:r>
      <w:r w:rsidRPr="00C50835">
        <w:rPr>
          <w:rFonts w:asciiTheme="minorHAnsi" w:hAnsiTheme="minorHAnsi" w:cstheme="majorHAnsi"/>
          <w:i/>
          <w:lang w:val="nb-NO"/>
        </w:rPr>
        <w:t xml:space="preserve"> har</w:t>
      </w:r>
      <w:r w:rsidR="007E3B88">
        <w:rPr>
          <w:rFonts w:asciiTheme="minorHAnsi" w:hAnsiTheme="minorHAnsi" w:cstheme="majorHAnsi"/>
          <w:i/>
          <w:lang w:val="nb-NO"/>
        </w:rPr>
        <w:t xml:space="preserve"> for alvor fått opp øynene</w:t>
      </w:r>
      <w:r w:rsidRPr="00C50835">
        <w:rPr>
          <w:rFonts w:asciiTheme="minorHAnsi" w:hAnsiTheme="minorHAnsi" w:cstheme="majorHAnsi"/>
          <w:i/>
          <w:lang w:val="nb-NO"/>
        </w:rPr>
        <w:t xml:space="preserve"> for kryptovaluta. På sikt kan det blir like vanlig å investere i kryptovaluta som i eiendom, aksjer og gull. Store svingninger i dette markedet gjør imidlertid at mange</w:t>
      </w:r>
      <w:r w:rsidR="007E3B88">
        <w:rPr>
          <w:rFonts w:asciiTheme="minorHAnsi" w:hAnsiTheme="minorHAnsi" w:cstheme="majorHAnsi"/>
          <w:i/>
          <w:lang w:val="nb-NO"/>
        </w:rPr>
        <w:t xml:space="preserve"> investorer – spesielt de eldre</w:t>
      </w:r>
      <w:r w:rsidRPr="00C50835">
        <w:rPr>
          <w:rFonts w:asciiTheme="minorHAnsi" w:hAnsiTheme="minorHAnsi" w:cstheme="majorHAnsi"/>
          <w:i/>
          <w:lang w:val="nb-NO"/>
        </w:rPr>
        <w:t xml:space="preserve"> – fortsatt er skeptiske, </w:t>
      </w:r>
      <w:r w:rsidRPr="00C50835">
        <w:rPr>
          <w:rFonts w:asciiTheme="minorHAnsi" w:hAnsiTheme="minorHAnsi" w:cstheme="majorHAnsi"/>
          <w:lang w:val="nb-NO"/>
        </w:rPr>
        <w:t>sier han</w:t>
      </w:r>
      <w:r w:rsidRPr="00C50835">
        <w:rPr>
          <w:rFonts w:asciiTheme="minorHAnsi" w:hAnsiTheme="minorHAnsi" w:cstheme="majorHAnsi"/>
          <w:i/>
          <w:lang w:val="nb-NO"/>
        </w:rPr>
        <w:t>.</w:t>
      </w:r>
    </w:p>
    <w:p w:rsidR="00C50835" w:rsidRPr="008E6A8F" w:rsidRDefault="00C50835" w:rsidP="00C50835">
      <w:pPr>
        <w:autoSpaceDE w:val="0"/>
        <w:autoSpaceDN w:val="0"/>
        <w:adjustRightInd w:val="0"/>
        <w:rPr>
          <w:rFonts w:asciiTheme="minorHAnsi" w:hAnsiTheme="minorHAnsi" w:cs="Ubuntu-Light"/>
          <w:color w:val="007DB7"/>
          <w:lang w:val="nb-NO"/>
        </w:rPr>
      </w:pPr>
    </w:p>
    <w:p w:rsidR="00C50835" w:rsidRPr="00294551" w:rsidRDefault="00C50835" w:rsidP="00C50835">
      <w:pPr>
        <w:rPr>
          <w:rFonts w:asciiTheme="minorHAnsi" w:hAnsiTheme="minorHAnsi" w:cs="Vijaya"/>
          <w:b/>
          <w:bCs/>
          <w:lang w:val="nb-NO"/>
        </w:rPr>
      </w:pPr>
      <w:r w:rsidRPr="00294551">
        <w:rPr>
          <w:rFonts w:asciiTheme="minorHAnsi" w:hAnsiTheme="minorHAnsi" w:cs="Vijaya"/>
          <w:b/>
          <w:bCs/>
          <w:lang w:val="nb-NO"/>
        </w:rPr>
        <w:t>Om World Wealth Report 2018</w:t>
      </w:r>
    </w:p>
    <w:p w:rsidR="00C50835" w:rsidRPr="00294551" w:rsidRDefault="00C50835" w:rsidP="00C50835">
      <w:pPr>
        <w:rPr>
          <w:rFonts w:asciiTheme="minorHAnsi" w:hAnsiTheme="minorHAnsi" w:cs="Vijaya"/>
          <w:bCs/>
          <w:sz w:val="18"/>
          <w:szCs w:val="18"/>
          <w:lang w:val="nb-NO"/>
        </w:rPr>
      </w:pP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>World Wealth Report fra Capgemini er den årlige bransjeledende kartleggingen av dollarmillionærer som blir lest a</w:t>
      </w:r>
      <w:r w:rsidR="005D28F3">
        <w:rPr>
          <w:rFonts w:asciiTheme="minorHAnsi" w:hAnsiTheme="minorHAnsi" w:cs="Vijaya"/>
          <w:bCs/>
          <w:sz w:val="18"/>
          <w:szCs w:val="18"/>
          <w:lang w:val="nb-NO"/>
        </w:rPr>
        <w:t>v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ledere innen bank, finans og forsikring rundt om 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>i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verden. Rapporten kartlegger personer som har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e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n formue på over en million dollar 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>i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</w:t>
      </w:r>
      <w:proofErr w:type="spellStart"/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>investerbar</w:t>
      </w:r>
      <w:proofErr w:type="spellEnd"/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formue, ekskludert primærbolig og samlerformål, også kalt High Net </w:t>
      </w:r>
      <w:proofErr w:type="spellStart"/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>Worh</w:t>
      </w:r>
      <w:proofErr w:type="spellEnd"/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</w:t>
      </w:r>
      <w:proofErr w:type="spellStart"/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>Individuals</w:t>
      </w:r>
      <w:proofErr w:type="spellEnd"/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(HNWI). Rapporten tas frem på </w:t>
      </w:r>
      <w:r w:rsidR="005D28F3" w:rsidRPr="00294551">
        <w:rPr>
          <w:rFonts w:asciiTheme="minorHAnsi" w:hAnsiTheme="minorHAnsi" w:cs="Vijaya"/>
          <w:bCs/>
          <w:sz w:val="18"/>
          <w:szCs w:val="18"/>
          <w:lang w:val="nb-NO"/>
        </w:rPr>
        <w:t>makroøkonomisk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nivå, til forskjell fra de beregninger som gjø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res basert på </w:t>
      </w:r>
      <w:r w:rsidR="005D28F3" w:rsidRPr="00294551">
        <w:rPr>
          <w:rFonts w:asciiTheme="minorHAnsi" w:hAnsiTheme="minorHAnsi" w:cs="Vijaya"/>
          <w:bCs/>
          <w:sz w:val="18"/>
          <w:szCs w:val="18"/>
          <w:lang w:val="nb-NO"/>
        </w:rPr>
        <w:t>individuelle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innrapporteringer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>. WWR gjennomføres nå for 22</w:t>
      </w:r>
      <w:r w:rsidR="005D28F3">
        <w:rPr>
          <w:rFonts w:asciiTheme="minorHAnsi" w:hAnsiTheme="minorHAnsi" w:cs="Vijaya"/>
          <w:bCs/>
          <w:sz w:val="18"/>
          <w:szCs w:val="18"/>
          <w:lang w:val="nb-NO"/>
        </w:rPr>
        <w:t>.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året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på rad</w:t>
      </w:r>
      <w:r w:rsidR="005D28F3">
        <w:rPr>
          <w:rFonts w:asciiTheme="minorHAnsi" w:hAnsiTheme="minorHAnsi" w:cs="Vijaya"/>
          <w:bCs/>
          <w:sz w:val="18"/>
          <w:szCs w:val="18"/>
          <w:lang w:val="nb-NO"/>
        </w:rPr>
        <w:t>,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og er den eneste rapporten som beskriver verdens dollarmillionærer og deres investeringer på en grundig måte. Rapporten inkluderer intervjuer med 2600 dollarmillionærer fra 19 land </w:t>
      </w:r>
      <w:r w:rsidR="00C23439">
        <w:rPr>
          <w:rFonts w:asciiTheme="minorHAnsi" w:hAnsiTheme="minorHAnsi" w:cs="Vijaya"/>
          <w:bCs/>
          <w:sz w:val="18"/>
          <w:szCs w:val="18"/>
          <w:lang w:val="nb-NO"/>
        </w:rPr>
        <w:t>i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</w:t>
      </w:r>
      <w:r w:rsidR="005D28F3" w:rsidRPr="00294551">
        <w:rPr>
          <w:rFonts w:asciiTheme="minorHAnsi" w:hAnsiTheme="minorHAnsi" w:cs="Vijaya"/>
          <w:bCs/>
          <w:sz w:val="18"/>
          <w:szCs w:val="18"/>
          <w:lang w:val="nb-NO"/>
        </w:rPr>
        <w:t>Nord-Amerika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, </w:t>
      </w:r>
      <w:r w:rsidR="005D28F3" w:rsidRPr="00294551">
        <w:rPr>
          <w:rFonts w:asciiTheme="minorHAnsi" w:hAnsiTheme="minorHAnsi" w:cs="Vijaya"/>
          <w:bCs/>
          <w:sz w:val="18"/>
          <w:szCs w:val="18"/>
          <w:lang w:val="nb-NO"/>
        </w:rPr>
        <w:t>Latin-Amerika</w:t>
      </w:r>
      <w:r w:rsidR="007E3B88" w:rsidRPr="00294551">
        <w:rPr>
          <w:rFonts w:asciiTheme="minorHAnsi" w:hAnsiTheme="minorHAnsi" w:cs="Vijaya"/>
          <w:bCs/>
          <w:sz w:val="18"/>
          <w:szCs w:val="18"/>
          <w:lang w:val="nb-NO"/>
        </w:rPr>
        <w:t>, Europa, Asia og Stille</w:t>
      </w:r>
      <w:r w:rsidR="005D28F3">
        <w:rPr>
          <w:rFonts w:asciiTheme="minorHAnsi" w:hAnsiTheme="minorHAnsi" w:cs="Vijaya"/>
          <w:bCs/>
          <w:sz w:val="18"/>
          <w:szCs w:val="18"/>
          <w:lang w:val="nb-NO"/>
        </w:rPr>
        <w:t>havsområdet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. De har besvart spørsmål om tillit til kapitalforvaltere, investeringer, avgiftsmodeller, </w:t>
      </w:r>
      <w:r w:rsidR="005D28F3" w:rsidRPr="00294551">
        <w:rPr>
          <w:rFonts w:asciiTheme="minorHAnsi" w:hAnsiTheme="minorHAnsi" w:cs="Vijaya"/>
          <w:bCs/>
          <w:sz w:val="18"/>
          <w:szCs w:val="18"/>
          <w:lang w:val="nb-NO"/>
        </w:rPr>
        <w:t>beslutninger</w:t>
      </w:r>
      <w:r w:rsidRPr="00294551">
        <w:rPr>
          <w:rFonts w:asciiTheme="minorHAnsi" w:hAnsiTheme="minorHAnsi" w:cs="Vijaya"/>
          <w:bCs/>
          <w:sz w:val="18"/>
          <w:szCs w:val="18"/>
          <w:lang w:val="nb-NO"/>
        </w:rPr>
        <w:t xml:space="preserve"> om kapitalplasseringer og preferanser på kapitalforvalting.   </w:t>
      </w:r>
    </w:p>
    <w:p w:rsidR="00C50835" w:rsidRPr="00294551" w:rsidRDefault="00C50835" w:rsidP="00C50835">
      <w:pPr>
        <w:rPr>
          <w:rFonts w:asciiTheme="minorHAnsi" w:hAnsiTheme="minorHAnsi" w:cs="Vijaya"/>
          <w:bCs/>
          <w:sz w:val="18"/>
          <w:szCs w:val="18"/>
          <w:lang w:val="nb-NO"/>
        </w:rPr>
      </w:pPr>
    </w:p>
    <w:p w:rsidR="00C50835" w:rsidRPr="00C50835" w:rsidRDefault="00C50835" w:rsidP="00C50835">
      <w:pPr>
        <w:rPr>
          <w:rFonts w:asciiTheme="minorHAnsi" w:hAnsiTheme="minorHAnsi" w:cs="Vijaya"/>
          <w:bCs/>
          <w:sz w:val="18"/>
          <w:szCs w:val="18"/>
          <w:lang w:val="sv-SE"/>
        </w:rPr>
      </w:pPr>
      <w:r w:rsidRPr="00C50835">
        <w:rPr>
          <w:rFonts w:asciiTheme="minorHAnsi" w:hAnsiTheme="minorHAnsi" w:cs="Vijaya"/>
          <w:bCs/>
          <w:sz w:val="18"/>
          <w:szCs w:val="18"/>
          <w:lang w:val="sv-SE"/>
        </w:rPr>
        <w:t xml:space="preserve">For mer informasjon eller for at laste ned rapporten, gå inn på </w:t>
      </w:r>
      <w:hyperlink r:id="rId10" w:history="1">
        <w:r w:rsidRPr="00C50835">
          <w:rPr>
            <w:rStyle w:val="Hyperkobling"/>
            <w:rFonts w:asciiTheme="minorHAnsi" w:hAnsiTheme="minorHAnsi" w:cs="Vijaya"/>
            <w:bCs/>
            <w:sz w:val="18"/>
            <w:szCs w:val="18"/>
            <w:lang w:val="sv-SE"/>
          </w:rPr>
          <w:t>www.worldwealthreport.com</w:t>
        </w:r>
      </w:hyperlink>
    </w:p>
    <w:p w:rsidR="00C50835" w:rsidRPr="00C50835" w:rsidRDefault="00C50835" w:rsidP="00C50835">
      <w:pPr>
        <w:rPr>
          <w:rFonts w:asciiTheme="minorHAnsi" w:hAnsiTheme="minorHAnsi"/>
          <w:sz w:val="18"/>
          <w:szCs w:val="18"/>
          <w:lang w:val="sv-SE"/>
        </w:rPr>
      </w:pPr>
    </w:p>
    <w:p w:rsidR="00C50835" w:rsidRPr="00D25CF8" w:rsidRDefault="00C50835" w:rsidP="00C50835">
      <w:pPr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b/>
          <w:sz w:val="18"/>
          <w:szCs w:val="18"/>
          <w:lang w:val="nb-NO"/>
        </w:rPr>
        <w:t xml:space="preserve">Om Capgemini </w:t>
      </w:r>
    </w:p>
    <w:p w:rsidR="00C50835" w:rsidRPr="00D25CF8" w:rsidRDefault="00C50835" w:rsidP="00C50835">
      <w:pPr>
        <w:rPr>
          <w:rFonts w:ascii="Verdana" w:hAnsi="Verdana"/>
          <w:sz w:val="18"/>
          <w:szCs w:val="18"/>
          <w:lang w:val="nb-NO"/>
        </w:rPr>
      </w:pPr>
      <w:r w:rsidRPr="00D25CF8">
        <w:rPr>
          <w:rFonts w:ascii="Verdana" w:hAnsi="Verdana"/>
          <w:sz w:val="18"/>
          <w:szCs w:val="18"/>
          <w:lang w:val="nb-NO"/>
        </w:rPr>
        <w:t xml:space="preserve">Som en global leder innen konsulent- og teknologitjenester og digital transformasjon er Capgemini i forkant av innovasjon gjennom å hjelpe kundene å realisere muligheter innen skytjenester, digitalisering og plattformsløsninger. Med 50 års erfaring og dyp bransjeekspertise gjør Capgemini kundene i stand til å realisere sine ambisjoner innenfor et spekter av tjenester som spenner fra strategi til operasjonalisering. Capgemini er overbevist om at </w:t>
      </w:r>
      <w:proofErr w:type="spellStart"/>
      <w:r w:rsidRPr="00D25CF8">
        <w:rPr>
          <w:rFonts w:ascii="Verdana" w:hAnsi="Verdana"/>
          <w:sz w:val="18"/>
          <w:szCs w:val="18"/>
          <w:lang w:val="nb-NO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  <w:lang w:val="nb-NO"/>
        </w:rPr>
        <w:t xml:space="preserve"> av teknologi skapes av og gjennom mennesker. Capgemini er et multikulturelt selskap med 200 000 ansatte i over 40 land. I 2017 rapporterte konsernet en omsetning på 12,8 milliarder Euro.  </w:t>
      </w:r>
    </w:p>
    <w:p w:rsidR="007E3B88" w:rsidRDefault="007E3B88" w:rsidP="00C50835">
      <w:pPr>
        <w:rPr>
          <w:rFonts w:ascii="Verdana" w:hAnsi="Verdana" w:cs="Vijaya"/>
          <w:sz w:val="18"/>
          <w:szCs w:val="18"/>
          <w:lang w:val="nb-NO"/>
        </w:rPr>
      </w:pPr>
    </w:p>
    <w:p w:rsidR="00C50835" w:rsidRPr="00D25CF8" w:rsidRDefault="00C50835" w:rsidP="00C50835">
      <w:pPr>
        <w:rPr>
          <w:rFonts w:ascii="Verdana" w:hAnsi="Verdana" w:cs="Vijaya"/>
          <w:sz w:val="18"/>
          <w:szCs w:val="18"/>
          <w:lang w:val="fr-FR"/>
        </w:rPr>
      </w:pPr>
      <w:r w:rsidRPr="00D25CF8">
        <w:rPr>
          <w:rFonts w:ascii="Verdana" w:hAnsi="Verdana" w:cs="Vijaya"/>
          <w:sz w:val="18"/>
          <w:szCs w:val="18"/>
          <w:lang w:val="nb-NO"/>
        </w:rPr>
        <w:t xml:space="preserve">Besøk oss på </w:t>
      </w:r>
      <w:hyperlink r:id="rId11" w:anchor="_blank" w:history="1">
        <w:r w:rsidRPr="00D25CF8">
          <w:rPr>
            <w:rStyle w:val="Hyperkobling"/>
            <w:rFonts w:ascii="Verdana" w:hAnsi="Verdana" w:cs="Vijaya"/>
            <w:sz w:val="18"/>
            <w:szCs w:val="18"/>
            <w:lang w:val="nb-NO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nb-NO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fr-FR"/>
        </w:rPr>
        <w:t>People matter, results count.</w:t>
      </w:r>
    </w:p>
    <w:p w:rsidR="00E403EE" w:rsidRPr="008657E5" w:rsidRDefault="00E403EE" w:rsidP="00E403EE">
      <w:pPr>
        <w:pStyle w:val="Boilerplate"/>
        <w:spacing w:after="0" w:line="360" w:lineRule="auto"/>
        <w:jc w:val="left"/>
        <w:rPr>
          <w:color w:val="auto"/>
          <w:sz w:val="18"/>
          <w:szCs w:val="18"/>
        </w:rPr>
      </w:pPr>
    </w:p>
    <w:p w:rsidR="006B52BA" w:rsidRPr="00E403EE" w:rsidRDefault="006B52BA" w:rsidP="00E403EE"/>
    <w:sectPr w:rsidR="006B52BA" w:rsidRPr="00E403EE" w:rsidSect="0090794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7B" w:rsidRDefault="005D6B7B">
      <w:r>
        <w:separator/>
      </w:r>
    </w:p>
  </w:endnote>
  <w:endnote w:type="continuationSeparator" w:id="0">
    <w:p w:rsidR="005D6B7B" w:rsidRDefault="005D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-Light">
    <w:altName w:val="Ubuntu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2A" w:rsidRPr="004C41BC" w:rsidRDefault="00CA7A1D" w:rsidP="004C41BC">
    <w:pPr>
      <w:pStyle w:val="Pieddepage1"/>
    </w:pPr>
    <w:r w:rsidRPr="004C41BC">
      <w:t>C</w:t>
    </w:r>
    <w:r w:rsidR="00C50835">
      <w:t xml:space="preserve">apgemini </w:t>
    </w:r>
    <w:proofErr w:type="spellStart"/>
    <w:r w:rsidR="00C50835">
      <w:t>Pressemelding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4D" w:rsidRPr="0090794D" w:rsidRDefault="00C50835">
    <w:pPr>
      <w:pStyle w:val="Bunnteks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Capgemini </w:t>
    </w:r>
    <w:proofErr w:type="spellStart"/>
    <w:r>
      <w:rPr>
        <w:rFonts w:ascii="Verdana" w:hAnsi="Verdana"/>
        <w:i/>
        <w:sz w:val="16"/>
      </w:rPr>
      <w:t>Pressemelding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7B" w:rsidRDefault="005D6B7B">
      <w:r>
        <w:separator/>
      </w:r>
    </w:p>
  </w:footnote>
  <w:footnote w:type="continuationSeparator" w:id="0">
    <w:p w:rsidR="005D6B7B" w:rsidRDefault="005D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F5" w:rsidRDefault="00452FF5" w:rsidP="00452FF5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367DA32B" wp14:editId="0CE97CEB">
          <wp:extent cx="347345" cy="32321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4D" w:rsidRDefault="0090794D" w:rsidP="0090794D">
    <w:pPr>
      <w:pStyle w:val="Topptekst"/>
    </w:pPr>
    <w:r>
      <w:rPr>
        <w:noProof/>
        <w:lang w:val="nb-NO" w:eastAsia="nb-NO"/>
      </w:rPr>
      <w:drawing>
        <wp:inline distT="0" distB="0" distL="0" distR="0" wp14:anchorId="746A041B" wp14:editId="222C7D9E">
          <wp:extent cx="1792605" cy="4330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794D" w:rsidRPr="0090794D" w:rsidRDefault="0090794D" w:rsidP="0090794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AAA"/>
    <w:multiLevelType w:val="hybridMultilevel"/>
    <w:tmpl w:val="4120DA3A"/>
    <w:lvl w:ilvl="0" w:tplc="C49060A0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438B"/>
    <w:multiLevelType w:val="hybridMultilevel"/>
    <w:tmpl w:val="D768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2024"/>
    <w:multiLevelType w:val="hybridMultilevel"/>
    <w:tmpl w:val="14021604"/>
    <w:lvl w:ilvl="0" w:tplc="ED9E6EB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8"/>
    <w:rsid w:val="00012A3F"/>
    <w:rsid w:val="0001794D"/>
    <w:rsid w:val="00037EF2"/>
    <w:rsid w:val="000713EB"/>
    <w:rsid w:val="0009189C"/>
    <w:rsid w:val="000B467C"/>
    <w:rsid w:val="000D2A4A"/>
    <w:rsid w:val="001079F6"/>
    <w:rsid w:val="00120F96"/>
    <w:rsid w:val="001657EC"/>
    <w:rsid w:val="001F77E4"/>
    <w:rsid w:val="002079B0"/>
    <w:rsid w:val="002176AF"/>
    <w:rsid w:val="00224737"/>
    <w:rsid w:val="002268C8"/>
    <w:rsid w:val="00270C0C"/>
    <w:rsid w:val="00272076"/>
    <w:rsid w:val="00294551"/>
    <w:rsid w:val="002A0DD8"/>
    <w:rsid w:val="002B0A0E"/>
    <w:rsid w:val="002D057F"/>
    <w:rsid w:val="002F35F1"/>
    <w:rsid w:val="003010A6"/>
    <w:rsid w:val="003433A7"/>
    <w:rsid w:val="00362EBA"/>
    <w:rsid w:val="00374C62"/>
    <w:rsid w:val="003915EB"/>
    <w:rsid w:val="00396EF1"/>
    <w:rsid w:val="003D3D70"/>
    <w:rsid w:val="003D4D56"/>
    <w:rsid w:val="0041762D"/>
    <w:rsid w:val="004313AD"/>
    <w:rsid w:val="00443573"/>
    <w:rsid w:val="00452D88"/>
    <w:rsid w:val="00452FF5"/>
    <w:rsid w:val="00473C41"/>
    <w:rsid w:val="004851AD"/>
    <w:rsid w:val="004C41BC"/>
    <w:rsid w:val="004E0333"/>
    <w:rsid w:val="005050DE"/>
    <w:rsid w:val="00507C6D"/>
    <w:rsid w:val="00513975"/>
    <w:rsid w:val="005959D4"/>
    <w:rsid w:val="005D28F3"/>
    <w:rsid w:val="005D6B7B"/>
    <w:rsid w:val="005E71D6"/>
    <w:rsid w:val="00604140"/>
    <w:rsid w:val="00624A11"/>
    <w:rsid w:val="00645C43"/>
    <w:rsid w:val="00670345"/>
    <w:rsid w:val="006738A3"/>
    <w:rsid w:val="00682595"/>
    <w:rsid w:val="006B42D6"/>
    <w:rsid w:val="006B52BA"/>
    <w:rsid w:val="006C2EF2"/>
    <w:rsid w:val="006D2D63"/>
    <w:rsid w:val="006E1F3D"/>
    <w:rsid w:val="006E28FF"/>
    <w:rsid w:val="006F0F7C"/>
    <w:rsid w:val="00724639"/>
    <w:rsid w:val="00754DA0"/>
    <w:rsid w:val="0075736F"/>
    <w:rsid w:val="0077382A"/>
    <w:rsid w:val="0078436D"/>
    <w:rsid w:val="00785612"/>
    <w:rsid w:val="007B7E8A"/>
    <w:rsid w:val="007C5127"/>
    <w:rsid w:val="007D60F5"/>
    <w:rsid w:val="007E01F3"/>
    <w:rsid w:val="007E3B88"/>
    <w:rsid w:val="007E60EF"/>
    <w:rsid w:val="007F73C4"/>
    <w:rsid w:val="00806D1F"/>
    <w:rsid w:val="0084327B"/>
    <w:rsid w:val="00846043"/>
    <w:rsid w:val="00881881"/>
    <w:rsid w:val="008A6E51"/>
    <w:rsid w:val="008B1640"/>
    <w:rsid w:val="008F4B2A"/>
    <w:rsid w:val="009022F8"/>
    <w:rsid w:val="0090586C"/>
    <w:rsid w:val="0090794D"/>
    <w:rsid w:val="0093785F"/>
    <w:rsid w:val="00946FA2"/>
    <w:rsid w:val="00966D8D"/>
    <w:rsid w:val="00973558"/>
    <w:rsid w:val="00991214"/>
    <w:rsid w:val="009B7252"/>
    <w:rsid w:val="009B79D2"/>
    <w:rsid w:val="00A02C99"/>
    <w:rsid w:val="00A03C0C"/>
    <w:rsid w:val="00A11E26"/>
    <w:rsid w:val="00A22400"/>
    <w:rsid w:val="00A2399C"/>
    <w:rsid w:val="00A32961"/>
    <w:rsid w:val="00A352E0"/>
    <w:rsid w:val="00A35EF1"/>
    <w:rsid w:val="00A47F2C"/>
    <w:rsid w:val="00A97724"/>
    <w:rsid w:val="00A97FF8"/>
    <w:rsid w:val="00AE41B5"/>
    <w:rsid w:val="00AF1350"/>
    <w:rsid w:val="00B30478"/>
    <w:rsid w:val="00B54826"/>
    <w:rsid w:val="00B804C1"/>
    <w:rsid w:val="00BC0C86"/>
    <w:rsid w:val="00BD0173"/>
    <w:rsid w:val="00BE3AFC"/>
    <w:rsid w:val="00C05C7E"/>
    <w:rsid w:val="00C20B79"/>
    <w:rsid w:val="00C23439"/>
    <w:rsid w:val="00C26268"/>
    <w:rsid w:val="00C3011D"/>
    <w:rsid w:val="00C3109F"/>
    <w:rsid w:val="00C50835"/>
    <w:rsid w:val="00C63758"/>
    <w:rsid w:val="00C949F1"/>
    <w:rsid w:val="00CA7A1D"/>
    <w:rsid w:val="00CC30B5"/>
    <w:rsid w:val="00CD1844"/>
    <w:rsid w:val="00CE2EE3"/>
    <w:rsid w:val="00D04A43"/>
    <w:rsid w:val="00D30463"/>
    <w:rsid w:val="00D40DCC"/>
    <w:rsid w:val="00D53410"/>
    <w:rsid w:val="00D53F51"/>
    <w:rsid w:val="00D83C66"/>
    <w:rsid w:val="00D85989"/>
    <w:rsid w:val="00DD58B6"/>
    <w:rsid w:val="00DE4C8C"/>
    <w:rsid w:val="00DF413F"/>
    <w:rsid w:val="00DF5E3B"/>
    <w:rsid w:val="00E12C25"/>
    <w:rsid w:val="00E403EE"/>
    <w:rsid w:val="00E603AA"/>
    <w:rsid w:val="00EB758B"/>
    <w:rsid w:val="00F12072"/>
    <w:rsid w:val="00F121CC"/>
    <w:rsid w:val="00F41B49"/>
    <w:rsid w:val="00F6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86"/>
  </w:style>
  <w:style w:type="paragraph" w:styleId="Overskrift3">
    <w:name w:val="heading 3"/>
    <w:basedOn w:val="Normal"/>
    <w:next w:val="Normal"/>
    <w:qFormat/>
    <w:rsid w:val="00BC0C86"/>
    <w:pPr>
      <w:keepNext/>
      <w:outlineLvl w:val="2"/>
    </w:pPr>
    <w:rPr>
      <w:b/>
      <w:color w:val="000000"/>
      <w:sz w:val="2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2">
    <w:name w:val="Body Text 2"/>
    <w:basedOn w:val="Normal"/>
    <w:rsid w:val="00BC0C86"/>
    <w:rPr>
      <w:b/>
      <w:color w:val="000000"/>
      <w:sz w:val="28"/>
      <w:lang w:val="en-GB"/>
    </w:rPr>
  </w:style>
  <w:style w:type="character" w:styleId="Hyperkobling">
    <w:name w:val="Hyperlink"/>
    <w:basedOn w:val="Standardskriftforavsnitt"/>
    <w:rsid w:val="00BC0C86"/>
    <w:rPr>
      <w:color w:val="0000FF"/>
      <w:u w:val="single"/>
    </w:rPr>
  </w:style>
  <w:style w:type="paragraph" w:styleId="NormalWeb">
    <w:name w:val="Normal (Web)"/>
    <w:basedOn w:val="Normal"/>
    <w:rsid w:val="00BC0C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Topptekst">
    <w:name w:val="header"/>
    <w:basedOn w:val="Normal"/>
    <w:rsid w:val="00C05C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05C7E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22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semiHidden/>
    <w:rsid w:val="00224737"/>
  </w:style>
  <w:style w:type="character" w:styleId="Fotnotereferanse">
    <w:name w:val="footnote reference"/>
    <w:basedOn w:val="Standardskriftforavsnitt"/>
    <w:semiHidden/>
    <w:rsid w:val="00224737"/>
    <w:rPr>
      <w:vertAlign w:val="superscript"/>
    </w:rPr>
  </w:style>
  <w:style w:type="paragraph" w:styleId="Bobletekst">
    <w:name w:val="Balloon Text"/>
    <w:basedOn w:val="Normal"/>
    <w:semiHidden/>
    <w:rsid w:val="00A97724"/>
    <w:rPr>
      <w:rFonts w:ascii="Tahoma" w:hAnsi="Tahoma" w:cs="Tahoma"/>
      <w:sz w:val="16"/>
      <w:szCs w:val="16"/>
    </w:rPr>
  </w:style>
  <w:style w:type="paragraph" w:customStyle="1" w:styleId="AboutCapgemini">
    <w:name w:val="About Capgemini"/>
    <w:basedOn w:val="Overskrift3"/>
    <w:next w:val="Normal"/>
    <w:autoRedefine/>
    <w:rsid w:val="00A11E26"/>
    <w:pPr>
      <w:jc w:val="both"/>
    </w:pPr>
    <w:rPr>
      <w:b w:val="0"/>
      <w:lang w:eastAsia="fr-FR"/>
    </w:rPr>
  </w:style>
  <w:style w:type="paragraph" w:customStyle="1" w:styleId="Pieddepage1">
    <w:name w:val="Pied de page1"/>
    <w:basedOn w:val="Normal"/>
    <w:autoRedefine/>
    <w:rsid w:val="004C41BC"/>
    <w:pPr>
      <w:tabs>
        <w:tab w:val="left" w:pos="9540"/>
      </w:tabs>
      <w:ind w:right="360"/>
      <w:jc w:val="both"/>
    </w:pPr>
    <w:rPr>
      <w:rFonts w:asciiTheme="majorHAnsi" w:hAnsiTheme="majorHAnsi" w:cs="Arial"/>
      <w:i/>
      <w:color w:val="000000" w:themeColor="text1"/>
      <w:sz w:val="16"/>
    </w:rPr>
  </w:style>
  <w:style w:type="paragraph" w:customStyle="1" w:styleId="Boilerplate">
    <w:name w:val="Boilerplate"/>
    <w:qFormat/>
    <w:rsid w:val="004C41BC"/>
    <w:pPr>
      <w:spacing w:after="120" w:line="200" w:lineRule="exact"/>
      <w:ind w:right="11"/>
      <w:jc w:val="both"/>
    </w:pPr>
    <w:rPr>
      <w:rFonts w:asciiTheme="minorHAnsi" w:eastAsiaTheme="minorHAnsi" w:hAnsiTheme="minorHAnsi" w:cstheme="minorBidi"/>
      <w:noProof/>
      <w:color w:val="000000" w:themeColor="text1"/>
      <w:sz w:val="16"/>
      <w:szCs w:val="22"/>
    </w:rPr>
  </w:style>
  <w:style w:type="paragraph" w:customStyle="1" w:styleId="BoilerplateHead">
    <w:name w:val="Boilerplate Head"/>
    <w:basedOn w:val="Boilerplate"/>
    <w:qFormat/>
    <w:rsid w:val="004C41BC"/>
    <w:pPr>
      <w:keepNext/>
      <w:keepLines/>
      <w:spacing w:before="600"/>
      <w:ind w:right="14"/>
    </w:pPr>
    <w:rPr>
      <w:b/>
      <w:color w:val="2B143D" w:themeColor="text2"/>
      <w:sz w:val="18"/>
    </w:rPr>
  </w:style>
  <w:style w:type="character" w:styleId="Merknadsreferanse">
    <w:name w:val="annotation reference"/>
    <w:basedOn w:val="Standardskriftforavsnitt"/>
    <w:semiHidden/>
    <w:unhideWhenUsed/>
    <w:rsid w:val="00E403E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403EE"/>
  </w:style>
  <w:style w:type="character" w:customStyle="1" w:styleId="MerknadstekstTegn">
    <w:name w:val="Merknadstekst Tegn"/>
    <w:basedOn w:val="Standardskriftforavsnitt"/>
    <w:link w:val="Merknadstekst"/>
    <w:semiHidden/>
    <w:rsid w:val="00E403EE"/>
  </w:style>
  <w:style w:type="paragraph" w:styleId="Listeavsnitt">
    <w:name w:val="List Paragraph"/>
    <w:basedOn w:val="Normal"/>
    <w:uiPriority w:val="34"/>
    <w:qFormat/>
    <w:rsid w:val="00C50835"/>
    <w:pPr>
      <w:ind w:left="720"/>
      <w:contextualSpacing/>
    </w:pPr>
  </w:style>
  <w:style w:type="paragraph" w:customStyle="1" w:styleId="PressContactDetails">
    <w:name w:val="Press Contact Details"/>
    <w:basedOn w:val="Normal"/>
    <w:qFormat/>
    <w:rsid w:val="00C50835"/>
    <w:pPr>
      <w:spacing w:line="280" w:lineRule="exact"/>
      <w:ind w:right="14"/>
      <w:jc w:val="right"/>
    </w:pPr>
    <w:rPr>
      <w:rFonts w:asciiTheme="minorHAnsi" w:eastAsiaTheme="minorHAnsi" w:hAnsiTheme="minorHAnsi" w:cstheme="minorBidi"/>
      <w:szCs w:val="22"/>
    </w:rPr>
  </w:style>
  <w:style w:type="character" w:styleId="Fulgthyperkobling">
    <w:name w:val="FollowedHyperlink"/>
    <w:basedOn w:val="Standardskriftforavsnitt"/>
    <w:semiHidden/>
    <w:unhideWhenUsed/>
    <w:rsid w:val="00294551"/>
    <w:rPr>
      <w:color w:val="E6E7E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capgemini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orldwealthreport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pgemini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Capgemini Palette 1">
      <a:dk1>
        <a:sysClr val="windowText" lastClr="000000"/>
      </a:dk1>
      <a:lt1>
        <a:srgbClr val="FFFFFF"/>
      </a:lt1>
      <a:dk2>
        <a:srgbClr val="2B143D"/>
      </a:dk2>
      <a:lt2>
        <a:srgbClr val="E6E7E7"/>
      </a:lt2>
      <a:accent1>
        <a:srgbClr val="0070AD"/>
      </a:accent1>
      <a:accent2>
        <a:srgbClr val="12ABDB"/>
      </a:accent2>
      <a:accent3>
        <a:srgbClr val="2B143D"/>
      </a:accent3>
      <a:accent4>
        <a:srgbClr val="FF304C"/>
      </a:accent4>
      <a:accent5>
        <a:srgbClr val="95E616"/>
      </a:accent5>
      <a:accent6>
        <a:srgbClr val="E6E7E7"/>
      </a:accent6>
      <a:hlink>
        <a:srgbClr val="0070AD"/>
      </a:hlink>
      <a:folHlink>
        <a:srgbClr val="E6E7E7"/>
      </a:folHlink>
    </a:clrScheme>
    <a:fontScheme name="Capgemini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A7DF-A6CF-4A28-82BE-A7C9042D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Links>
    <vt:vector size="6" baseType="variant"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http://www.capgemini.com/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2018-06-18T08:26:00Z</dcterms:created>
  <dcterms:modified xsi:type="dcterms:W3CDTF">2018-06-18T09:30:00Z</dcterms:modified>
</cp:coreProperties>
</file>