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D6A9" w14:textId="77777777" w:rsidR="000D1C93" w:rsidRDefault="000D1C93">
      <w:pPr>
        <w:shd w:val="clear" w:color="auto" w:fill="FFFFFF"/>
        <w:rPr>
          <w:b/>
        </w:rPr>
      </w:pPr>
    </w:p>
    <w:p w14:paraId="58C96C95" w14:textId="545C6C5C" w:rsidR="006E0914" w:rsidRPr="00CE07DF" w:rsidRDefault="25CBBF03" w:rsidP="7DF13EB0">
      <w:pPr>
        <w:shd w:val="clear" w:color="auto" w:fill="FFFFFF" w:themeFill="background1"/>
        <w:rPr>
          <w:b/>
          <w:bCs/>
          <w:sz w:val="32"/>
          <w:szCs w:val="32"/>
        </w:rPr>
      </w:pPr>
      <w:r w:rsidRPr="00CE07DF">
        <w:rPr>
          <w:b/>
          <w:bCs/>
          <w:sz w:val="32"/>
          <w:szCs w:val="32"/>
        </w:rPr>
        <w:t xml:space="preserve">2,5 miljoner </w:t>
      </w:r>
      <w:proofErr w:type="gramStart"/>
      <w:r w:rsidRPr="00CE07DF">
        <w:rPr>
          <w:b/>
          <w:bCs/>
          <w:sz w:val="32"/>
          <w:szCs w:val="32"/>
        </w:rPr>
        <w:t>ton förpackningar</w:t>
      </w:r>
      <w:proofErr w:type="gramEnd"/>
      <w:r w:rsidRPr="00CE07DF">
        <w:rPr>
          <w:b/>
          <w:bCs/>
          <w:sz w:val="32"/>
          <w:szCs w:val="32"/>
        </w:rPr>
        <w:t xml:space="preserve"> till återvinning de senaste</w:t>
      </w:r>
      <w:r w:rsidR="1A48B2E5" w:rsidRPr="00CE07DF">
        <w:rPr>
          <w:b/>
          <w:bCs/>
          <w:sz w:val="32"/>
          <w:szCs w:val="32"/>
        </w:rPr>
        <w:t xml:space="preserve"> fem</w:t>
      </w:r>
      <w:r w:rsidRPr="00CE07DF">
        <w:rPr>
          <w:b/>
          <w:bCs/>
          <w:sz w:val="32"/>
          <w:szCs w:val="32"/>
        </w:rPr>
        <w:t xml:space="preserve"> åren</w:t>
      </w:r>
      <w:r w:rsidR="310E698A" w:rsidRPr="00CE07DF">
        <w:rPr>
          <w:b/>
          <w:bCs/>
          <w:sz w:val="32"/>
          <w:szCs w:val="32"/>
        </w:rPr>
        <w:t xml:space="preserve"> - ökning med 15 procent</w:t>
      </w:r>
    </w:p>
    <w:p w14:paraId="42576B2B" w14:textId="77777777" w:rsidR="006E0914" w:rsidRPr="00CE07DF" w:rsidRDefault="006E0914">
      <w:pPr>
        <w:shd w:val="clear" w:color="auto" w:fill="FFFFFF"/>
      </w:pPr>
    </w:p>
    <w:p w14:paraId="2EB71EB3" w14:textId="534A2C03" w:rsidR="006E0914" w:rsidRPr="00CE07DF" w:rsidRDefault="25CBBF03" w:rsidP="7DF13EB0">
      <w:pPr>
        <w:shd w:val="clear" w:color="auto" w:fill="FFFFFF" w:themeFill="background1"/>
        <w:rPr>
          <w:b/>
          <w:bCs/>
        </w:rPr>
      </w:pPr>
      <w:r w:rsidRPr="00CE07DF">
        <w:rPr>
          <w:b/>
          <w:bCs/>
        </w:rPr>
        <w:t xml:space="preserve">De senaste åren visar på en </w:t>
      </w:r>
      <w:r w:rsidR="000D1C93" w:rsidRPr="00CE07DF">
        <w:rPr>
          <w:b/>
          <w:bCs/>
        </w:rPr>
        <w:t>stark</w:t>
      </w:r>
      <w:r w:rsidRPr="00CE07DF">
        <w:rPr>
          <w:b/>
          <w:bCs/>
        </w:rPr>
        <w:t xml:space="preserve"> återvinningstrend i Sverige. Insamlingen av förpackningar har ökat med 15 procent sedan 2018. Bland annat</w:t>
      </w:r>
      <w:r w:rsidR="00CE8C3E" w:rsidRPr="00CE07DF">
        <w:rPr>
          <w:b/>
          <w:bCs/>
        </w:rPr>
        <w:t xml:space="preserve"> har hushållen</w:t>
      </w:r>
      <w:r w:rsidRPr="00CE07DF">
        <w:rPr>
          <w:b/>
          <w:bCs/>
        </w:rPr>
        <w:t xml:space="preserve"> </w:t>
      </w:r>
      <w:r w:rsidR="00CE8C3E" w:rsidRPr="00CE07DF">
        <w:rPr>
          <w:b/>
          <w:bCs/>
        </w:rPr>
        <w:t>blivit allt bättre på att sortera ut sina plastförpackningar</w:t>
      </w:r>
      <w:r w:rsidRPr="00CE07DF">
        <w:rPr>
          <w:b/>
          <w:bCs/>
        </w:rPr>
        <w:t>.</w:t>
      </w:r>
      <w:r w:rsidR="00535527" w:rsidRPr="00CE07DF">
        <w:rPr>
          <w:b/>
          <w:bCs/>
        </w:rPr>
        <w:t xml:space="preserve"> </w:t>
      </w:r>
      <w:r w:rsidR="00CA68BE" w:rsidRPr="00CE07DF">
        <w:rPr>
          <w:b/>
          <w:bCs/>
        </w:rPr>
        <w:t xml:space="preserve">Den totala mängden insamlade </w:t>
      </w:r>
      <w:r w:rsidR="00535527" w:rsidRPr="00CE07DF">
        <w:rPr>
          <w:b/>
          <w:bCs/>
        </w:rPr>
        <w:t xml:space="preserve">plastförpackningar </w:t>
      </w:r>
      <w:r w:rsidR="00CA68BE" w:rsidRPr="00CE07DF">
        <w:rPr>
          <w:b/>
          <w:bCs/>
        </w:rPr>
        <w:t>under de senaste fem åren motsvarar</w:t>
      </w:r>
      <w:r w:rsidR="00535527" w:rsidRPr="00CE07DF">
        <w:rPr>
          <w:b/>
          <w:bCs/>
        </w:rPr>
        <w:t xml:space="preserve"> </w:t>
      </w:r>
      <w:r w:rsidR="0056124D" w:rsidRPr="00CE07DF">
        <w:rPr>
          <w:b/>
          <w:bCs/>
        </w:rPr>
        <w:t xml:space="preserve">1,5 </w:t>
      </w:r>
      <w:r w:rsidR="00535527" w:rsidRPr="00CE07DF">
        <w:rPr>
          <w:b/>
          <w:bCs/>
        </w:rPr>
        <w:t xml:space="preserve">varv runt </w:t>
      </w:r>
      <w:r w:rsidRPr="00CE07DF">
        <w:rPr>
          <w:b/>
          <w:bCs/>
        </w:rPr>
        <w:t>j</w:t>
      </w:r>
      <w:r w:rsidR="00DE7239" w:rsidRPr="00CE07DF">
        <w:rPr>
          <w:b/>
          <w:bCs/>
        </w:rPr>
        <w:t>orden</w:t>
      </w:r>
      <w:r w:rsidR="001A5005" w:rsidRPr="00CE07DF">
        <w:rPr>
          <w:b/>
          <w:bCs/>
        </w:rPr>
        <w:t xml:space="preserve"> </w:t>
      </w:r>
      <w:r w:rsidR="00535527" w:rsidRPr="00CE07DF">
        <w:rPr>
          <w:b/>
          <w:bCs/>
        </w:rPr>
        <w:t>med uppradade diskmedelsflaskor</w:t>
      </w:r>
      <w:r w:rsidR="00DE7239" w:rsidRPr="00CE07DF">
        <w:rPr>
          <w:b/>
          <w:bCs/>
        </w:rPr>
        <w:t xml:space="preserve">, </w:t>
      </w:r>
      <w:r w:rsidRPr="00CE07DF">
        <w:rPr>
          <w:b/>
          <w:bCs/>
        </w:rPr>
        <w:t>enligt nya siffror från Förpackningsinsamlingen (FTI).</w:t>
      </w:r>
    </w:p>
    <w:p w14:paraId="74C78A47" w14:textId="2610C4F3" w:rsidR="00AF681F" w:rsidRPr="00CE07DF" w:rsidRDefault="00AF681F" w:rsidP="7DF13EB0">
      <w:pPr>
        <w:shd w:val="clear" w:color="auto" w:fill="FFFFFF" w:themeFill="background1"/>
        <w:rPr>
          <w:b/>
          <w:bCs/>
        </w:rPr>
      </w:pPr>
    </w:p>
    <w:p w14:paraId="0A68361A" w14:textId="47895449" w:rsidR="00091886" w:rsidRPr="00CE07DF" w:rsidRDefault="00F13BA1" w:rsidP="0C331BC3">
      <w:pPr>
        <w:shd w:val="clear" w:color="auto" w:fill="FFFFFF" w:themeFill="background1"/>
      </w:pPr>
      <w:r w:rsidRPr="00CE07DF">
        <w:t>Förra året lämnades hela 530 000 ton</w:t>
      </w:r>
      <w:r w:rsidR="00E8387A" w:rsidRPr="00CE07DF">
        <w:t xml:space="preserve"> förpackningar</w:t>
      </w:r>
      <w:r w:rsidRPr="00CE07DF">
        <w:t xml:space="preserve"> in till återvinning i </w:t>
      </w:r>
      <w:r w:rsidR="00E8387A" w:rsidRPr="00CE07DF">
        <w:t>FTI:s insamlingssystem</w:t>
      </w:r>
      <w:r w:rsidR="00D63869" w:rsidRPr="00CE07DF">
        <w:t xml:space="preserve">, vilket motsvarar </w:t>
      </w:r>
      <w:r w:rsidR="000F03C8" w:rsidRPr="00CE07DF">
        <w:t>50,4</w:t>
      </w:r>
      <w:r w:rsidR="00D63869" w:rsidRPr="00CE07DF">
        <w:t xml:space="preserve"> k</w:t>
      </w:r>
      <w:r w:rsidR="00A90EDB" w:rsidRPr="00CE07DF">
        <w:t xml:space="preserve">ilo per </w:t>
      </w:r>
      <w:r w:rsidR="00D63869" w:rsidRPr="00CE07DF">
        <w:t>invånare</w:t>
      </w:r>
      <w:r w:rsidR="008E7879" w:rsidRPr="00CE07DF">
        <w:t xml:space="preserve">. </w:t>
      </w:r>
      <w:r w:rsidR="00497169" w:rsidRPr="00CE07DF">
        <w:t xml:space="preserve">Mellan åren 2018 och 2022 har insamlingen ökat med </w:t>
      </w:r>
      <w:r w:rsidR="2F637457" w:rsidRPr="00266585">
        <w:t>närmare</w:t>
      </w:r>
      <w:r w:rsidR="00497169" w:rsidRPr="00CE07DF">
        <w:t xml:space="preserve"> 15 procent</w:t>
      </w:r>
      <w:r w:rsidR="65AFB3F1" w:rsidRPr="00CE07DF">
        <w:t>.</w:t>
      </w:r>
      <w:r w:rsidR="00497169" w:rsidRPr="00CE07DF">
        <w:t xml:space="preserve"> </w:t>
      </w:r>
      <w:r w:rsidR="00D63869" w:rsidRPr="00CE07DF">
        <w:t>S</w:t>
      </w:r>
      <w:r w:rsidRPr="00CE07DF">
        <w:t xml:space="preserve">ammanlagt har 2,5 miljoner </w:t>
      </w:r>
      <w:proofErr w:type="gramStart"/>
      <w:r w:rsidRPr="00CE07DF">
        <w:t>ton</w:t>
      </w:r>
      <w:r w:rsidR="0068061B" w:rsidRPr="00CE07DF">
        <w:t xml:space="preserve"> </w:t>
      </w:r>
      <w:r w:rsidRPr="00CE07DF">
        <w:t>förpackningar</w:t>
      </w:r>
      <w:proofErr w:type="gramEnd"/>
      <w:r w:rsidR="00950B5E" w:rsidRPr="00CE07DF">
        <w:t xml:space="preserve"> av papper, plast, </w:t>
      </w:r>
      <w:r w:rsidR="005A5CBB" w:rsidRPr="00CE07DF">
        <w:t>metall och glas</w:t>
      </w:r>
      <w:r w:rsidRPr="00CE07DF">
        <w:t xml:space="preserve"> lämnat</w:t>
      </w:r>
      <w:r w:rsidR="00950B5E" w:rsidRPr="00CE07DF">
        <w:t>s</w:t>
      </w:r>
      <w:r w:rsidRPr="00CE07DF">
        <w:t xml:space="preserve"> </w:t>
      </w:r>
      <w:r w:rsidR="00950B5E" w:rsidRPr="00CE07DF">
        <w:t xml:space="preserve">till återvinning </w:t>
      </w:r>
      <w:r w:rsidR="00213422" w:rsidRPr="00CE07DF">
        <w:t>via</w:t>
      </w:r>
      <w:r w:rsidR="00950B5E" w:rsidRPr="00CE07DF">
        <w:t xml:space="preserve"> FTI:s </w:t>
      </w:r>
      <w:r w:rsidR="00213422" w:rsidRPr="00CE07DF">
        <w:t>återvinningsstationer eller fastighetsnära insamling</w:t>
      </w:r>
      <w:r w:rsidRPr="00CE07DF">
        <w:t xml:space="preserve"> under de senaste fem åren.</w:t>
      </w:r>
      <w:r w:rsidR="00560C7E" w:rsidRPr="00CE07DF">
        <w:t xml:space="preserve"> </w:t>
      </w:r>
    </w:p>
    <w:p w14:paraId="698A6DAC" w14:textId="77777777" w:rsidR="00091886" w:rsidRPr="00CE07DF" w:rsidRDefault="00091886" w:rsidP="0C331BC3">
      <w:pPr>
        <w:shd w:val="clear" w:color="auto" w:fill="FFFFFF" w:themeFill="background1"/>
      </w:pPr>
    </w:p>
    <w:p w14:paraId="18D910B1" w14:textId="215CAEE1" w:rsidR="006E0914" w:rsidRPr="00CE07DF" w:rsidRDefault="00383F00" w:rsidP="0C331BC3">
      <w:pPr>
        <w:shd w:val="clear" w:color="auto" w:fill="FFFFFF" w:themeFill="background1"/>
      </w:pPr>
      <w:r w:rsidRPr="00CE07DF">
        <w:t xml:space="preserve">Det materialslag </w:t>
      </w:r>
      <w:r w:rsidR="00213422" w:rsidRPr="00CE07DF">
        <w:t>där insamlingen</w:t>
      </w:r>
      <w:r w:rsidRPr="00CE07DF">
        <w:t xml:space="preserve"> ökat mest under perioden är pappersförpackningar, som</w:t>
      </w:r>
      <w:r w:rsidR="00F65051" w:rsidRPr="00CE07DF">
        <w:t xml:space="preserve"> har</w:t>
      </w:r>
      <w:r w:rsidRPr="00CE07DF">
        <w:t xml:space="preserve"> ökat </w:t>
      </w:r>
      <w:r w:rsidR="00F13BA1" w:rsidRPr="00CE07DF">
        <w:t xml:space="preserve">med </w:t>
      </w:r>
      <w:r w:rsidR="00AD34BD" w:rsidRPr="00CE07DF">
        <w:t xml:space="preserve">28 </w:t>
      </w:r>
      <w:r w:rsidR="00F13BA1" w:rsidRPr="00CE07DF">
        <w:t>procent</w:t>
      </w:r>
      <w:r w:rsidR="005138FA" w:rsidRPr="00CE07DF">
        <w:t xml:space="preserve">. </w:t>
      </w:r>
      <w:r w:rsidR="00CB70CE" w:rsidRPr="00CE07DF">
        <w:t>Även</w:t>
      </w:r>
      <w:r w:rsidR="00F65051" w:rsidRPr="00CE07DF">
        <w:t xml:space="preserve"> </w:t>
      </w:r>
      <w:r w:rsidR="00EB4EBA" w:rsidRPr="00CE07DF">
        <w:t xml:space="preserve">för </w:t>
      </w:r>
      <w:r w:rsidR="00CB70CE" w:rsidRPr="00CE07DF">
        <w:t>plastförpackningar</w:t>
      </w:r>
      <w:r w:rsidR="007C0C0E" w:rsidRPr="00CE07DF">
        <w:t xml:space="preserve"> har </w:t>
      </w:r>
      <w:r w:rsidR="00EB4EBA" w:rsidRPr="00CE07DF">
        <w:t xml:space="preserve">insamlingen </w:t>
      </w:r>
      <w:r w:rsidR="007C0C0E" w:rsidRPr="00CE07DF">
        <w:t>ökat</w:t>
      </w:r>
      <w:r w:rsidR="00E14998" w:rsidRPr="00CE07DF">
        <w:t xml:space="preserve"> markant </w:t>
      </w:r>
      <w:r w:rsidR="007C0C0E" w:rsidRPr="00CE07DF">
        <w:t xml:space="preserve">med </w:t>
      </w:r>
      <w:r w:rsidR="00AD34BD" w:rsidRPr="00CE07DF">
        <w:t xml:space="preserve">22 </w:t>
      </w:r>
      <w:r w:rsidR="00F13BA1" w:rsidRPr="00CE07DF">
        <w:t xml:space="preserve">procent. </w:t>
      </w:r>
      <w:r w:rsidR="000052DB" w:rsidRPr="00CE07DF">
        <w:t>A</w:t>
      </w:r>
      <w:r w:rsidR="00F13BA1" w:rsidRPr="00CE07DF">
        <w:t>ndelen metall- och glasförpackningar ökat med sex respektive fyra procent.</w:t>
      </w:r>
    </w:p>
    <w:p w14:paraId="277C85AE" w14:textId="77777777" w:rsidR="00DE7239" w:rsidRPr="00CE07DF" w:rsidRDefault="00DE7239" w:rsidP="0C331BC3">
      <w:pPr>
        <w:shd w:val="clear" w:color="auto" w:fill="FFFFFF" w:themeFill="background1"/>
      </w:pPr>
    </w:p>
    <w:p w14:paraId="5A621012" w14:textId="26C1C65C" w:rsidR="006E0914" w:rsidRPr="00CE07DF" w:rsidRDefault="00F13BA1" w:rsidP="00E269B7">
      <w:pPr>
        <w:shd w:val="clear" w:color="auto" w:fill="FFFFFF" w:themeFill="background1"/>
        <w:rPr>
          <w:i/>
          <w:iCs/>
        </w:rPr>
      </w:pPr>
      <w:r w:rsidRPr="00CE07DF">
        <w:t>-</w:t>
      </w:r>
      <w:r w:rsidRPr="00CE07DF">
        <w:rPr>
          <w:i/>
          <w:iCs/>
        </w:rPr>
        <w:t xml:space="preserve"> Det är fantastiskt att så många </w:t>
      </w:r>
      <w:r w:rsidR="009765C2" w:rsidRPr="00CE07DF">
        <w:rPr>
          <w:i/>
          <w:iCs/>
        </w:rPr>
        <w:t xml:space="preserve">hushåll </w:t>
      </w:r>
      <w:r w:rsidR="00E1286D" w:rsidRPr="00CE07DF">
        <w:rPr>
          <w:i/>
          <w:iCs/>
        </w:rPr>
        <w:t>källsortera</w:t>
      </w:r>
      <w:r w:rsidR="0068061B" w:rsidRPr="00CE07DF">
        <w:rPr>
          <w:i/>
          <w:iCs/>
        </w:rPr>
        <w:t>r</w:t>
      </w:r>
      <w:r w:rsidR="00E1286D" w:rsidRPr="00CE07DF">
        <w:rPr>
          <w:i/>
          <w:iCs/>
        </w:rPr>
        <w:t xml:space="preserve"> sina förpackningar</w:t>
      </w:r>
      <w:r w:rsidR="001B4852" w:rsidRPr="00CE07DF">
        <w:rPr>
          <w:i/>
          <w:iCs/>
        </w:rPr>
        <w:t>, det är en förutsättning för att de ska kunna återvinnas</w:t>
      </w:r>
      <w:r w:rsidRPr="00CE07DF">
        <w:rPr>
          <w:i/>
          <w:iCs/>
        </w:rPr>
        <w:t>.</w:t>
      </w:r>
      <w:r w:rsidR="00AF681F" w:rsidRPr="00CE07DF">
        <w:rPr>
          <w:i/>
          <w:iCs/>
        </w:rPr>
        <w:t xml:space="preserve"> </w:t>
      </w:r>
      <w:r w:rsidR="00DE7239" w:rsidRPr="00CE07DF">
        <w:rPr>
          <w:i/>
          <w:iCs/>
        </w:rPr>
        <w:t>Extra</w:t>
      </w:r>
      <w:r w:rsidR="00AF681F" w:rsidRPr="00CE07DF">
        <w:rPr>
          <w:i/>
          <w:iCs/>
        </w:rPr>
        <w:t xml:space="preserve"> glädjande är det </w:t>
      </w:r>
      <w:r w:rsidR="0068061B" w:rsidRPr="00CE07DF">
        <w:rPr>
          <w:i/>
          <w:iCs/>
        </w:rPr>
        <w:t xml:space="preserve">att </w:t>
      </w:r>
      <w:r w:rsidR="00AF681F" w:rsidRPr="00CE07DF">
        <w:rPr>
          <w:i/>
          <w:iCs/>
        </w:rPr>
        <w:t>insamlingen av plastförpackningar har ökat så mycket.</w:t>
      </w:r>
      <w:r w:rsidR="0068061B" w:rsidRPr="00CE07DF">
        <w:rPr>
          <w:i/>
          <w:iCs/>
        </w:rPr>
        <w:t xml:space="preserve"> </w:t>
      </w:r>
      <w:r w:rsidRPr="00CE07DF">
        <w:rPr>
          <w:i/>
          <w:iCs/>
        </w:rPr>
        <w:t xml:space="preserve">Vi är bra på att återvinna i Sverige men vi kan bli ännu bättre. </w:t>
      </w:r>
      <w:r w:rsidR="00092D3A" w:rsidRPr="00CE07DF">
        <w:rPr>
          <w:i/>
          <w:iCs/>
        </w:rPr>
        <w:t xml:space="preserve">Vi ser att vi nu är tillbaka på mer normala insamlingsnivåer jämfört med rekordnivåerna som uppmättes under pandemiåren. </w:t>
      </w:r>
      <w:r w:rsidR="00DE7239" w:rsidRPr="00CE07DF">
        <w:rPr>
          <w:i/>
          <w:iCs/>
        </w:rPr>
        <w:t>Även om nivåerna är höga hamnar a</w:t>
      </w:r>
      <w:r w:rsidR="00EF49D5" w:rsidRPr="00CE07DF">
        <w:rPr>
          <w:i/>
          <w:iCs/>
        </w:rPr>
        <w:t>lltför många förpa</w:t>
      </w:r>
      <w:r w:rsidR="0074340C" w:rsidRPr="00CE07DF">
        <w:rPr>
          <w:i/>
          <w:iCs/>
        </w:rPr>
        <w:t xml:space="preserve">ckningar </w:t>
      </w:r>
      <w:r w:rsidR="00143F32" w:rsidRPr="00CE07DF">
        <w:rPr>
          <w:i/>
          <w:iCs/>
        </w:rPr>
        <w:t>fortfarande</w:t>
      </w:r>
      <w:r w:rsidR="0074340C" w:rsidRPr="00CE07DF">
        <w:rPr>
          <w:i/>
          <w:iCs/>
        </w:rPr>
        <w:t xml:space="preserve"> i </w:t>
      </w:r>
      <w:r w:rsidR="00586498" w:rsidRPr="00CE07DF">
        <w:rPr>
          <w:i/>
          <w:iCs/>
        </w:rPr>
        <w:t>soppåsen</w:t>
      </w:r>
      <w:r w:rsidR="000D1C93" w:rsidRPr="00CE07DF">
        <w:rPr>
          <w:i/>
          <w:iCs/>
        </w:rPr>
        <w:t xml:space="preserve">. </w:t>
      </w:r>
      <w:r w:rsidRPr="00CE07DF">
        <w:rPr>
          <w:i/>
          <w:iCs/>
        </w:rPr>
        <w:t>Att sortera ut sina förpackningar till återvinning är något som alla kan göra för att bidra</w:t>
      </w:r>
      <w:r w:rsidR="005E4A24" w:rsidRPr="00CE07DF">
        <w:rPr>
          <w:i/>
          <w:iCs/>
        </w:rPr>
        <w:t xml:space="preserve"> till en mer hållbar värld</w:t>
      </w:r>
      <w:r w:rsidRPr="00CE07DF">
        <w:rPr>
          <w:i/>
          <w:iCs/>
        </w:rPr>
        <w:t>,</w:t>
      </w:r>
      <w:r w:rsidRPr="00CE07DF">
        <w:t xml:space="preserve"> säger Mikael Edenqvist, chef region</w:t>
      </w:r>
      <w:r w:rsidR="78AADFD6" w:rsidRPr="00CE07DF">
        <w:t>er</w:t>
      </w:r>
      <w:r w:rsidR="005E4A24" w:rsidRPr="00CE07DF">
        <w:t xml:space="preserve"> </w:t>
      </w:r>
      <w:r w:rsidRPr="00CE07DF">
        <w:t xml:space="preserve">på </w:t>
      </w:r>
      <w:r w:rsidR="00503443" w:rsidRPr="00CE07DF">
        <w:t>FTI</w:t>
      </w:r>
      <w:r w:rsidRPr="00CE07DF">
        <w:t>.</w:t>
      </w:r>
    </w:p>
    <w:p w14:paraId="7F0F5E19" w14:textId="480A38B0" w:rsidR="006E0914" w:rsidRPr="00CE07DF" w:rsidRDefault="00F13BA1" w:rsidP="07ADA57C">
      <w:pPr>
        <w:rPr>
          <w:i/>
          <w:iCs/>
        </w:rPr>
      </w:pPr>
      <w:r w:rsidRPr="00CE07DF">
        <w:t xml:space="preserve"> </w:t>
      </w:r>
      <w:r w:rsidRPr="00CE07DF">
        <w:br/>
        <w:t>I syfte att öka</w:t>
      </w:r>
      <w:r w:rsidR="000D1C93" w:rsidRPr="00CE07DF">
        <w:t xml:space="preserve"> insamlingen och</w:t>
      </w:r>
      <w:r w:rsidRPr="00CE07DF">
        <w:t xml:space="preserve"> återvinningen av förpackningar ännu mer har regeringen beslutat </w:t>
      </w:r>
      <w:r w:rsidR="0062243D" w:rsidRPr="00CE07DF">
        <w:t>om en ny</w:t>
      </w:r>
      <w:r w:rsidR="00003858" w:rsidRPr="00CE07DF">
        <w:t xml:space="preserve"> förordning för producentansvar för förpackningar. Den innebär bland annat </w:t>
      </w:r>
      <w:r w:rsidRPr="00CE07DF">
        <w:t>att insamlingsansvaret gå</w:t>
      </w:r>
      <w:r w:rsidR="00003858" w:rsidRPr="00CE07DF">
        <w:t>r</w:t>
      </w:r>
      <w:r w:rsidRPr="00CE07DF">
        <w:t xml:space="preserve"> över till kommunerna den 1 januari 2024</w:t>
      </w:r>
      <w:r w:rsidR="0067743B" w:rsidRPr="00CE07DF">
        <w:t>, och att fastighetsnära insamling ska vara inför</w:t>
      </w:r>
      <w:r w:rsidR="003939BB" w:rsidRPr="00CE07DF">
        <w:t xml:space="preserve">d </w:t>
      </w:r>
      <w:r w:rsidR="00AC6A0B" w:rsidRPr="00CE07DF">
        <w:t xml:space="preserve">för alla hushåll </w:t>
      </w:r>
      <w:r w:rsidR="003939BB" w:rsidRPr="00CE07DF">
        <w:t>senast</w:t>
      </w:r>
      <w:r w:rsidR="0067743B" w:rsidRPr="00CE07DF">
        <w:t xml:space="preserve"> </w:t>
      </w:r>
      <w:r w:rsidR="00A426CD" w:rsidRPr="00CE07DF">
        <w:t>2027</w:t>
      </w:r>
      <w:r w:rsidRPr="00CE07DF">
        <w:t>.</w:t>
      </w:r>
      <w:r w:rsidRPr="00CE07DF">
        <w:br/>
      </w:r>
      <w:r w:rsidRPr="00CE07DF">
        <w:br/>
      </w:r>
      <w:r w:rsidRPr="00CE07DF">
        <w:rPr>
          <w:i/>
          <w:iCs/>
        </w:rPr>
        <w:t xml:space="preserve">- Vi </w:t>
      </w:r>
      <w:r w:rsidR="00AD20DA" w:rsidRPr="00CE07DF">
        <w:rPr>
          <w:i/>
          <w:iCs/>
        </w:rPr>
        <w:t xml:space="preserve">är glada </w:t>
      </w:r>
      <w:r w:rsidR="00F92DE2" w:rsidRPr="00CE07DF">
        <w:rPr>
          <w:i/>
          <w:iCs/>
        </w:rPr>
        <w:t xml:space="preserve">att se den här positiva trenden, som visar att </w:t>
      </w:r>
      <w:r w:rsidRPr="00CE07DF">
        <w:rPr>
          <w:i/>
          <w:iCs/>
        </w:rPr>
        <w:t>källsorter</w:t>
      </w:r>
      <w:r w:rsidR="00187EAF" w:rsidRPr="00CE07DF">
        <w:rPr>
          <w:i/>
          <w:iCs/>
        </w:rPr>
        <w:t>ingen</w:t>
      </w:r>
      <w:r w:rsidRPr="00CE07DF">
        <w:rPr>
          <w:i/>
          <w:iCs/>
        </w:rPr>
        <w:t xml:space="preserve"> har ökat </w:t>
      </w:r>
      <w:r w:rsidR="00F92DE2" w:rsidRPr="00CE07DF">
        <w:rPr>
          <w:i/>
          <w:iCs/>
        </w:rPr>
        <w:t>kontinuerligt</w:t>
      </w:r>
      <w:r w:rsidRPr="00CE07DF">
        <w:rPr>
          <w:i/>
          <w:iCs/>
        </w:rPr>
        <w:t xml:space="preserve"> under de senaste åren</w:t>
      </w:r>
      <w:r w:rsidR="00097C83" w:rsidRPr="00CE07DF">
        <w:rPr>
          <w:i/>
          <w:iCs/>
        </w:rPr>
        <w:t xml:space="preserve">. </w:t>
      </w:r>
      <w:r w:rsidR="00A02431" w:rsidRPr="00CE07DF">
        <w:rPr>
          <w:i/>
          <w:iCs/>
        </w:rPr>
        <w:t>Här har v</w:t>
      </w:r>
      <w:r w:rsidR="00017350" w:rsidRPr="00CE07DF">
        <w:rPr>
          <w:i/>
          <w:iCs/>
        </w:rPr>
        <w:t>årt</w:t>
      </w:r>
      <w:r w:rsidR="007C4BE1" w:rsidRPr="00CE07DF">
        <w:rPr>
          <w:i/>
          <w:iCs/>
        </w:rPr>
        <w:t xml:space="preserve"> </w:t>
      </w:r>
      <w:r w:rsidR="00823F2B" w:rsidRPr="00CE07DF">
        <w:rPr>
          <w:i/>
          <w:iCs/>
        </w:rPr>
        <w:t xml:space="preserve">rikstäckande insamlingssystem </w:t>
      </w:r>
      <w:r w:rsidR="003939BB" w:rsidRPr="00CE07DF">
        <w:rPr>
          <w:i/>
          <w:iCs/>
        </w:rPr>
        <w:t>med återvinningsstationer</w:t>
      </w:r>
      <w:r w:rsidR="009B65B6" w:rsidRPr="00CE07DF">
        <w:rPr>
          <w:i/>
          <w:iCs/>
        </w:rPr>
        <w:t xml:space="preserve"> och fastighetsnära insamling</w:t>
      </w:r>
      <w:r w:rsidR="00F9347A" w:rsidRPr="00CE07DF">
        <w:rPr>
          <w:i/>
          <w:iCs/>
        </w:rPr>
        <w:t xml:space="preserve"> </w:t>
      </w:r>
      <w:r w:rsidR="005A1C04" w:rsidRPr="00CE07DF">
        <w:rPr>
          <w:i/>
          <w:iCs/>
        </w:rPr>
        <w:t xml:space="preserve">fyllt en viktig </w:t>
      </w:r>
      <w:r w:rsidR="00D032BF" w:rsidRPr="00CE07DF">
        <w:rPr>
          <w:i/>
          <w:iCs/>
        </w:rPr>
        <w:t>samhälls</w:t>
      </w:r>
      <w:r w:rsidR="005A1C04" w:rsidRPr="00CE07DF">
        <w:rPr>
          <w:i/>
          <w:iCs/>
        </w:rPr>
        <w:t>funktion</w:t>
      </w:r>
      <w:r w:rsidR="006A23C3" w:rsidRPr="00CE07DF">
        <w:rPr>
          <w:i/>
          <w:iCs/>
        </w:rPr>
        <w:t>. G</w:t>
      </w:r>
      <w:r w:rsidR="006416F6" w:rsidRPr="00CE07DF">
        <w:rPr>
          <w:i/>
          <w:iCs/>
        </w:rPr>
        <w:t xml:space="preserve">enom att göra </w:t>
      </w:r>
      <w:r w:rsidR="00D245D4" w:rsidRPr="00CE07DF">
        <w:rPr>
          <w:i/>
          <w:iCs/>
        </w:rPr>
        <w:t xml:space="preserve">insamling av </w:t>
      </w:r>
      <w:r w:rsidR="009A73EA" w:rsidRPr="00CE07DF">
        <w:rPr>
          <w:i/>
          <w:iCs/>
        </w:rPr>
        <w:t>hushållens förpackningar</w:t>
      </w:r>
      <w:r w:rsidR="00DD7F08" w:rsidRPr="00CE07DF">
        <w:rPr>
          <w:i/>
          <w:iCs/>
        </w:rPr>
        <w:t xml:space="preserve"> tillgänglig</w:t>
      </w:r>
      <w:r w:rsidR="006A23C3" w:rsidRPr="00CE07DF">
        <w:rPr>
          <w:i/>
          <w:iCs/>
        </w:rPr>
        <w:t xml:space="preserve"> för alla, har </w:t>
      </w:r>
      <w:r w:rsidR="008A2DAB" w:rsidRPr="00CE07DF">
        <w:rPr>
          <w:i/>
          <w:iCs/>
        </w:rPr>
        <w:t xml:space="preserve">fler </w:t>
      </w:r>
      <w:r w:rsidR="009A73EA" w:rsidRPr="00CE07DF">
        <w:rPr>
          <w:i/>
          <w:iCs/>
        </w:rPr>
        <w:t xml:space="preserve">förpackningar </w:t>
      </w:r>
      <w:r w:rsidR="00A413B3" w:rsidRPr="00CE07DF">
        <w:rPr>
          <w:i/>
          <w:iCs/>
        </w:rPr>
        <w:t xml:space="preserve">kunnat </w:t>
      </w:r>
      <w:r w:rsidR="009A73EA" w:rsidRPr="00CE07DF">
        <w:rPr>
          <w:i/>
          <w:iCs/>
        </w:rPr>
        <w:t>återvinn</w:t>
      </w:r>
      <w:r w:rsidR="00A413B3" w:rsidRPr="00CE07DF">
        <w:rPr>
          <w:i/>
          <w:iCs/>
        </w:rPr>
        <w:t>as</w:t>
      </w:r>
      <w:r w:rsidR="009A73EA" w:rsidRPr="00CE07DF">
        <w:rPr>
          <w:i/>
          <w:iCs/>
        </w:rPr>
        <w:t xml:space="preserve">. </w:t>
      </w:r>
      <w:r w:rsidR="005A1C04" w:rsidRPr="00CE07DF">
        <w:rPr>
          <w:i/>
          <w:iCs/>
        </w:rPr>
        <w:t xml:space="preserve">Nu arbetar vi för </w:t>
      </w:r>
      <w:r w:rsidR="00D72009" w:rsidRPr="00CE07DF">
        <w:rPr>
          <w:i/>
          <w:iCs/>
        </w:rPr>
        <w:t xml:space="preserve">en smidig övergång </w:t>
      </w:r>
      <w:r w:rsidR="00B275C6" w:rsidRPr="00CE07DF">
        <w:rPr>
          <w:i/>
          <w:iCs/>
        </w:rPr>
        <w:t xml:space="preserve">till kommunerna </w:t>
      </w:r>
      <w:r w:rsidR="00D72009" w:rsidRPr="00CE07DF">
        <w:rPr>
          <w:i/>
          <w:iCs/>
        </w:rPr>
        <w:t>genom att dela med oss av vår</w:t>
      </w:r>
      <w:r w:rsidR="004016DA">
        <w:rPr>
          <w:i/>
          <w:iCs/>
        </w:rPr>
        <w:t xml:space="preserve"> </w:t>
      </w:r>
      <w:r w:rsidR="00D72009" w:rsidRPr="00CE07DF">
        <w:rPr>
          <w:i/>
          <w:iCs/>
        </w:rPr>
        <w:t xml:space="preserve">erfarenhet och expertis på området. Vi </w:t>
      </w:r>
      <w:r w:rsidRPr="00CE07DF">
        <w:rPr>
          <w:i/>
          <w:iCs/>
        </w:rPr>
        <w:t xml:space="preserve">ser fram emot </w:t>
      </w:r>
      <w:r w:rsidR="006E1E8F" w:rsidRPr="00CE07DF">
        <w:rPr>
          <w:i/>
          <w:iCs/>
        </w:rPr>
        <w:t xml:space="preserve">en fortsatt </w:t>
      </w:r>
      <w:r w:rsidR="0077628B" w:rsidRPr="00CE07DF">
        <w:rPr>
          <w:i/>
          <w:iCs/>
        </w:rPr>
        <w:t>utveckling</w:t>
      </w:r>
      <w:r w:rsidR="006E1E8F" w:rsidRPr="00CE07DF">
        <w:rPr>
          <w:i/>
          <w:iCs/>
        </w:rPr>
        <w:t xml:space="preserve"> </w:t>
      </w:r>
      <w:r w:rsidR="00A1402E" w:rsidRPr="00CE07DF">
        <w:rPr>
          <w:i/>
          <w:iCs/>
        </w:rPr>
        <w:t>mot</w:t>
      </w:r>
      <w:r w:rsidR="006E1E8F" w:rsidRPr="00CE07DF">
        <w:rPr>
          <w:i/>
          <w:iCs/>
        </w:rPr>
        <w:t xml:space="preserve"> </w:t>
      </w:r>
      <w:r w:rsidR="00D26AC0" w:rsidRPr="00CE07DF">
        <w:rPr>
          <w:i/>
          <w:iCs/>
        </w:rPr>
        <w:t>ett mer cirkulärt samhälle</w:t>
      </w:r>
      <w:r w:rsidRPr="00CE07DF">
        <w:t>, säger Mikael Edenqvist.</w:t>
      </w:r>
      <w:r w:rsidRPr="00CE07DF">
        <w:br/>
      </w:r>
    </w:p>
    <w:p w14:paraId="6FCE7D2E" w14:textId="1A46941E" w:rsidR="0068061B" w:rsidRPr="00CE07DF" w:rsidRDefault="0068061B" w:rsidP="2114C39F">
      <w:pPr>
        <w:rPr>
          <w:i/>
          <w:iCs/>
        </w:rPr>
      </w:pPr>
    </w:p>
    <w:p w14:paraId="20AD0EA7" w14:textId="2A7CE0BB" w:rsidR="0068061B" w:rsidRPr="00CE07DF" w:rsidRDefault="0068061B" w:rsidP="2114C39F">
      <w:pPr>
        <w:rPr>
          <w:i/>
          <w:iCs/>
        </w:rPr>
      </w:pPr>
    </w:p>
    <w:p w14:paraId="13C61F2F" w14:textId="77777777" w:rsidR="0068061B" w:rsidRPr="00CE07DF" w:rsidRDefault="0068061B" w:rsidP="2114C39F">
      <w:pPr>
        <w:rPr>
          <w:i/>
          <w:iCs/>
        </w:rPr>
      </w:pPr>
    </w:p>
    <w:p w14:paraId="0B99E3F0" w14:textId="77777777" w:rsidR="006E0914" w:rsidRPr="00CE07DF" w:rsidRDefault="00F13BA1">
      <w:pPr>
        <w:rPr>
          <w:b/>
        </w:rPr>
      </w:pPr>
      <w:r w:rsidRPr="00CE07DF">
        <w:rPr>
          <w:b/>
        </w:rPr>
        <w:lastRenderedPageBreak/>
        <w:t>FTI:s insamlingsstatistik - översikt</w:t>
      </w:r>
      <w:r w:rsidRPr="00CE07DF">
        <w:rPr>
          <w:b/>
        </w:rPr>
        <w:br/>
      </w:r>
    </w:p>
    <w:tbl>
      <w:tblPr>
        <w:tblW w:w="9029" w:type="dxa"/>
        <w:tblInd w:w="-1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461"/>
        <w:gridCol w:w="847"/>
        <w:gridCol w:w="1143"/>
        <w:gridCol w:w="965"/>
        <w:gridCol w:w="1113"/>
        <w:gridCol w:w="1500"/>
      </w:tblGrid>
      <w:tr w:rsidR="00BB501C" w:rsidRPr="00CE07DF" w14:paraId="54CC1AEF" w14:textId="77777777">
        <w:trPr>
          <w:trHeight w:val="765"/>
        </w:trPr>
        <w:tc>
          <w:tcPr>
            <w:tcW w:w="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A3599" w14:textId="77777777" w:rsidR="006E0914" w:rsidRPr="00CE07DF" w:rsidRDefault="00F13BA1">
            <w:pPr>
              <w:spacing w:after="160"/>
            </w:pPr>
            <w:r w:rsidRPr="00CE07DF">
              <w:t>Förpackningar av (kg per invånare)</w:t>
            </w: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E607" w14:textId="1A65E6D0" w:rsidR="006E0914" w:rsidRPr="00CE07DF" w:rsidRDefault="00F13BA1">
            <w:pPr>
              <w:spacing w:after="160"/>
            </w:pPr>
            <w:r w:rsidRPr="00CE07DF">
              <w:t>GLAS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38444" w14:textId="711974D7" w:rsidR="006E0914" w:rsidRPr="00CE07DF" w:rsidRDefault="00F13BA1">
            <w:pPr>
              <w:spacing w:after="160"/>
            </w:pPr>
            <w:r w:rsidRPr="00CE07DF">
              <w:t>PAPPER</w:t>
            </w:r>
          </w:p>
        </w:tc>
        <w:tc>
          <w:tcPr>
            <w:tcW w:w="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609DB" w14:textId="0B4C68B9" w:rsidR="006E0914" w:rsidRPr="00CE07DF" w:rsidRDefault="00F13BA1">
            <w:pPr>
              <w:spacing w:after="160"/>
            </w:pPr>
            <w:r w:rsidRPr="00CE07DF">
              <w:t>PLAST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4F8A3" w14:textId="7523C335" w:rsidR="006E0914" w:rsidRPr="00CE07DF" w:rsidRDefault="00F13BA1">
            <w:pPr>
              <w:spacing w:after="160"/>
            </w:pPr>
            <w:r w:rsidRPr="00CE07DF">
              <w:t>METALL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37C80" w14:textId="77777777" w:rsidR="006E0914" w:rsidRPr="00CE07DF" w:rsidRDefault="00F13BA1">
            <w:pPr>
              <w:spacing w:after="160"/>
            </w:pPr>
            <w:r w:rsidRPr="00CE07DF">
              <w:t>TOTALT</w:t>
            </w:r>
          </w:p>
        </w:tc>
      </w:tr>
      <w:tr w:rsidR="00BB501C" w:rsidRPr="00CE07DF" w14:paraId="30D822C7" w14:textId="77777777">
        <w:trPr>
          <w:trHeight w:val="495"/>
        </w:trPr>
        <w:tc>
          <w:tcPr>
            <w:tcW w:w="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13E6" w14:textId="77777777" w:rsidR="006E0914" w:rsidRPr="00CE07DF" w:rsidRDefault="00F13BA1">
            <w:pPr>
              <w:spacing w:after="160"/>
            </w:pPr>
            <w:r w:rsidRPr="00CE07DF">
              <w:t>2022</w:t>
            </w: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268F" w14:textId="25FD5E3A" w:rsidR="006E0914" w:rsidRPr="00CE07DF" w:rsidRDefault="001C796E">
            <w:pPr>
              <w:spacing w:after="160"/>
            </w:pPr>
            <w:r w:rsidRPr="00CE07DF">
              <w:t>22,2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E2B24" w14:textId="0E58489E" w:rsidR="006E0914" w:rsidRPr="00CE07DF" w:rsidRDefault="001C796E">
            <w:pPr>
              <w:spacing w:after="160"/>
            </w:pPr>
            <w:r w:rsidRPr="00CE07DF">
              <w:t>17,5</w:t>
            </w:r>
          </w:p>
        </w:tc>
        <w:tc>
          <w:tcPr>
            <w:tcW w:w="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9F333" w14:textId="3BBCC08B" w:rsidR="006E0914" w:rsidRPr="00CE07DF" w:rsidRDefault="001C796E">
            <w:pPr>
              <w:spacing w:after="160"/>
            </w:pPr>
            <w:r w:rsidRPr="00CE07DF">
              <w:t>9,0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3AD51" w14:textId="223F3C33" w:rsidR="006E0914" w:rsidRPr="00CE07DF" w:rsidRDefault="001C796E">
            <w:pPr>
              <w:spacing w:after="160"/>
            </w:pPr>
            <w:r w:rsidRPr="00CE07DF">
              <w:t>1,7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CC255" w14:textId="18E72D49" w:rsidR="006E0914" w:rsidRPr="00CE07DF" w:rsidRDefault="00A55E90">
            <w:pPr>
              <w:spacing w:after="160"/>
            </w:pPr>
            <w:r w:rsidRPr="00CE07DF">
              <w:t>50,4</w:t>
            </w:r>
          </w:p>
        </w:tc>
      </w:tr>
      <w:tr w:rsidR="00BB501C" w:rsidRPr="00CE07DF" w14:paraId="13D5CDB5" w14:textId="77777777">
        <w:trPr>
          <w:trHeight w:val="495"/>
        </w:trPr>
        <w:tc>
          <w:tcPr>
            <w:tcW w:w="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F558" w14:textId="27D290C9" w:rsidR="006E0914" w:rsidRPr="00CE07DF" w:rsidRDefault="00A42412">
            <w:pPr>
              <w:spacing w:after="160"/>
            </w:pPr>
            <w:r w:rsidRPr="00CE07DF">
              <w:t>2018</w:t>
            </w: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334FF" w14:textId="15D97B9C" w:rsidR="006E0914" w:rsidRPr="00CE07DF" w:rsidRDefault="001C796E">
            <w:pPr>
              <w:spacing w:after="160"/>
            </w:pPr>
            <w:r w:rsidRPr="00CE07DF">
              <w:t>21,8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4D037" w14:textId="2CD1711A" w:rsidR="006E0914" w:rsidRPr="00CE07DF" w:rsidRDefault="001C796E">
            <w:pPr>
              <w:spacing w:after="160"/>
            </w:pPr>
            <w:r w:rsidRPr="00CE07DF">
              <w:t>14,1</w:t>
            </w:r>
          </w:p>
        </w:tc>
        <w:tc>
          <w:tcPr>
            <w:tcW w:w="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47C96" w14:textId="110026E4" w:rsidR="006E0914" w:rsidRPr="00CE07DF" w:rsidRDefault="001C796E">
            <w:pPr>
              <w:spacing w:after="160"/>
            </w:pPr>
            <w:r w:rsidRPr="00CE07DF">
              <w:t>7,6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C5F95" w14:textId="1826170E" w:rsidR="006E0914" w:rsidRPr="00CE07DF" w:rsidRDefault="001C796E">
            <w:pPr>
              <w:spacing w:after="160"/>
            </w:pPr>
            <w:r w:rsidRPr="00CE07DF">
              <w:t>1,7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BAFD8" w14:textId="7E1495EF" w:rsidR="006E0914" w:rsidRPr="00CE07DF" w:rsidRDefault="00A55E90">
            <w:pPr>
              <w:spacing w:after="160"/>
            </w:pPr>
            <w:r w:rsidRPr="00CE07DF">
              <w:t>45,2</w:t>
            </w:r>
          </w:p>
        </w:tc>
      </w:tr>
      <w:tr w:rsidR="00BB501C" w:rsidRPr="00CE07DF" w14:paraId="5A836261" w14:textId="77777777" w:rsidTr="00A42412">
        <w:trPr>
          <w:trHeight w:val="495"/>
        </w:trPr>
        <w:tc>
          <w:tcPr>
            <w:tcW w:w="34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4DF6" w14:textId="3328165B" w:rsidR="00A42412" w:rsidRPr="00CE07DF" w:rsidRDefault="00A42412" w:rsidP="00F13BA1">
            <w:pPr>
              <w:spacing w:after="160"/>
            </w:pPr>
            <w:r w:rsidRPr="00CE07DF">
              <w:t>201</w:t>
            </w:r>
            <w:r w:rsidR="00E269B7" w:rsidRPr="00CE07DF">
              <w:t>3</w:t>
            </w:r>
          </w:p>
        </w:tc>
        <w:tc>
          <w:tcPr>
            <w:tcW w:w="8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F8412" w14:textId="3DAC747F" w:rsidR="00A42412" w:rsidRPr="00CE07DF" w:rsidRDefault="001C796E" w:rsidP="00F13BA1">
            <w:pPr>
              <w:spacing w:after="160"/>
            </w:pPr>
            <w:r w:rsidRPr="00CE07DF">
              <w:t>19,5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9F19" w14:textId="4AC73960" w:rsidR="00A42412" w:rsidRPr="00CE07DF" w:rsidRDefault="001C796E" w:rsidP="00F13BA1">
            <w:pPr>
              <w:spacing w:after="160"/>
            </w:pPr>
            <w:r w:rsidRPr="00CE07DF">
              <w:t>12,4</w:t>
            </w:r>
          </w:p>
        </w:tc>
        <w:tc>
          <w:tcPr>
            <w:tcW w:w="9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665F6" w14:textId="4AD74781" w:rsidR="00A42412" w:rsidRPr="00CE07DF" w:rsidRDefault="001C796E" w:rsidP="00F13BA1">
            <w:pPr>
              <w:spacing w:after="160"/>
            </w:pPr>
            <w:r w:rsidRPr="00CE07DF">
              <w:t>5,3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26D13" w14:textId="0D7CDE44" w:rsidR="00A42412" w:rsidRPr="00CE07DF" w:rsidRDefault="001C796E" w:rsidP="00F13BA1">
            <w:pPr>
              <w:spacing w:after="160"/>
            </w:pPr>
            <w:r w:rsidRPr="00CE07DF">
              <w:t>1,6</w:t>
            </w:r>
          </w:p>
        </w:tc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F6286" w14:textId="013013A1" w:rsidR="00A42412" w:rsidRPr="00CE07DF" w:rsidRDefault="00A55E90" w:rsidP="00F13BA1">
            <w:pPr>
              <w:spacing w:after="160"/>
            </w:pPr>
            <w:r w:rsidRPr="00CE07DF">
              <w:t>38,8</w:t>
            </w:r>
          </w:p>
        </w:tc>
      </w:tr>
    </w:tbl>
    <w:p w14:paraId="4388BD67" w14:textId="77777777" w:rsidR="006E0914" w:rsidRPr="00CE07DF" w:rsidRDefault="006E0914" w:rsidP="00E269B7"/>
    <w:p w14:paraId="6FD6F2A1" w14:textId="750E1877" w:rsidR="006E0914" w:rsidRPr="00CE07DF" w:rsidRDefault="00F13BA1">
      <w:pPr>
        <w:jc w:val="center"/>
      </w:pPr>
      <w:r w:rsidRPr="00CE07DF">
        <w:t>---</w:t>
      </w:r>
    </w:p>
    <w:p w14:paraId="38CD7F32" w14:textId="77777777" w:rsidR="00A42412" w:rsidRPr="00CE07DF" w:rsidRDefault="00A42412">
      <w:pPr>
        <w:jc w:val="center"/>
        <w:rPr>
          <w:i/>
        </w:rPr>
      </w:pPr>
    </w:p>
    <w:p w14:paraId="2426FF01" w14:textId="54218CD3" w:rsidR="006E0914" w:rsidRPr="00CE07DF" w:rsidRDefault="00F13BA1">
      <w:pPr>
        <w:rPr>
          <w:i/>
          <w:color w:val="444444"/>
          <w:sz w:val="27"/>
          <w:szCs w:val="27"/>
        </w:rPr>
      </w:pPr>
      <w:r w:rsidRPr="00CE07DF">
        <w:rPr>
          <w:b/>
          <w:sz w:val="18"/>
          <w:szCs w:val="18"/>
        </w:rPr>
        <w:t xml:space="preserve">För mer insamlingsstatistik och resultat per kommun, besök: </w:t>
      </w:r>
      <w:hyperlink r:id="rId11" w:history="1">
        <w:r w:rsidR="00E75E12" w:rsidRPr="008B3304">
          <w:rPr>
            <w:rStyle w:val="Hyperlnk"/>
            <w:bCs/>
            <w:sz w:val="18"/>
            <w:szCs w:val="18"/>
          </w:rPr>
          <w:t>https://fti.se/om-fti/statistik#insamlingsstatistik</w:t>
        </w:r>
      </w:hyperlink>
      <w:r w:rsidR="00E75E12">
        <w:rPr>
          <w:sz w:val="18"/>
          <w:szCs w:val="18"/>
        </w:rPr>
        <w:t xml:space="preserve"> </w:t>
      </w:r>
    </w:p>
    <w:p w14:paraId="07118E3A" w14:textId="77777777" w:rsidR="006E0914" w:rsidRPr="00CE07DF" w:rsidRDefault="006E0914">
      <w:pPr>
        <w:rPr>
          <w:i/>
          <w:color w:val="444444"/>
          <w:sz w:val="27"/>
          <w:szCs w:val="27"/>
        </w:rPr>
      </w:pPr>
    </w:p>
    <w:p w14:paraId="4789F7C6" w14:textId="77777777" w:rsidR="006E0914" w:rsidRPr="00CE07DF" w:rsidRDefault="00F13BA1">
      <w:pPr>
        <w:rPr>
          <w:b/>
          <w:sz w:val="18"/>
          <w:szCs w:val="18"/>
        </w:rPr>
      </w:pPr>
      <w:r w:rsidRPr="00CE07DF">
        <w:rPr>
          <w:b/>
          <w:sz w:val="18"/>
          <w:szCs w:val="18"/>
        </w:rPr>
        <w:t>För ytterligare information, vänligen kontakta:</w:t>
      </w:r>
    </w:p>
    <w:p w14:paraId="56ED3364" w14:textId="3FD6FD09" w:rsidR="0079638E" w:rsidRPr="00CE07DF" w:rsidRDefault="008728E2">
      <w:pPr>
        <w:rPr>
          <w:sz w:val="18"/>
          <w:szCs w:val="18"/>
        </w:rPr>
      </w:pPr>
      <w:r w:rsidRPr="00CE07DF">
        <w:rPr>
          <w:sz w:val="18"/>
          <w:szCs w:val="18"/>
        </w:rPr>
        <w:t xml:space="preserve">Mikael Edenqvist, </w:t>
      </w:r>
      <w:r w:rsidR="1DE17577" w:rsidRPr="00CE07DF">
        <w:rPr>
          <w:sz w:val="18"/>
          <w:szCs w:val="18"/>
        </w:rPr>
        <w:t xml:space="preserve">chef </w:t>
      </w:r>
      <w:r w:rsidR="00136F6C" w:rsidRPr="00CE07DF">
        <w:rPr>
          <w:sz w:val="18"/>
          <w:szCs w:val="18"/>
        </w:rPr>
        <w:t>region</w:t>
      </w:r>
      <w:r w:rsidR="3412689B" w:rsidRPr="00CE07DF">
        <w:rPr>
          <w:sz w:val="18"/>
          <w:szCs w:val="18"/>
        </w:rPr>
        <w:t>er</w:t>
      </w:r>
      <w:r w:rsidR="0079638E" w:rsidRPr="00CE07DF">
        <w:rPr>
          <w:sz w:val="18"/>
          <w:szCs w:val="18"/>
        </w:rPr>
        <w:t xml:space="preserve"> Förpackningsinsamlingen, </w:t>
      </w:r>
      <w:hyperlink r:id="rId12" w:history="1">
        <w:r w:rsidR="0079638E" w:rsidRPr="00CE07DF">
          <w:rPr>
            <w:rStyle w:val="Hyperlnk"/>
            <w:sz w:val="18"/>
            <w:szCs w:val="18"/>
          </w:rPr>
          <w:t>mikael.edenqvist@ftiab.se</w:t>
        </w:r>
      </w:hyperlink>
      <w:r w:rsidR="0079638E" w:rsidRPr="00CE07DF">
        <w:rPr>
          <w:sz w:val="18"/>
          <w:szCs w:val="18"/>
        </w:rPr>
        <w:t xml:space="preserve"> </w:t>
      </w:r>
    </w:p>
    <w:p w14:paraId="12F34352" w14:textId="5E8D3809" w:rsidR="006E0914" w:rsidRPr="00CE07DF" w:rsidRDefault="00F13BA1">
      <w:pPr>
        <w:rPr>
          <w:sz w:val="18"/>
          <w:szCs w:val="18"/>
        </w:rPr>
      </w:pPr>
      <w:r w:rsidRPr="00CE07DF">
        <w:rPr>
          <w:i/>
          <w:color w:val="444444"/>
          <w:sz w:val="27"/>
          <w:szCs w:val="27"/>
        </w:rPr>
        <w:br/>
      </w:r>
      <w:r w:rsidRPr="00CE07DF">
        <w:rPr>
          <w:b/>
          <w:sz w:val="18"/>
          <w:szCs w:val="18"/>
        </w:rPr>
        <w:t>Information om insamlingsstatistiken:</w:t>
      </w:r>
      <w:r w:rsidRPr="00CE07DF">
        <w:rPr>
          <w:sz w:val="18"/>
          <w:szCs w:val="18"/>
        </w:rPr>
        <w:br/>
        <w:t>Insamlingsstatistiken baseras på inrapporterade mängder förpackningar som svenska hushåll har lämnat till återvinning på någon av FTI:s cirka 5000 återvinningsstationer eller från de ca två miljoner hushåll med fastighetsnära insamling, där förpackningarna samlas in av FTI. De</w:t>
      </w:r>
      <w:r w:rsidR="00950286" w:rsidRPr="00CE07DF">
        <w:rPr>
          <w:sz w:val="18"/>
          <w:szCs w:val="18"/>
        </w:rPr>
        <w:t xml:space="preserve"> förpackningar</w:t>
      </w:r>
      <w:r w:rsidR="004455F4" w:rsidRPr="00CE07DF">
        <w:rPr>
          <w:sz w:val="18"/>
          <w:szCs w:val="18"/>
        </w:rPr>
        <w:t xml:space="preserve"> </w:t>
      </w:r>
      <w:r w:rsidRPr="00CE07DF">
        <w:rPr>
          <w:sz w:val="18"/>
          <w:szCs w:val="18"/>
        </w:rPr>
        <w:t>FTI samlar in tas om hand och återvinns av våra ägare</w:t>
      </w:r>
      <w:r w:rsidR="00950286" w:rsidRPr="00CE07DF">
        <w:rPr>
          <w:sz w:val="18"/>
          <w:szCs w:val="18"/>
        </w:rPr>
        <w:t xml:space="preserve"> i materialbolagen</w:t>
      </w:r>
      <w:r w:rsidRPr="00CE07DF">
        <w:rPr>
          <w:sz w:val="18"/>
          <w:szCs w:val="18"/>
        </w:rPr>
        <w:t xml:space="preserve"> för att så mycket som möjligt ska kunna återvinnas till nya förpackningar eller produkter.</w:t>
      </w:r>
      <w:r w:rsidRPr="00CE07DF">
        <w:rPr>
          <w:sz w:val="18"/>
          <w:szCs w:val="18"/>
        </w:rPr>
        <w:br/>
      </w:r>
      <w:r w:rsidRPr="00CE07DF">
        <w:rPr>
          <w:sz w:val="18"/>
          <w:szCs w:val="18"/>
        </w:rPr>
        <w:br/>
        <w:t>På FTI:s webbsida, fti.se, redovisas uppgifter om mängden förpackningar som tömningsentreprenörerna har rapporterat in i varje kommun, fördelat på antal invånare i kommunen. Statistiken anges i kilo per fast boende invånare och år (per 31 december samma år). Statistiken är inte jämförbar mellan kommuner, bland annat med anledning av att:</w:t>
      </w:r>
    </w:p>
    <w:p w14:paraId="196A52D8" w14:textId="77777777" w:rsidR="006E0914" w:rsidRPr="00CE07DF" w:rsidRDefault="00F13BA1">
      <w:pPr>
        <w:numPr>
          <w:ilvl w:val="0"/>
          <w:numId w:val="1"/>
        </w:numPr>
        <w:shd w:val="clear" w:color="auto" w:fill="FFFFFF"/>
        <w:spacing w:before="480"/>
        <w:rPr>
          <w:sz w:val="18"/>
          <w:szCs w:val="18"/>
        </w:rPr>
      </w:pPr>
      <w:r w:rsidRPr="00CE07DF">
        <w:rPr>
          <w:sz w:val="18"/>
          <w:szCs w:val="18"/>
        </w:rPr>
        <w:t>Boende i en kommun kan lämna sina förpackningar i andra kommuner än hemkommunen, till exempel i samband med inköps- eller arbetsresor eller vid fritidsboende i andra kommuner.</w:t>
      </w:r>
    </w:p>
    <w:p w14:paraId="1EF8E8D6" w14:textId="68160ECB" w:rsidR="006E0914" w:rsidRPr="00CE07DF" w:rsidRDefault="00F13BA1">
      <w:pPr>
        <w:numPr>
          <w:ilvl w:val="0"/>
          <w:numId w:val="1"/>
        </w:numPr>
        <w:shd w:val="clear" w:color="auto" w:fill="FFFFFF"/>
        <w:rPr>
          <w:sz w:val="18"/>
          <w:szCs w:val="18"/>
        </w:rPr>
      </w:pPr>
      <w:r w:rsidRPr="00CE07DF">
        <w:rPr>
          <w:sz w:val="18"/>
          <w:szCs w:val="18"/>
        </w:rPr>
        <w:t xml:space="preserve">Miljöoptimerade transporter medför att entreprenörernas tömningsbilar kör </w:t>
      </w:r>
      <w:r w:rsidR="00DE27E0" w:rsidRPr="00CE07DF">
        <w:rPr>
          <w:sz w:val="18"/>
          <w:szCs w:val="18"/>
        </w:rPr>
        <w:t xml:space="preserve">insamlat </w:t>
      </w:r>
      <w:r w:rsidR="003D3568" w:rsidRPr="00CE07DF">
        <w:rPr>
          <w:sz w:val="18"/>
          <w:szCs w:val="18"/>
        </w:rPr>
        <w:t>förpacknings</w:t>
      </w:r>
      <w:r w:rsidR="00DE27E0" w:rsidRPr="00CE07DF">
        <w:rPr>
          <w:sz w:val="18"/>
          <w:szCs w:val="18"/>
        </w:rPr>
        <w:t xml:space="preserve">material </w:t>
      </w:r>
      <w:r w:rsidRPr="00CE07DF">
        <w:rPr>
          <w:sz w:val="18"/>
          <w:szCs w:val="18"/>
        </w:rPr>
        <w:t>över kommungränser.</w:t>
      </w:r>
    </w:p>
    <w:p w14:paraId="4E090E57" w14:textId="77777777" w:rsidR="006E0914" w:rsidRPr="00CE07DF" w:rsidRDefault="00F13BA1">
      <w:pPr>
        <w:numPr>
          <w:ilvl w:val="0"/>
          <w:numId w:val="1"/>
        </w:numPr>
        <w:shd w:val="clear" w:color="auto" w:fill="FFFFFF"/>
        <w:rPr>
          <w:sz w:val="18"/>
          <w:szCs w:val="18"/>
        </w:rPr>
      </w:pPr>
      <w:r w:rsidRPr="00CE07DF">
        <w:rPr>
          <w:sz w:val="18"/>
          <w:szCs w:val="18"/>
        </w:rPr>
        <w:t>Det kan finnas lokala återvinningslösningar som gör att förpackningarna inte ingår i FTI:s statistik.</w:t>
      </w:r>
    </w:p>
    <w:p w14:paraId="00DB52EE" w14:textId="6AABA269" w:rsidR="006D5BBA" w:rsidRPr="00CE07DF" w:rsidRDefault="00F13BA1">
      <w:pPr>
        <w:numPr>
          <w:ilvl w:val="0"/>
          <w:numId w:val="1"/>
        </w:numPr>
        <w:shd w:val="clear" w:color="auto" w:fill="FFFFFF"/>
        <w:rPr>
          <w:sz w:val="18"/>
          <w:szCs w:val="18"/>
        </w:rPr>
      </w:pPr>
      <w:r w:rsidRPr="00CE07DF">
        <w:rPr>
          <w:sz w:val="18"/>
          <w:szCs w:val="18"/>
        </w:rPr>
        <w:t>Turistnäring kan påverka insamlingsresultat</w:t>
      </w:r>
      <w:r w:rsidR="009B45DE" w:rsidRPr="00CE07DF">
        <w:rPr>
          <w:sz w:val="18"/>
          <w:szCs w:val="18"/>
        </w:rPr>
        <w:t>et</w:t>
      </w:r>
      <w:r w:rsidRPr="00CE07DF">
        <w:rPr>
          <w:sz w:val="18"/>
          <w:szCs w:val="18"/>
        </w:rPr>
        <w:t>.</w:t>
      </w:r>
    </w:p>
    <w:p w14:paraId="4C780D13" w14:textId="55827A9F" w:rsidR="006E0914" w:rsidRPr="00CE07DF" w:rsidRDefault="00F13BA1" w:rsidP="00E269B7">
      <w:pPr>
        <w:shd w:val="clear" w:color="auto" w:fill="FFFFFF"/>
        <w:rPr>
          <w:sz w:val="18"/>
          <w:szCs w:val="18"/>
        </w:rPr>
      </w:pPr>
      <w:r w:rsidRPr="00CE07DF">
        <w:rPr>
          <w:sz w:val="18"/>
          <w:szCs w:val="18"/>
        </w:rPr>
        <w:br/>
        <w:t>Vi avråder därför från att använda statistiken till kommunvisa jämförelser.</w:t>
      </w:r>
    </w:p>
    <w:p w14:paraId="349A7A34" w14:textId="77777777" w:rsidR="006E0914" w:rsidRPr="00CE07DF" w:rsidRDefault="006E0914">
      <w:pPr>
        <w:rPr>
          <w:b/>
          <w:sz w:val="18"/>
          <w:szCs w:val="18"/>
        </w:rPr>
      </w:pPr>
    </w:p>
    <w:p w14:paraId="4E92AC8C" w14:textId="3935282D" w:rsidR="258B134C" w:rsidRPr="00CE07DF" w:rsidRDefault="258B134C">
      <w:pPr>
        <w:rPr>
          <w:b/>
          <w:bCs/>
          <w:sz w:val="18"/>
          <w:szCs w:val="18"/>
        </w:rPr>
      </w:pPr>
      <w:r w:rsidRPr="00CE07DF">
        <w:rPr>
          <w:b/>
          <w:bCs/>
          <w:sz w:val="18"/>
          <w:szCs w:val="18"/>
        </w:rPr>
        <w:t>Statistik för återvinningsgrader</w:t>
      </w:r>
    </w:p>
    <w:p w14:paraId="79895495" w14:textId="13E022B9" w:rsidR="258B134C" w:rsidRPr="00CE07DF" w:rsidRDefault="00804610">
      <w:pPr>
        <w:rPr>
          <w:sz w:val="18"/>
          <w:szCs w:val="18"/>
        </w:rPr>
      </w:pPr>
      <w:r w:rsidRPr="00CE07DF">
        <w:rPr>
          <w:sz w:val="18"/>
          <w:szCs w:val="18"/>
        </w:rPr>
        <w:t>I</w:t>
      </w:r>
      <w:r w:rsidR="258B134C" w:rsidRPr="00CE07DF">
        <w:rPr>
          <w:sz w:val="18"/>
          <w:szCs w:val="18"/>
        </w:rPr>
        <w:t xml:space="preserve">nsamlingsstatistiken redogör för </w:t>
      </w:r>
      <w:r w:rsidR="005F0FE2" w:rsidRPr="00CE07DF">
        <w:rPr>
          <w:sz w:val="18"/>
          <w:szCs w:val="18"/>
        </w:rPr>
        <w:t>mängden förpackningar som samlats in för återvinning i FTI:s insamlingssystem</w:t>
      </w:r>
      <w:r w:rsidR="258B134C" w:rsidRPr="00CE07DF">
        <w:rPr>
          <w:sz w:val="18"/>
          <w:szCs w:val="18"/>
        </w:rPr>
        <w:t>. Senare i år presenterar FTI statistik för materialåtervinningsgraden, som visar hur mycket av det insamlade materialet som har återvunnits.</w:t>
      </w:r>
    </w:p>
    <w:p w14:paraId="7BB530B1" w14:textId="49B99D0F" w:rsidR="642FAC5A" w:rsidRPr="00CE07DF" w:rsidRDefault="642FAC5A" w:rsidP="642FAC5A">
      <w:pPr>
        <w:rPr>
          <w:sz w:val="18"/>
          <w:szCs w:val="18"/>
        </w:rPr>
      </w:pPr>
    </w:p>
    <w:p w14:paraId="254EF0BD" w14:textId="77777777" w:rsidR="006E0914" w:rsidRPr="00CE07DF" w:rsidRDefault="00F13BA1">
      <w:pPr>
        <w:rPr>
          <w:b/>
          <w:sz w:val="18"/>
          <w:szCs w:val="18"/>
        </w:rPr>
      </w:pPr>
      <w:r w:rsidRPr="00CE07DF">
        <w:rPr>
          <w:b/>
          <w:sz w:val="18"/>
          <w:szCs w:val="18"/>
        </w:rPr>
        <w:t>Om Förpackningsinsamlingen</w:t>
      </w:r>
    </w:p>
    <w:p w14:paraId="60763FF3" w14:textId="359795D5" w:rsidR="006E0914" w:rsidRDefault="00F13BA1">
      <w:pPr>
        <w:rPr>
          <w:i/>
          <w:sz w:val="18"/>
          <w:szCs w:val="18"/>
        </w:rPr>
      </w:pPr>
      <w:proofErr w:type="spellStart"/>
      <w:r w:rsidRPr="00CE07DF">
        <w:rPr>
          <w:sz w:val="18"/>
          <w:szCs w:val="18"/>
        </w:rPr>
        <w:t>Förpackningsinsamlingen</w:t>
      </w:r>
      <w:proofErr w:type="spellEnd"/>
      <w:r w:rsidRPr="00CE07DF">
        <w:rPr>
          <w:sz w:val="18"/>
          <w:szCs w:val="18"/>
        </w:rPr>
        <w:t xml:space="preserve"> (</w:t>
      </w:r>
      <w:proofErr w:type="spellStart"/>
      <w:r w:rsidRPr="00CE07DF">
        <w:rPr>
          <w:sz w:val="18"/>
          <w:szCs w:val="18"/>
        </w:rPr>
        <w:t>FTI</w:t>
      </w:r>
      <w:proofErr w:type="spellEnd"/>
      <w:r w:rsidRPr="00CE07DF">
        <w:rPr>
          <w:sz w:val="18"/>
          <w:szCs w:val="18"/>
        </w:rPr>
        <w:t xml:space="preserve">) ansvarar </w:t>
      </w:r>
      <w:proofErr w:type="spellStart"/>
      <w:r w:rsidRPr="00CE07DF">
        <w:rPr>
          <w:sz w:val="18"/>
          <w:szCs w:val="18"/>
        </w:rPr>
        <w:t>för</w:t>
      </w:r>
      <w:proofErr w:type="spellEnd"/>
      <w:r w:rsidRPr="00CE07DF">
        <w:rPr>
          <w:sz w:val="18"/>
          <w:szCs w:val="18"/>
        </w:rPr>
        <w:t xml:space="preserve"> insamling av </w:t>
      </w:r>
      <w:proofErr w:type="spellStart"/>
      <w:r w:rsidRPr="00CE07DF">
        <w:rPr>
          <w:sz w:val="18"/>
          <w:szCs w:val="18"/>
        </w:rPr>
        <w:t>förpackningar</w:t>
      </w:r>
      <w:proofErr w:type="spellEnd"/>
      <w:r w:rsidRPr="00CE07DF">
        <w:rPr>
          <w:sz w:val="18"/>
          <w:szCs w:val="18"/>
        </w:rPr>
        <w:t xml:space="preserve"> </w:t>
      </w:r>
      <w:proofErr w:type="spellStart"/>
      <w:r w:rsidRPr="00CE07DF">
        <w:rPr>
          <w:sz w:val="18"/>
          <w:szCs w:val="18"/>
        </w:rPr>
        <w:t>från</w:t>
      </w:r>
      <w:proofErr w:type="spellEnd"/>
      <w:r w:rsidRPr="00CE07DF">
        <w:rPr>
          <w:sz w:val="18"/>
          <w:szCs w:val="18"/>
        </w:rPr>
        <w:t xml:space="preserve"> landets </w:t>
      </w:r>
      <w:proofErr w:type="spellStart"/>
      <w:r w:rsidRPr="00CE07DF">
        <w:rPr>
          <w:sz w:val="18"/>
          <w:szCs w:val="18"/>
        </w:rPr>
        <w:t>hushåll</w:t>
      </w:r>
      <w:proofErr w:type="spellEnd"/>
      <w:r w:rsidRPr="00CE07DF">
        <w:rPr>
          <w:sz w:val="18"/>
          <w:szCs w:val="18"/>
        </w:rPr>
        <w:t xml:space="preserve"> via </w:t>
      </w:r>
      <w:proofErr w:type="spellStart"/>
      <w:r w:rsidRPr="00CE07DF">
        <w:rPr>
          <w:sz w:val="18"/>
          <w:szCs w:val="18"/>
        </w:rPr>
        <w:t>återvinningsstationer</w:t>
      </w:r>
      <w:proofErr w:type="spellEnd"/>
      <w:r w:rsidRPr="00CE07DF">
        <w:rPr>
          <w:sz w:val="18"/>
          <w:szCs w:val="18"/>
        </w:rPr>
        <w:t xml:space="preserve"> och </w:t>
      </w:r>
      <w:proofErr w:type="spellStart"/>
      <w:r w:rsidRPr="00CE07DF">
        <w:rPr>
          <w:sz w:val="18"/>
          <w:szCs w:val="18"/>
        </w:rPr>
        <w:t>fastighetsnära</w:t>
      </w:r>
      <w:proofErr w:type="spellEnd"/>
      <w:r w:rsidRPr="00CE07DF">
        <w:rPr>
          <w:sz w:val="18"/>
          <w:szCs w:val="18"/>
        </w:rPr>
        <w:t xml:space="preserve"> insamlingsplatser. </w:t>
      </w:r>
      <w:proofErr w:type="spellStart"/>
      <w:r w:rsidRPr="00CE07DF">
        <w:rPr>
          <w:sz w:val="18"/>
          <w:szCs w:val="18"/>
        </w:rPr>
        <w:t>FTI</w:t>
      </w:r>
      <w:proofErr w:type="spellEnd"/>
      <w:r w:rsidRPr="00CE07DF">
        <w:rPr>
          <w:sz w:val="18"/>
          <w:szCs w:val="18"/>
        </w:rPr>
        <w:t xml:space="preserve"> </w:t>
      </w:r>
      <w:proofErr w:type="spellStart"/>
      <w:r w:rsidRPr="00CE07DF">
        <w:rPr>
          <w:sz w:val="18"/>
          <w:szCs w:val="18"/>
        </w:rPr>
        <w:t>ägs</w:t>
      </w:r>
      <w:proofErr w:type="spellEnd"/>
      <w:r w:rsidRPr="00CE07DF">
        <w:rPr>
          <w:sz w:val="18"/>
          <w:szCs w:val="18"/>
        </w:rPr>
        <w:t xml:space="preserve"> av fyra materialbolag; Svensk </w:t>
      </w:r>
      <w:proofErr w:type="spellStart"/>
      <w:r w:rsidRPr="00CE07DF">
        <w:rPr>
          <w:sz w:val="18"/>
          <w:szCs w:val="18"/>
        </w:rPr>
        <w:t>Plaståtervinning</w:t>
      </w:r>
      <w:proofErr w:type="spellEnd"/>
      <w:r w:rsidRPr="00CE07DF">
        <w:rPr>
          <w:sz w:val="18"/>
          <w:szCs w:val="18"/>
        </w:rPr>
        <w:t>, Returkartong</w:t>
      </w:r>
      <w:r w:rsidR="00414EA8" w:rsidRPr="00CE07DF">
        <w:rPr>
          <w:sz w:val="18"/>
          <w:szCs w:val="18"/>
        </w:rPr>
        <w:t xml:space="preserve">, Metallkretsen </w:t>
      </w:r>
      <w:r w:rsidRPr="00CE07DF">
        <w:rPr>
          <w:sz w:val="18"/>
          <w:szCs w:val="18"/>
        </w:rPr>
        <w:t xml:space="preserve">och Svensk </w:t>
      </w:r>
      <w:proofErr w:type="spellStart"/>
      <w:r w:rsidRPr="00CE07DF">
        <w:rPr>
          <w:sz w:val="18"/>
          <w:szCs w:val="18"/>
        </w:rPr>
        <w:t>Glasåtervinning</w:t>
      </w:r>
      <w:proofErr w:type="spellEnd"/>
      <w:r w:rsidRPr="00CE07DF">
        <w:rPr>
          <w:sz w:val="18"/>
          <w:szCs w:val="18"/>
        </w:rPr>
        <w:t xml:space="preserve">, som i sin tur </w:t>
      </w:r>
      <w:proofErr w:type="spellStart"/>
      <w:r w:rsidRPr="00CE07DF">
        <w:rPr>
          <w:sz w:val="18"/>
          <w:szCs w:val="18"/>
        </w:rPr>
        <w:t>ägs</w:t>
      </w:r>
      <w:proofErr w:type="spellEnd"/>
      <w:r w:rsidRPr="00CE07DF">
        <w:rPr>
          <w:sz w:val="18"/>
          <w:szCs w:val="18"/>
        </w:rPr>
        <w:t xml:space="preserve"> av </w:t>
      </w:r>
      <w:r w:rsidRPr="00CE07DF">
        <w:rPr>
          <w:sz w:val="18"/>
          <w:szCs w:val="18"/>
        </w:rPr>
        <w:lastRenderedPageBreak/>
        <w:t xml:space="preserve">branschorganisationer och </w:t>
      </w:r>
      <w:proofErr w:type="spellStart"/>
      <w:r w:rsidRPr="00CE07DF">
        <w:rPr>
          <w:sz w:val="18"/>
          <w:szCs w:val="18"/>
        </w:rPr>
        <w:t>företag</w:t>
      </w:r>
      <w:proofErr w:type="spellEnd"/>
      <w:r w:rsidRPr="00CE07DF">
        <w:rPr>
          <w:sz w:val="18"/>
          <w:szCs w:val="18"/>
        </w:rPr>
        <w:t xml:space="preserve"> som tillverkar, </w:t>
      </w:r>
      <w:proofErr w:type="spellStart"/>
      <w:r w:rsidRPr="00CE07DF">
        <w:rPr>
          <w:sz w:val="18"/>
          <w:szCs w:val="18"/>
        </w:rPr>
        <w:t>säljer</w:t>
      </w:r>
      <w:proofErr w:type="spellEnd"/>
      <w:r w:rsidRPr="00CE07DF">
        <w:rPr>
          <w:sz w:val="18"/>
          <w:szCs w:val="18"/>
        </w:rPr>
        <w:t xml:space="preserve">, fyller eller </w:t>
      </w:r>
      <w:proofErr w:type="spellStart"/>
      <w:r w:rsidRPr="00CE07DF">
        <w:rPr>
          <w:sz w:val="18"/>
          <w:szCs w:val="18"/>
        </w:rPr>
        <w:t>återvinner</w:t>
      </w:r>
      <w:proofErr w:type="spellEnd"/>
      <w:r w:rsidRPr="00CE07DF">
        <w:rPr>
          <w:sz w:val="18"/>
          <w:szCs w:val="18"/>
        </w:rPr>
        <w:t xml:space="preserve"> </w:t>
      </w:r>
      <w:proofErr w:type="spellStart"/>
      <w:r w:rsidRPr="00CE07DF">
        <w:rPr>
          <w:sz w:val="18"/>
          <w:szCs w:val="18"/>
        </w:rPr>
        <w:t>förpackningar</w:t>
      </w:r>
      <w:proofErr w:type="spellEnd"/>
      <w:r w:rsidRPr="00CE07DF">
        <w:rPr>
          <w:sz w:val="18"/>
          <w:szCs w:val="18"/>
        </w:rPr>
        <w:t xml:space="preserve">. </w:t>
      </w:r>
      <w:r w:rsidR="002B2F93" w:rsidRPr="00CE07DF">
        <w:rPr>
          <w:sz w:val="18"/>
          <w:szCs w:val="18"/>
        </w:rPr>
        <w:t xml:space="preserve">FTI avvecklas 2024 i samband med att Sveriges kommuner </w:t>
      </w:r>
      <w:r w:rsidR="00310E4F" w:rsidRPr="00CE07DF">
        <w:rPr>
          <w:sz w:val="18"/>
          <w:szCs w:val="18"/>
        </w:rPr>
        <w:t xml:space="preserve">tar över insamlingsansvaret för förpackningar. </w:t>
      </w:r>
      <w:r w:rsidRPr="00CE07DF">
        <w:rPr>
          <w:sz w:val="18"/>
          <w:szCs w:val="18"/>
        </w:rPr>
        <w:t xml:space="preserve">Läs mer på </w:t>
      </w:r>
      <w:hyperlink r:id="rId13" w:history="1">
        <w:r w:rsidR="00854E06" w:rsidRPr="00CE07DF">
          <w:rPr>
            <w:rStyle w:val="Hyperlnk"/>
            <w:sz w:val="18"/>
            <w:szCs w:val="18"/>
          </w:rPr>
          <w:t>www.fti.se</w:t>
        </w:r>
      </w:hyperlink>
      <w:r w:rsidRPr="00CE07DF">
        <w:rPr>
          <w:sz w:val="18"/>
          <w:szCs w:val="18"/>
        </w:rPr>
        <w:t>.</w:t>
      </w:r>
    </w:p>
    <w:sectPr w:rsidR="006E0914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E07D" w14:textId="77777777" w:rsidR="00F503BF" w:rsidRDefault="00F503BF">
      <w:pPr>
        <w:spacing w:line="240" w:lineRule="auto"/>
      </w:pPr>
      <w:r>
        <w:separator/>
      </w:r>
    </w:p>
  </w:endnote>
  <w:endnote w:type="continuationSeparator" w:id="0">
    <w:p w14:paraId="4FCDC208" w14:textId="77777777" w:rsidR="00F503BF" w:rsidRDefault="00F503BF">
      <w:pPr>
        <w:spacing w:line="240" w:lineRule="auto"/>
      </w:pPr>
      <w:r>
        <w:continuationSeparator/>
      </w:r>
    </w:p>
  </w:endnote>
  <w:endnote w:type="continuationNotice" w:id="1">
    <w:p w14:paraId="56542238" w14:textId="77777777" w:rsidR="00F503BF" w:rsidRDefault="00F503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8521" w14:textId="77777777" w:rsidR="00F503BF" w:rsidRDefault="00F503BF">
      <w:pPr>
        <w:spacing w:line="240" w:lineRule="auto"/>
      </w:pPr>
      <w:r>
        <w:separator/>
      </w:r>
    </w:p>
  </w:footnote>
  <w:footnote w:type="continuationSeparator" w:id="0">
    <w:p w14:paraId="238C69AD" w14:textId="77777777" w:rsidR="00F503BF" w:rsidRDefault="00F503BF">
      <w:pPr>
        <w:spacing w:line="240" w:lineRule="auto"/>
      </w:pPr>
      <w:r>
        <w:continuationSeparator/>
      </w:r>
    </w:p>
  </w:footnote>
  <w:footnote w:type="continuationNotice" w:id="1">
    <w:p w14:paraId="1F8A9CF8" w14:textId="77777777" w:rsidR="00F503BF" w:rsidRDefault="00F503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7E40" w14:textId="79EE05C4" w:rsidR="006E0914" w:rsidRDefault="00F13BA1">
    <w:r>
      <w:rPr>
        <w:noProof/>
      </w:rPr>
      <w:drawing>
        <wp:inline distT="114300" distB="114300" distL="114300" distR="114300" wp14:anchorId="33DB5C07" wp14:editId="016642F3">
          <wp:extent cx="328613" cy="33956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613" cy="3395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Pressmeddelande 2023-03-</w:t>
    </w:r>
    <w:r w:rsidR="00E269B7">
      <w:t>22</w:t>
    </w:r>
  </w:p>
  <w:p w14:paraId="62321B5D" w14:textId="77777777" w:rsidR="006E0914" w:rsidRDefault="006E0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95582"/>
    <w:multiLevelType w:val="multilevel"/>
    <w:tmpl w:val="51A6D7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547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914"/>
    <w:rsid w:val="00003858"/>
    <w:rsid w:val="00004D3E"/>
    <w:rsid w:val="000052DB"/>
    <w:rsid w:val="00013E7D"/>
    <w:rsid w:val="00017350"/>
    <w:rsid w:val="000176DD"/>
    <w:rsid w:val="0004643D"/>
    <w:rsid w:val="000752D5"/>
    <w:rsid w:val="00091886"/>
    <w:rsid w:val="00092D3A"/>
    <w:rsid w:val="00094090"/>
    <w:rsid w:val="00097C83"/>
    <w:rsid w:val="000A1770"/>
    <w:rsid w:val="000A32F4"/>
    <w:rsid w:val="000A7207"/>
    <w:rsid w:val="000B647C"/>
    <w:rsid w:val="000C17ED"/>
    <w:rsid w:val="000D1C93"/>
    <w:rsid w:val="000F03C8"/>
    <w:rsid w:val="0010459A"/>
    <w:rsid w:val="00111198"/>
    <w:rsid w:val="001266F6"/>
    <w:rsid w:val="00130A7F"/>
    <w:rsid w:val="00136F6C"/>
    <w:rsid w:val="00143F32"/>
    <w:rsid w:val="00185271"/>
    <w:rsid w:val="00187EAF"/>
    <w:rsid w:val="001A5005"/>
    <w:rsid w:val="001B4852"/>
    <w:rsid w:val="001C796E"/>
    <w:rsid w:val="001F6AFF"/>
    <w:rsid w:val="00201BAC"/>
    <w:rsid w:val="0020435A"/>
    <w:rsid w:val="00206CFA"/>
    <w:rsid w:val="00213422"/>
    <w:rsid w:val="0021441C"/>
    <w:rsid w:val="002262D6"/>
    <w:rsid w:val="002263D2"/>
    <w:rsid w:val="00240BB4"/>
    <w:rsid w:val="00264A47"/>
    <w:rsid w:val="0026589F"/>
    <w:rsid w:val="00272461"/>
    <w:rsid w:val="00283992"/>
    <w:rsid w:val="002A7B38"/>
    <w:rsid w:val="002B2F93"/>
    <w:rsid w:val="002C069E"/>
    <w:rsid w:val="002D3140"/>
    <w:rsid w:val="003041B4"/>
    <w:rsid w:val="00310E4F"/>
    <w:rsid w:val="00327ECA"/>
    <w:rsid w:val="0033251E"/>
    <w:rsid w:val="0035284D"/>
    <w:rsid w:val="00382E44"/>
    <w:rsid w:val="00383F00"/>
    <w:rsid w:val="00392B9B"/>
    <w:rsid w:val="00392C68"/>
    <w:rsid w:val="003939BB"/>
    <w:rsid w:val="00396B26"/>
    <w:rsid w:val="003B68F6"/>
    <w:rsid w:val="003B6AB9"/>
    <w:rsid w:val="003B720D"/>
    <w:rsid w:val="003C256B"/>
    <w:rsid w:val="003D27AD"/>
    <w:rsid w:val="003D3568"/>
    <w:rsid w:val="004016DA"/>
    <w:rsid w:val="00403235"/>
    <w:rsid w:val="00404E9D"/>
    <w:rsid w:val="00410584"/>
    <w:rsid w:val="00414EA8"/>
    <w:rsid w:val="004455F4"/>
    <w:rsid w:val="00450873"/>
    <w:rsid w:val="00477A2F"/>
    <w:rsid w:val="00497169"/>
    <w:rsid w:val="004B407B"/>
    <w:rsid w:val="004C2716"/>
    <w:rsid w:val="004F149C"/>
    <w:rsid w:val="00503443"/>
    <w:rsid w:val="005138FA"/>
    <w:rsid w:val="00530C69"/>
    <w:rsid w:val="00535527"/>
    <w:rsid w:val="00537E68"/>
    <w:rsid w:val="00547DA1"/>
    <w:rsid w:val="00560C7E"/>
    <w:rsid w:val="0056124D"/>
    <w:rsid w:val="00586498"/>
    <w:rsid w:val="005A1C04"/>
    <w:rsid w:val="005A5B24"/>
    <w:rsid w:val="005A5CBB"/>
    <w:rsid w:val="005E4A24"/>
    <w:rsid w:val="005F0FE2"/>
    <w:rsid w:val="005F328D"/>
    <w:rsid w:val="005F3399"/>
    <w:rsid w:val="005F49E6"/>
    <w:rsid w:val="00605F63"/>
    <w:rsid w:val="00607CEC"/>
    <w:rsid w:val="00616E01"/>
    <w:rsid w:val="0062243D"/>
    <w:rsid w:val="006416F6"/>
    <w:rsid w:val="00661947"/>
    <w:rsid w:val="0067743B"/>
    <w:rsid w:val="0068061B"/>
    <w:rsid w:val="00691164"/>
    <w:rsid w:val="00696048"/>
    <w:rsid w:val="0069628E"/>
    <w:rsid w:val="006A23C3"/>
    <w:rsid w:val="006A68C0"/>
    <w:rsid w:val="006C5CE9"/>
    <w:rsid w:val="006D05AB"/>
    <w:rsid w:val="006D5BBA"/>
    <w:rsid w:val="006E0914"/>
    <w:rsid w:val="006E1E8F"/>
    <w:rsid w:val="006E7F2E"/>
    <w:rsid w:val="00720D91"/>
    <w:rsid w:val="007331C4"/>
    <w:rsid w:val="0074340C"/>
    <w:rsid w:val="00752A3B"/>
    <w:rsid w:val="0077628B"/>
    <w:rsid w:val="007835F7"/>
    <w:rsid w:val="0079638E"/>
    <w:rsid w:val="007A1A1F"/>
    <w:rsid w:val="007A6F35"/>
    <w:rsid w:val="007C0C0E"/>
    <w:rsid w:val="007C4BE1"/>
    <w:rsid w:val="007D35DC"/>
    <w:rsid w:val="007E4D1A"/>
    <w:rsid w:val="00804610"/>
    <w:rsid w:val="00807795"/>
    <w:rsid w:val="00807DC3"/>
    <w:rsid w:val="00815B80"/>
    <w:rsid w:val="00817653"/>
    <w:rsid w:val="00823F2B"/>
    <w:rsid w:val="00825E63"/>
    <w:rsid w:val="008267BD"/>
    <w:rsid w:val="0085154C"/>
    <w:rsid w:val="00854E06"/>
    <w:rsid w:val="00856C1F"/>
    <w:rsid w:val="008724A7"/>
    <w:rsid w:val="008728E2"/>
    <w:rsid w:val="00881869"/>
    <w:rsid w:val="008A2DAB"/>
    <w:rsid w:val="008C64B4"/>
    <w:rsid w:val="008E097A"/>
    <w:rsid w:val="008E222A"/>
    <w:rsid w:val="008E7879"/>
    <w:rsid w:val="00901621"/>
    <w:rsid w:val="00911ED5"/>
    <w:rsid w:val="00943232"/>
    <w:rsid w:val="00950286"/>
    <w:rsid w:val="00950B5E"/>
    <w:rsid w:val="00955609"/>
    <w:rsid w:val="00963487"/>
    <w:rsid w:val="00965734"/>
    <w:rsid w:val="00974F2E"/>
    <w:rsid w:val="009765C2"/>
    <w:rsid w:val="00990F79"/>
    <w:rsid w:val="009A73EA"/>
    <w:rsid w:val="009B3275"/>
    <w:rsid w:val="009B369C"/>
    <w:rsid w:val="009B45DE"/>
    <w:rsid w:val="009B65B6"/>
    <w:rsid w:val="009C5EA8"/>
    <w:rsid w:val="009E4FD7"/>
    <w:rsid w:val="009F42AF"/>
    <w:rsid w:val="00A02431"/>
    <w:rsid w:val="00A1402E"/>
    <w:rsid w:val="00A1420C"/>
    <w:rsid w:val="00A21A00"/>
    <w:rsid w:val="00A413B3"/>
    <w:rsid w:val="00A42412"/>
    <w:rsid w:val="00A426CD"/>
    <w:rsid w:val="00A4524C"/>
    <w:rsid w:val="00A55E90"/>
    <w:rsid w:val="00A63673"/>
    <w:rsid w:val="00A67FB2"/>
    <w:rsid w:val="00A90EDB"/>
    <w:rsid w:val="00A951C4"/>
    <w:rsid w:val="00AA78EB"/>
    <w:rsid w:val="00AB11AF"/>
    <w:rsid w:val="00AB1F46"/>
    <w:rsid w:val="00AC6A0B"/>
    <w:rsid w:val="00AD20DA"/>
    <w:rsid w:val="00AD34BD"/>
    <w:rsid w:val="00AD5638"/>
    <w:rsid w:val="00AD56A0"/>
    <w:rsid w:val="00AF681F"/>
    <w:rsid w:val="00AF79A0"/>
    <w:rsid w:val="00B26E39"/>
    <w:rsid w:val="00B275C6"/>
    <w:rsid w:val="00B45AEB"/>
    <w:rsid w:val="00B71FC5"/>
    <w:rsid w:val="00B773E9"/>
    <w:rsid w:val="00B853C3"/>
    <w:rsid w:val="00B95012"/>
    <w:rsid w:val="00BA6588"/>
    <w:rsid w:val="00BA6FDD"/>
    <w:rsid w:val="00BB501C"/>
    <w:rsid w:val="00BD2B2A"/>
    <w:rsid w:val="00C02F44"/>
    <w:rsid w:val="00C0762E"/>
    <w:rsid w:val="00C56B86"/>
    <w:rsid w:val="00C57461"/>
    <w:rsid w:val="00C8205A"/>
    <w:rsid w:val="00CA68BE"/>
    <w:rsid w:val="00CB0FBB"/>
    <w:rsid w:val="00CB70CE"/>
    <w:rsid w:val="00CB7795"/>
    <w:rsid w:val="00CE07DF"/>
    <w:rsid w:val="00CE6965"/>
    <w:rsid w:val="00CE8C3E"/>
    <w:rsid w:val="00CF267B"/>
    <w:rsid w:val="00CF6CC5"/>
    <w:rsid w:val="00D032BF"/>
    <w:rsid w:val="00D06AA8"/>
    <w:rsid w:val="00D21A00"/>
    <w:rsid w:val="00D245D4"/>
    <w:rsid w:val="00D26AC0"/>
    <w:rsid w:val="00D63869"/>
    <w:rsid w:val="00D72009"/>
    <w:rsid w:val="00D968AC"/>
    <w:rsid w:val="00DA29C7"/>
    <w:rsid w:val="00DD3F55"/>
    <w:rsid w:val="00DD5F0C"/>
    <w:rsid w:val="00DD7F08"/>
    <w:rsid w:val="00DE27E0"/>
    <w:rsid w:val="00DE7239"/>
    <w:rsid w:val="00E0215D"/>
    <w:rsid w:val="00E1286D"/>
    <w:rsid w:val="00E14998"/>
    <w:rsid w:val="00E26811"/>
    <w:rsid w:val="00E269B7"/>
    <w:rsid w:val="00E321B2"/>
    <w:rsid w:val="00E36D36"/>
    <w:rsid w:val="00E40141"/>
    <w:rsid w:val="00E45990"/>
    <w:rsid w:val="00E52E7F"/>
    <w:rsid w:val="00E710B6"/>
    <w:rsid w:val="00E75E12"/>
    <w:rsid w:val="00E8387A"/>
    <w:rsid w:val="00EA2015"/>
    <w:rsid w:val="00EA4A1C"/>
    <w:rsid w:val="00EB4EBA"/>
    <w:rsid w:val="00EF49D5"/>
    <w:rsid w:val="00F06894"/>
    <w:rsid w:val="00F13BA1"/>
    <w:rsid w:val="00F503BF"/>
    <w:rsid w:val="00F52329"/>
    <w:rsid w:val="00F65051"/>
    <w:rsid w:val="00F74486"/>
    <w:rsid w:val="00F83745"/>
    <w:rsid w:val="00F92DE2"/>
    <w:rsid w:val="00F9347A"/>
    <w:rsid w:val="00FA1941"/>
    <w:rsid w:val="00FC55C8"/>
    <w:rsid w:val="00FC70B7"/>
    <w:rsid w:val="00FD112B"/>
    <w:rsid w:val="07ADA57C"/>
    <w:rsid w:val="0C331BC3"/>
    <w:rsid w:val="1797E1AB"/>
    <w:rsid w:val="1A48B2E5"/>
    <w:rsid w:val="1DE17577"/>
    <w:rsid w:val="2114C39F"/>
    <w:rsid w:val="232C0FD4"/>
    <w:rsid w:val="258B134C"/>
    <w:rsid w:val="25CBBF03"/>
    <w:rsid w:val="2F637457"/>
    <w:rsid w:val="310E698A"/>
    <w:rsid w:val="31D77A33"/>
    <w:rsid w:val="329A2630"/>
    <w:rsid w:val="3412689B"/>
    <w:rsid w:val="342E856C"/>
    <w:rsid w:val="3DDAD958"/>
    <w:rsid w:val="4BE10B69"/>
    <w:rsid w:val="4C8063DB"/>
    <w:rsid w:val="5F53187B"/>
    <w:rsid w:val="642FAC5A"/>
    <w:rsid w:val="65AFB3F1"/>
    <w:rsid w:val="66875908"/>
    <w:rsid w:val="69AC7F76"/>
    <w:rsid w:val="6B7EF9D1"/>
    <w:rsid w:val="6BA2DBD8"/>
    <w:rsid w:val="6F989EE8"/>
    <w:rsid w:val="780D130A"/>
    <w:rsid w:val="78AADFD6"/>
    <w:rsid w:val="7DF1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6059"/>
  <w15:docId w15:val="{64359D8A-2FBC-46FC-9B0E-49996D4F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81758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7586"/>
  </w:style>
  <w:style w:type="paragraph" w:styleId="Sidfot">
    <w:name w:val="footer"/>
    <w:basedOn w:val="Normal"/>
    <w:link w:val="SidfotChar"/>
    <w:uiPriority w:val="99"/>
    <w:unhideWhenUsed/>
    <w:rsid w:val="0081758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7586"/>
  </w:style>
  <w:style w:type="table" w:customStyle="1" w:styleId="a">
    <w:basedOn w:val="Normaltabell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Revision">
    <w:name w:val="Revision"/>
    <w:hidden/>
    <w:uiPriority w:val="99"/>
    <w:semiHidden/>
    <w:rsid w:val="00E0215D"/>
    <w:pPr>
      <w:spacing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B71FC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71FC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71FC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71FC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71FC5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79638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9638E"/>
    <w:rPr>
      <w:color w:val="605E5C"/>
      <w:shd w:val="clear" w:color="auto" w:fill="E1DFDD"/>
    </w:rPr>
  </w:style>
  <w:style w:type="character" w:customStyle="1" w:styleId="ui-provider">
    <w:name w:val="ui-provider"/>
    <w:basedOn w:val="Standardstycketeckensnitt"/>
    <w:rsid w:val="00AF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ti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kael.edenqvist@ftiab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ti.se/om-fti/statistik#insamlingsstatisti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fe7e1f-5a2e-40b9-8345-00be0e15b9d5">
      <Terms xmlns="http://schemas.microsoft.com/office/infopath/2007/PartnerControls"/>
    </lcf76f155ced4ddcb4097134ff3c332f>
    <TaxCatchAll xmlns="0c713adb-63b2-412c-b820-b087b619ecd6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2V4JeqTOQiZwbFCUXmPpMCK63w==">AMUW2mXV69dGupnAHl5AiUY3Q6xKclSKo7zLHSN4S3vh/6TVNtc2QPCo3d3g5n3dpk0AWbVw7Wl98FA2JD3iW9mf0ii0IKwKNdhhHACRXBKdh9eVoTrBB3k=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BC301D8ED334A9022DBDFCE267254" ma:contentTypeVersion="12" ma:contentTypeDescription="Skapa ett nytt dokument." ma:contentTypeScope="" ma:versionID="4e8849f9fdbe0e1393de1279500803f4">
  <xsd:schema xmlns:xsd="http://www.w3.org/2001/XMLSchema" xmlns:xs="http://www.w3.org/2001/XMLSchema" xmlns:p="http://schemas.microsoft.com/office/2006/metadata/properties" xmlns:ns2="eafe7e1f-5a2e-40b9-8345-00be0e15b9d5" xmlns:ns3="0c713adb-63b2-412c-b820-b087b619ecd6" targetNamespace="http://schemas.microsoft.com/office/2006/metadata/properties" ma:root="true" ma:fieldsID="8c2752d3727924d5ea5c81eb5f88c959" ns2:_="" ns3:_="">
    <xsd:import namespace="eafe7e1f-5a2e-40b9-8345-00be0e15b9d5"/>
    <xsd:import namespace="0c713adb-63b2-412c-b820-b087b619e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e7e1f-5a2e-40b9-8345-00be0e15b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715b83ca-c44f-472a-bf37-9aeaa79279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13adb-63b2-412c-b820-b087b619ecd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1fc6c9a-3f1d-4c96-a52c-e709abe85248}" ma:internalName="TaxCatchAll" ma:showField="CatchAllData" ma:web="0c713adb-63b2-412c-b820-b087b619e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8BB7D-66DB-47FB-B6D6-91124F74F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5E8AE-2BC4-4C34-9901-ED77C9A45043}">
  <ds:schemaRefs>
    <ds:schemaRef ds:uri="http://schemas.microsoft.com/office/2006/metadata/properties"/>
    <ds:schemaRef ds:uri="http://schemas.microsoft.com/office/infopath/2007/PartnerControls"/>
    <ds:schemaRef ds:uri="eafe7e1f-5a2e-40b9-8345-00be0e15b9d5"/>
    <ds:schemaRef ds:uri="0c713adb-63b2-412c-b820-b087b619ecd6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90E2F0B-2F1A-4F4D-8AFD-24E35C044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e7e1f-5a2e-40b9-8345-00be0e15b9d5"/>
    <ds:schemaRef ds:uri="0c713adb-63b2-412c-b820-b087b619e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878</Words>
  <Characters>4657</Characters>
  <Application>Microsoft Office Word</Application>
  <DocSecurity>0</DocSecurity>
  <Lines>38</Lines>
  <Paragraphs>11</Paragraphs>
  <ScaleCrop>false</ScaleCrop>
  <Company/>
  <LinksUpToDate>false</LinksUpToDate>
  <CharactersWithSpaces>5524</CharactersWithSpaces>
  <SharedDoc>false</SharedDoc>
  <HLinks>
    <vt:vector size="12" baseType="variant">
      <vt:variant>
        <vt:i4>7864431</vt:i4>
      </vt:variant>
      <vt:variant>
        <vt:i4>3</vt:i4>
      </vt:variant>
      <vt:variant>
        <vt:i4>0</vt:i4>
      </vt:variant>
      <vt:variant>
        <vt:i4>5</vt:i4>
      </vt:variant>
      <vt:variant>
        <vt:lpwstr>http://www.fti.se/</vt:lpwstr>
      </vt:variant>
      <vt:variant>
        <vt:lpwstr/>
      </vt:variant>
      <vt:variant>
        <vt:i4>4063324</vt:i4>
      </vt:variant>
      <vt:variant>
        <vt:i4>0</vt:i4>
      </vt:variant>
      <vt:variant>
        <vt:i4>0</vt:i4>
      </vt:variant>
      <vt:variant>
        <vt:i4>5</vt:i4>
      </vt:variant>
      <vt:variant>
        <vt:lpwstr>mailto:mikael.edenqvist@ftiab.se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Elin Norlin</cp:lastModifiedBy>
  <cp:revision>207</cp:revision>
  <cp:lastPrinted>2023-02-13T06:49:00Z</cp:lastPrinted>
  <dcterms:created xsi:type="dcterms:W3CDTF">2022-01-26T09:26:00Z</dcterms:created>
  <dcterms:modified xsi:type="dcterms:W3CDTF">2023-03-22T06:29:00Z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0x010100F75BC301D8ED334A9022DBDFCE267254</vt:lpwstr>
  </property>
  <property fmtid="{D5CDD505-2E9C-101B-9397-08002B2CF9AE}" pid="3" name="MediaServiceImageTags">
    <vt:lpwstr/>
  </property>
</Properties>
</file>