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ody"/>
        <w:rPr>
          <w:b/>
          <w:lang w:val="sv-SE"/>
        </w:rPr>
      </w:pPr>
      <w:r>
        <w:rPr>
          <w:b/>
          <w:lang w:val="sv-SE"/>
        </w:rPr>
        <w:t>Till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>Aktieägarna i Jojka Communications AB (</w:t>
      </w:r>
      <w:proofErr w:type="spellStart"/>
      <w:r>
        <w:rPr>
          <w:lang w:val="sv-SE"/>
        </w:rPr>
        <w:t>publ</w:t>
      </w:r>
      <w:proofErr w:type="spellEnd"/>
      <w:r>
        <w:rPr>
          <w:lang w:val="sv-SE"/>
        </w:rPr>
        <w:t xml:space="preserve">) (organisationsnummer </w:t>
      </w:r>
      <w:r>
        <w:rPr>
          <w:rFonts w:cs="Arial"/>
          <w:bCs/>
          <w:color w:val="000000"/>
          <w:lang w:val="sv-SE"/>
        </w:rPr>
        <w:t>556666-6466</w:t>
      </w:r>
      <w:r>
        <w:rPr>
          <w:lang w:val="sv-SE"/>
        </w:rPr>
        <w:t>)</w:t>
      </w:r>
    </w:p>
    <w:p>
      <w:pPr>
        <w:pStyle w:val="Body"/>
        <w:rPr>
          <w:lang w:val="sv-SE"/>
        </w:rPr>
      </w:pPr>
      <w:r>
        <w:rPr>
          <w:rFonts w:cs="Arial"/>
          <w:b/>
          <w:bCs/>
          <w:color w:val="000000"/>
          <w:lang w:val="sv-SE"/>
        </w:rPr>
        <w:t>Kallelse till årsstämma i Jojka Communications AB (</w:t>
      </w:r>
      <w:proofErr w:type="spellStart"/>
      <w:r>
        <w:rPr>
          <w:rFonts w:cs="Arial"/>
          <w:b/>
          <w:bCs/>
          <w:color w:val="000000"/>
          <w:lang w:val="sv-SE"/>
        </w:rPr>
        <w:t>publ</w:t>
      </w:r>
      <w:proofErr w:type="spellEnd"/>
      <w:r>
        <w:rPr>
          <w:rFonts w:cs="Arial"/>
          <w:b/>
          <w:bCs/>
          <w:color w:val="000000"/>
          <w:lang w:val="sv-SE"/>
        </w:rPr>
        <w:t>)</w:t>
      </w:r>
    </w:p>
    <w:p>
      <w:pPr>
        <w:pStyle w:val="Body"/>
        <w:rPr>
          <w:lang w:val="sv-SE"/>
        </w:rPr>
      </w:pPr>
      <w:r>
        <w:rPr>
          <w:rFonts w:cs="Arial"/>
          <w:bCs/>
          <w:color w:val="000000"/>
          <w:lang w:val="sv-SE"/>
        </w:rPr>
        <w:t>Jojka Communications AB (</w:t>
      </w:r>
      <w:proofErr w:type="spellStart"/>
      <w:r>
        <w:rPr>
          <w:rFonts w:cs="Arial"/>
          <w:bCs/>
          <w:color w:val="000000"/>
          <w:lang w:val="sv-SE"/>
        </w:rPr>
        <w:t>publ</w:t>
      </w:r>
      <w:proofErr w:type="spellEnd"/>
      <w:r>
        <w:rPr>
          <w:rFonts w:cs="Arial"/>
          <w:bCs/>
          <w:color w:val="000000"/>
          <w:lang w:val="sv-SE"/>
        </w:rPr>
        <w:t>) (”</w:t>
      </w:r>
      <w:r>
        <w:rPr>
          <w:rFonts w:cs="Arial"/>
          <w:b/>
          <w:bCs/>
          <w:color w:val="000000"/>
          <w:lang w:val="sv-SE"/>
        </w:rPr>
        <w:t>Bolaget</w:t>
      </w:r>
      <w:r>
        <w:rPr>
          <w:rFonts w:cs="Arial"/>
          <w:bCs/>
          <w:color w:val="000000"/>
          <w:lang w:val="sv-SE"/>
        </w:rPr>
        <w:t>”) kallar till årsstämma fredagen den 27 maj 2016, kl. 15.00 på Bolagets kontor på Birger Jarlsgatan 18 i Stockholm.</w:t>
      </w:r>
    </w:p>
    <w:p>
      <w:pPr>
        <w:pStyle w:val="Body"/>
        <w:rPr>
          <w:lang w:val="sv-SE"/>
        </w:rPr>
      </w:pPr>
      <w:r>
        <w:rPr>
          <w:rFonts w:cs="Arial"/>
          <w:b/>
          <w:bCs/>
          <w:lang w:val="sv-SE"/>
        </w:rPr>
        <w:t>Anmälan m.m.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Rätt att delta i stämman har den som dels är införd i den av </w:t>
      </w:r>
      <w:proofErr w:type="spellStart"/>
      <w:r>
        <w:rPr>
          <w:lang w:val="sv-SE"/>
        </w:rPr>
        <w:t>Euroclear</w:t>
      </w:r>
      <w:proofErr w:type="spellEnd"/>
      <w:r>
        <w:rPr>
          <w:lang w:val="sv-SE"/>
        </w:rPr>
        <w:t xml:space="preserve"> Sweden AB förda aktieboken den 21 maj 2016, dels anmäler sig hos Bolaget senast den 23 maj 2016, gärna före kl 16.00. Anmälan om deltagande görs på e-postadress info@jojka.com eller via brev till Jojka Communications AB (</w:t>
      </w:r>
      <w:proofErr w:type="spellStart"/>
      <w:r>
        <w:rPr>
          <w:lang w:val="sv-SE"/>
        </w:rPr>
        <w:t>publ</w:t>
      </w:r>
      <w:proofErr w:type="spellEnd"/>
      <w:r>
        <w:rPr>
          <w:lang w:val="sv-SE"/>
        </w:rPr>
        <w:t xml:space="preserve">), Birger Jarlsgatan 18, 3 </w:t>
      </w:r>
      <w:proofErr w:type="spellStart"/>
      <w:r>
        <w:rPr>
          <w:lang w:val="sv-SE"/>
        </w:rPr>
        <w:t>tr</w:t>
      </w:r>
      <w:proofErr w:type="spellEnd"/>
      <w:r>
        <w:rPr>
          <w:lang w:val="sv-SE"/>
        </w:rPr>
        <w:t xml:space="preserve">, 114 34 Stockholm. Vid anmälan ska aktieägaren uppge namn, person- eller organisationsnummer, adress och telefonnummer och eventuella biträden. 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Den som företräds genom ombud ska utfärda skriftlig undertecknad fullmakt, som inte får vara äldre än ett år såvida inte längre giltighetstid anges i fullmakten. Fullmakter, registreringsbevis och andra behörighetshandlingar måste vara tillgängliga vid stämman och bör i god tid före stämman insändas till Bolaget under ovanstående adress. 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Fullmaktsformulär kommer att hållas tillgängligt på Bolagets hemsida </w:t>
      </w:r>
      <w:proofErr w:type="spellStart"/>
      <w:r>
        <w:rPr>
          <w:lang w:val="sv-SE"/>
        </w:rPr>
        <w:t>www.jojka.nu</w:t>
      </w:r>
      <w:proofErr w:type="spellEnd"/>
      <w:r>
        <w:rPr>
          <w:lang w:val="sv-SE"/>
        </w:rPr>
        <w:t>.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Den som låtit förvaltarregistrera sina aktier måste, för att ha rätt att </w:t>
      </w:r>
      <w:proofErr w:type="gramStart"/>
      <w:r>
        <w:rPr>
          <w:lang w:val="sv-SE"/>
        </w:rPr>
        <w:t>deltaga</w:t>
      </w:r>
      <w:proofErr w:type="gramEnd"/>
      <w:r>
        <w:rPr>
          <w:lang w:val="sv-SE"/>
        </w:rPr>
        <w:t xml:space="preserve"> i stämman, genom förvaltares försorg låta omregistrera aktierna i eget namn, så att vederbörande är registrerad på avstämningsdagen. Aktieägaren måste underrätta förvaltaren om detta i god tid före avstämningsdagen den 21 maj 2016. Sådan registrering kan vara tillfällig.</w:t>
      </w:r>
    </w:p>
    <w:p>
      <w:pPr>
        <w:pStyle w:val="Body"/>
      </w:pPr>
      <w:r>
        <w:rPr>
          <w:lang w:val="sv-SE"/>
        </w:rPr>
        <w:t>Ärenden</w:t>
      </w:r>
      <w:r>
        <w:t xml:space="preserve"> </w:t>
      </w:r>
      <w:r>
        <w:rPr>
          <w:lang w:val="sv-SE"/>
        </w:rPr>
        <w:t>på</w:t>
      </w:r>
      <w:r>
        <w:t xml:space="preserve"> </w:t>
      </w:r>
      <w:r>
        <w:rPr>
          <w:lang w:val="sv-SE"/>
        </w:rPr>
        <w:t>stämman</w:t>
      </w:r>
      <w:r>
        <w:t>:</w:t>
      </w:r>
    </w:p>
    <w:p>
      <w:pPr>
        <w:pStyle w:val="Level1"/>
      </w:pPr>
      <w:r>
        <w:rPr>
          <w:lang w:val="sv-SE"/>
        </w:rPr>
        <w:t>Stämmans</w:t>
      </w:r>
      <w:r>
        <w:t xml:space="preserve"> </w:t>
      </w:r>
      <w:r>
        <w:rPr>
          <w:lang w:val="sv-SE"/>
        </w:rPr>
        <w:t>öppnande.</w:t>
      </w:r>
    </w:p>
    <w:p>
      <w:pPr>
        <w:pStyle w:val="Level1"/>
        <w:rPr>
          <w:lang w:val="sv-SE"/>
        </w:rPr>
      </w:pPr>
      <w:r>
        <w:rPr>
          <w:lang w:val="sv-SE"/>
        </w:rPr>
        <w:t>Val av ordförande vid stämman.</w:t>
      </w:r>
    </w:p>
    <w:p>
      <w:pPr>
        <w:pStyle w:val="Level1"/>
        <w:rPr>
          <w:lang w:val="sv-SE"/>
        </w:rPr>
      </w:pPr>
      <w:r>
        <w:rPr>
          <w:lang w:val="sv-SE"/>
        </w:rPr>
        <w:t>Upprättande och godkännande av röstlängd.</w:t>
      </w:r>
    </w:p>
    <w:p>
      <w:pPr>
        <w:pStyle w:val="Level1"/>
        <w:rPr>
          <w:lang w:val="sv-SE"/>
        </w:rPr>
      </w:pPr>
      <w:r>
        <w:rPr>
          <w:lang w:val="sv-SE"/>
        </w:rPr>
        <w:t>Godkännande av dagordning.</w:t>
      </w:r>
    </w:p>
    <w:p>
      <w:pPr>
        <w:pStyle w:val="Level1"/>
        <w:rPr>
          <w:lang w:val="sv-SE"/>
        </w:rPr>
      </w:pPr>
      <w:r>
        <w:rPr>
          <w:lang w:val="sv-SE"/>
        </w:rPr>
        <w:t>Val av en eller två justeringsmän.</w:t>
      </w:r>
    </w:p>
    <w:p>
      <w:pPr>
        <w:pStyle w:val="Level1"/>
        <w:rPr>
          <w:lang w:val="sv-SE"/>
        </w:rPr>
      </w:pPr>
      <w:r>
        <w:rPr>
          <w:lang w:val="sv-SE"/>
        </w:rPr>
        <w:t xml:space="preserve">Prövning av om stämman blivit </w:t>
      </w:r>
      <w:proofErr w:type="gramStart"/>
      <w:r>
        <w:rPr>
          <w:lang w:val="sv-SE"/>
        </w:rPr>
        <w:t>behörigen</w:t>
      </w:r>
      <w:proofErr w:type="gramEnd"/>
      <w:r>
        <w:rPr>
          <w:lang w:val="sv-SE"/>
        </w:rPr>
        <w:t xml:space="preserve"> sammankallad.</w:t>
      </w:r>
    </w:p>
    <w:p>
      <w:pPr>
        <w:pStyle w:val="Level1"/>
        <w:rPr>
          <w:lang w:val="sv-SE"/>
        </w:rPr>
      </w:pPr>
      <w:r>
        <w:rPr>
          <w:lang w:val="sv-SE"/>
        </w:rPr>
        <w:t>Framläggande av årsredovisning och revisionsberättelse.</w:t>
      </w:r>
    </w:p>
    <w:p>
      <w:pPr>
        <w:pStyle w:val="Level1"/>
        <w:rPr>
          <w:lang w:val="sv-SE"/>
        </w:rPr>
      </w:pPr>
      <w:r>
        <w:rPr>
          <w:lang w:val="sv-SE"/>
        </w:rPr>
        <w:t>Beslut om</w:t>
      </w:r>
    </w:p>
    <w:p>
      <w:pPr>
        <w:pStyle w:val="aDefinition"/>
        <w:rPr>
          <w:lang w:val="sv-SE"/>
        </w:rPr>
      </w:pPr>
      <w:r>
        <w:rPr>
          <w:lang w:val="sv-SE"/>
        </w:rPr>
        <w:t>fastställande av resultaträkning och balansräkning;</w:t>
      </w:r>
    </w:p>
    <w:p>
      <w:pPr>
        <w:pStyle w:val="aDefinition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lastRenderedPageBreak/>
        <w:t>dispositioner beträffande bolagets resultat enligt den fastställda balansräkningen; och</w:t>
      </w:r>
    </w:p>
    <w:p>
      <w:pPr>
        <w:pStyle w:val="aDefinition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 xml:space="preserve">ansvarsfrihet åt styrelsens ledamöter och verkställande direktören </w:t>
      </w:r>
    </w:p>
    <w:p>
      <w:pPr>
        <w:pStyle w:val="Level1"/>
        <w:rPr>
          <w:lang w:val="sv-SE"/>
        </w:rPr>
      </w:pPr>
      <w:r>
        <w:rPr>
          <w:lang w:val="sv-SE"/>
        </w:rPr>
        <w:t>Beslut om antal styrelseledamöter.</w:t>
      </w:r>
    </w:p>
    <w:p>
      <w:pPr>
        <w:pStyle w:val="Level1"/>
        <w:rPr>
          <w:lang w:val="sv-SE"/>
        </w:rPr>
      </w:pPr>
      <w:r>
        <w:rPr>
          <w:lang w:val="sv-SE"/>
        </w:rPr>
        <w:t>Fastställande av styrelse- och revisorsarvoden.</w:t>
      </w:r>
    </w:p>
    <w:p>
      <w:pPr>
        <w:pStyle w:val="Level1"/>
        <w:rPr>
          <w:lang w:val="sv-SE"/>
        </w:rPr>
      </w:pPr>
      <w:r>
        <w:rPr>
          <w:lang w:val="sv-SE"/>
        </w:rPr>
        <w:t xml:space="preserve">Val av styrelse och revisorer. </w:t>
      </w:r>
    </w:p>
    <w:p>
      <w:pPr>
        <w:pStyle w:val="Level1"/>
        <w:rPr>
          <w:rFonts w:cs="Arial"/>
          <w:color w:val="000000"/>
          <w:lang w:val="sv-SE"/>
        </w:rPr>
      </w:pPr>
      <w:r>
        <w:rPr>
          <w:lang w:val="sv-SE"/>
        </w:rPr>
        <w:t>Beslut om bemyndigande för styrelsen att besluta om emission av aktier, konvertibler eller teckningsoptioner.</w:t>
      </w:r>
    </w:p>
    <w:p>
      <w:pPr>
        <w:pStyle w:val="Level1"/>
        <w:rPr>
          <w:rFonts w:cs="Arial"/>
          <w:color w:val="000000"/>
          <w:lang w:val="sv-SE"/>
        </w:rPr>
      </w:pPr>
      <w:proofErr w:type="spellStart"/>
      <w:r>
        <w:t>Särskilt</w:t>
      </w:r>
      <w:proofErr w:type="spellEnd"/>
      <w:r>
        <w:t xml:space="preserve"> </w:t>
      </w:r>
      <w:proofErr w:type="spellStart"/>
      <w:r>
        <w:t>bemyndigande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styrelsen</w:t>
      </w:r>
      <w:proofErr w:type="spellEnd"/>
      <w:r>
        <w:t>.</w:t>
      </w:r>
    </w:p>
    <w:p>
      <w:pPr>
        <w:pStyle w:val="Level1"/>
      </w:pPr>
      <w:r>
        <w:rPr>
          <w:lang w:val="sv-SE"/>
        </w:rPr>
        <w:t>Stämmans</w:t>
      </w:r>
      <w:r>
        <w:t xml:space="preserve"> </w:t>
      </w:r>
      <w:r>
        <w:rPr>
          <w:lang w:val="sv-SE"/>
        </w:rPr>
        <w:t>avslutande.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Nedanstående beslutsförslag följer den numrering som framgår av den av styrelsen föreslagna dagordningen. </w:t>
      </w:r>
    </w:p>
    <w:p>
      <w:pPr>
        <w:pStyle w:val="Body"/>
        <w:spacing w:line="276" w:lineRule="auto"/>
        <w:rPr>
          <w:b/>
          <w:lang w:val="sv-SE"/>
        </w:rPr>
      </w:pPr>
      <w:r>
        <w:rPr>
          <w:b/>
          <w:lang w:val="sv-SE"/>
        </w:rPr>
        <w:t>Punkt 8(b) – Disposition av Bolagets resultat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Styrelsen föreslår att Bolagets förlust balanseras i ny räkning. </w:t>
      </w:r>
    </w:p>
    <w:p>
      <w:pPr>
        <w:pStyle w:val="Body"/>
        <w:spacing w:line="276" w:lineRule="auto"/>
        <w:rPr>
          <w:b/>
          <w:lang w:val="sv-SE"/>
        </w:rPr>
      </w:pPr>
      <w:r>
        <w:rPr>
          <w:b/>
          <w:lang w:val="sv-SE"/>
        </w:rPr>
        <w:t>Punkt 10 – Fastställande av arvode åt styrelsen och revisorn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Föreslås att styrelsearvode endast ska utgå till ordföranden med 150 000 kronor. 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Revisorn </w:t>
      </w:r>
      <w:proofErr w:type="gramStart"/>
      <w:r>
        <w:rPr>
          <w:lang w:val="sv-SE"/>
        </w:rPr>
        <w:t>föreslås</w:t>
      </w:r>
      <w:proofErr w:type="gramEnd"/>
      <w:r>
        <w:rPr>
          <w:lang w:val="sv-SE"/>
        </w:rPr>
        <w:t xml:space="preserve"> </w:t>
      </w:r>
      <w:proofErr w:type="gramStart"/>
      <w:r>
        <w:rPr>
          <w:lang w:val="sv-SE"/>
        </w:rPr>
        <w:t>ersättas</w:t>
      </w:r>
      <w:proofErr w:type="gramEnd"/>
      <w:r>
        <w:rPr>
          <w:lang w:val="sv-SE"/>
        </w:rPr>
        <w:t xml:space="preserve"> enligt av styrelsen godkänd kostnadsräkning. </w:t>
      </w:r>
    </w:p>
    <w:p>
      <w:pPr>
        <w:pStyle w:val="Body"/>
        <w:spacing w:line="276" w:lineRule="auto"/>
        <w:rPr>
          <w:b/>
          <w:lang w:val="sv-SE"/>
        </w:rPr>
      </w:pPr>
      <w:r>
        <w:rPr>
          <w:b/>
          <w:lang w:val="sv-SE"/>
        </w:rPr>
        <w:t>Punkt 11 – Val av styrelse och revisor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>Styrelsen föreslår att årsstämman beslutar om omval av nuvarande styrelseledamöter och revisor intill slutet av nästa årsstämma.</w:t>
      </w:r>
    </w:p>
    <w:p>
      <w:pPr>
        <w:pStyle w:val="Body"/>
        <w:spacing w:line="276" w:lineRule="auto"/>
        <w:rPr>
          <w:b/>
          <w:lang w:val="sv-SE"/>
        </w:rPr>
      </w:pPr>
      <w:r>
        <w:rPr>
          <w:b/>
          <w:lang w:val="sv-SE"/>
        </w:rPr>
        <w:t>Punkt 12 – Förslag till bemyndigande för styrelsen att besluta om emission av aktier, konvertibler eller teckningsoptioner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Styrelsen föreslår att årsstämman bemyndigar styrelsen att, vid ett eller flera tillfällen under tiden fram till nästa årsstämma fatta beslut om nyemission av aktier, konvertibler och/eller teckningsoptioner mot kontant betalning och/eller med bestämmelse om apport eller kvittning eller annars med villkor och att </w:t>
      </w:r>
      <w:proofErr w:type="gramStart"/>
      <w:r>
        <w:rPr>
          <w:lang w:val="sv-SE"/>
        </w:rPr>
        <w:t>därvid</w:t>
      </w:r>
      <w:proofErr w:type="gramEnd"/>
      <w:r>
        <w:rPr>
          <w:lang w:val="sv-SE"/>
        </w:rPr>
        <w:t xml:space="preserve"> kunna avvika från aktieägarnas företrädesrätt, medförande en ökning av det totala antalet aktier i Bolaget med högst 3 000 </w:t>
      </w:r>
      <w:proofErr w:type="spellStart"/>
      <w:r>
        <w:rPr>
          <w:lang w:val="sv-SE"/>
        </w:rPr>
        <w:t>000</w:t>
      </w:r>
      <w:proofErr w:type="spellEnd"/>
      <w:r>
        <w:rPr>
          <w:lang w:val="sv-SE"/>
        </w:rPr>
        <w:t>, innebärande en ökning av aktiekapitalet om högst 750 000 kronor. Syftet med bemyndigandet är för att ge styrelsen möjlighet att finansiera företagsförvärv eller förvärv av rättigheter.</w:t>
      </w:r>
    </w:p>
    <w:p>
      <w:pPr>
        <w:pStyle w:val="Body"/>
        <w:rPr>
          <w:lang w:val="sv-SE"/>
        </w:rPr>
      </w:pPr>
      <w:r>
        <w:rPr>
          <w:lang w:val="sv-SE"/>
        </w:rPr>
        <w:lastRenderedPageBreak/>
        <w:t xml:space="preserve">Beslut om bemyndigande för styrelsen enligt denna punkt 12 kräver för sin giltighet att det biträds av aktieägare med två tredjedelar av såväl de </w:t>
      </w:r>
      <w:proofErr w:type="gramStart"/>
      <w:r>
        <w:rPr>
          <w:lang w:val="sv-SE"/>
        </w:rPr>
        <w:t>avgivna</w:t>
      </w:r>
      <w:proofErr w:type="gramEnd"/>
      <w:r>
        <w:rPr>
          <w:lang w:val="sv-SE"/>
        </w:rPr>
        <w:t xml:space="preserve"> rösterna som de vid årsstämman företrädda aktierna.</w:t>
      </w:r>
    </w:p>
    <w:p>
      <w:pPr>
        <w:pStyle w:val="Body"/>
        <w:spacing w:line="276" w:lineRule="auto"/>
        <w:rPr>
          <w:b/>
          <w:lang w:val="sv-SE"/>
        </w:rPr>
      </w:pPr>
      <w:r>
        <w:rPr>
          <w:b/>
          <w:lang w:val="sv-SE"/>
        </w:rPr>
        <w:t>Punkt 13 – Särskilt bemyndigande för styrelsen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Styrelsen </w:t>
      </w:r>
      <w:proofErr w:type="gramStart"/>
      <w:r>
        <w:rPr>
          <w:lang w:val="sv-SE"/>
        </w:rPr>
        <w:t>föreslås</w:t>
      </w:r>
      <w:proofErr w:type="gramEnd"/>
      <w:r>
        <w:rPr>
          <w:lang w:val="sv-SE"/>
        </w:rPr>
        <w:t xml:space="preserve"> </w:t>
      </w:r>
      <w:proofErr w:type="gramStart"/>
      <w:r>
        <w:rPr>
          <w:lang w:val="sv-SE"/>
        </w:rPr>
        <w:t>bemyndigas</w:t>
      </w:r>
      <w:proofErr w:type="gramEnd"/>
      <w:r>
        <w:rPr>
          <w:lang w:val="sv-SE"/>
        </w:rPr>
        <w:t xml:space="preserve"> att vidtaga de smärre justeringar av besluten som kan visa sig erforderliga i samband med registrering av förslagen till beslut enligt denna kallelse vid Bolagsverket. </w:t>
      </w:r>
    </w:p>
    <w:p>
      <w:pPr>
        <w:pStyle w:val="Body"/>
        <w:rPr>
          <w:lang w:val="sv-SE"/>
        </w:rPr>
      </w:pPr>
      <w:r>
        <w:rPr>
          <w:rFonts w:cs="Arial"/>
          <w:b/>
          <w:color w:val="000000"/>
          <w:lang w:val="sv-SE"/>
        </w:rPr>
        <w:t>Övrigt</w:t>
      </w:r>
    </w:p>
    <w:p>
      <w:pPr>
        <w:pStyle w:val="Body"/>
        <w:spacing w:line="276" w:lineRule="auto"/>
        <w:rPr>
          <w:lang w:val="sv-SE"/>
        </w:rPr>
      </w:pPr>
      <w:r>
        <w:rPr>
          <w:lang w:val="sv-SE"/>
        </w:rPr>
        <w:t xml:space="preserve">Styrelsens fullständiga förslag till beslut, inklusive Bolagets årsredovisning och revisionsberättelse kommer för aktieägare att hållas tillgängliga hos Bolaget, adress enligt ovan, tre veckor före stämman och på Bolagets hemsida, </w:t>
      </w:r>
      <w:proofErr w:type="spellStart"/>
      <w:r>
        <w:rPr>
          <w:lang w:val="sv-SE"/>
        </w:rPr>
        <w:t>www.jojka.nu</w:t>
      </w:r>
      <w:proofErr w:type="spellEnd"/>
      <w:r>
        <w:rPr>
          <w:lang w:val="sv-SE"/>
        </w:rPr>
        <w:t xml:space="preserve">, samt </w:t>
      </w:r>
      <w:proofErr w:type="gramStart"/>
      <w:r>
        <w:rPr>
          <w:lang w:val="sv-SE"/>
        </w:rPr>
        <w:t>tillställas</w:t>
      </w:r>
      <w:proofErr w:type="gramEnd"/>
      <w:r>
        <w:rPr>
          <w:lang w:val="sv-SE"/>
        </w:rPr>
        <w:t xml:space="preserve"> de aktieägare som begär det och uppger sin postadress. </w:t>
      </w:r>
    </w:p>
    <w:p>
      <w:pPr>
        <w:pStyle w:val="Body"/>
        <w:rPr>
          <w:lang w:val="sv-SE"/>
        </w:rPr>
      </w:pPr>
      <w:r>
        <w:rPr>
          <w:lang w:val="sv-SE"/>
        </w:rPr>
        <w:t>Bolaget har 9 577 366 aktier och röster.</w:t>
      </w:r>
    </w:p>
    <w:p>
      <w:pPr>
        <w:pStyle w:val="Body"/>
        <w:rPr>
          <w:lang w:val="en-US"/>
        </w:rPr>
      </w:pPr>
      <w:r>
        <w:rPr>
          <w:lang w:val="da-DK"/>
        </w:rPr>
        <w:t>Stockholm i april 2016</w:t>
      </w:r>
    </w:p>
    <w:p>
      <w:pPr>
        <w:pStyle w:val="Body"/>
        <w:rPr>
          <w:lang w:val="en-US"/>
        </w:rPr>
      </w:pPr>
      <w:proofErr w:type="spellStart"/>
      <w:r>
        <w:rPr>
          <w:lang w:val="en-US"/>
        </w:rPr>
        <w:t>Jojka</w:t>
      </w:r>
      <w:proofErr w:type="spellEnd"/>
      <w:r>
        <w:rPr>
          <w:lang w:val="en-US"/>
        </w:rPr>
        <w:t xml:space="preserve"> Communications AB (</w:t>
      </w:r>
      <w:proofErr w:type="spellStart"/>
      <w:r>
        <w:rPr>
          <w:lang w:val="en-US"/>
        </w:rPr>
        <w:t>publ</w:t>
      </w:r>
      <w:proofErr w:type="spellEnd"/>
      <w:r>
        <w:rPr>
          <w:lang w:val="en-US"/>
        </w:rPr>
        <w:t>)</w:t>
      </w:r>
    </w:p>
    <w:p>
      <w:pPr>
        <w:pStyle w:val="Body"/>
      </w:pPr>
      <w:r>
        <w:rPr>
          <w:lang w:val="sv-SE"/>
        </w:rPr>
        <w:t xml:space="preserve">Styrelsen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>
    <w:nsid w:val="1DB01DB0"/>
    <w:multiLevelType w:val="hybridMultilevel"/>
    <w:tmpl w:val="563C9A7E"/>
    <w:lvl w:ilvl="0" w:tplc="041D000F">
      <w:start w:val="1"/>
      <w:numFmt w:val="decimal"/>
      <w:lvlText w:val="%1."/>
      <w:lvlJc w:val="left"/>
      <w:pPr>
        <w:ind w:left="3621" w:hanging="360"/>
      </w:pPr>
    </w:lvl>
    <w:lvl w:ilvl="1" w:tplc="041D0019" w:tentative="1">
      <w:start w:val="1"/>
      <w:numFmt w:val="lowerLetter"/>
      <w:lvlText w:val="%2."/>
      <w:lvlJc w:val="left"/>
      <w:pPr>
        <w:ind w:left="4341" w:hanging="360"/>
      </w:pPr>
    </w:lvl>
    <w:lvl w:ilvl="2" w:tplc="041D001B" w:tentative="1">
      <w:start w:val="1"/>
      <w:numFmt w:val="lowerRoman"/>
      <w:lvlText w:val="%3."/>
      <w:lvlJc w:val="right"/>
      <w:pPr>
        <w:ind w:left="5061" w:hanging="180"/>
      </w:pPr>
    </w:lvl>
    <w:lvl w:ilvl="3" w:tplc="041D000F" w:tentative="1">
      <w:start w:val="1"/>
      <w:numFmt w:val="decimal"/>
      <w:lvlText w:val="%4."/>
      <w:lvlJc w:val="left"/>
      <w:pPr>
        <w:ind w:left="5781" w:hanging="360"/>
      </w:pPr>
    </w:lvl>
    <w:lvl w:ilvl="4" w:tplc="041D0019" w:tentative="1">
      <w:start w:val="1"/>
      <w:numFmt w:val="lowerLetter"/>
      <w:lvlText w:val="%5."/>
      <w:lvlJc w:val="left"/>
      <w:pPr>
        <w:ind w:left="6501" w:hanging="360"/>
      </w:pPr>
    </w:lvl>
    <w:lvl w:ilvl="5" w:tplc="041D001B" w:tentative="1">
      <w:start w:val="1"/>
      <w:numFmt w:val="lowerRoman"/>
      <w:lvlText w:val="%6."/>
      <w:lvlJc w:val="right"/>
      <w:pPr>
        <w:ind w:left="7221" w:hanging="180"/>
      </w:pPr>
    </w:lvl>
    <w:lvl w:ilvl="6" w:tplc="041D000F" w:tentative="1">
      <w:start w:val="1"/>
      <w:numFmt w:val="decimal"/>
      <w:lvlText w:val="%7."/>
      <w:lvlJc w:val="left"/>
      <w:pPr>
        <w:ind w:left="7941" w:hanging="360"/>
      </w:pPr>
    </w:lvl>
    <w:lvl w:ilvl="7" w:tplc="041D0019" w:tentative="1">
      <w:start w:val="1"/>
      <w:numFmt w:val="lowerLetter"/>
      <w:lvlText w:val="%8."/>
      <w:lvlJc w:val="left"/>
      <w:pPr>
        <w:ind w:left="8661" w:hanging="360"/>
      </w:pPr>
    </w:lvl>
    <w:lvl w:ilvl="8" w:tplc="041D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8">
    <w:nsid w:val="7553539B"/>
    <w:multiLevelType w:val="hybridMultilevel"/>
    <w:tmpl w:val="6D8298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paragraph" w:customStyle="1" w:styleId="Body">
    <w:name w:val="Body"/>
    <w:qFormat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aDefinition">
    <w:name w:val="(a) Definition"/>
    <w:basedOn w:val="Body"/>
    <w:qFormat/>
    <w:pPr>
      <w:numPr>
        <w:numId w:val="3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pPr>
      <w:numPr>
        <w:ilvl w:val="1"/>
        <w:numId w:val="3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pPr>
      <w:numPr>
        <w:numId w:val="4"/>
      </w:numPr>
    </w:pPr>
  </w:style>
  <w:style w:type="paragraph" w:customStyle="1" w:styleId="Body2">
    <w:name w:val="Body 2"/>
    <w:basedOn w:val="Body1"/>
    <w:qFormat/>
  </w:style>
  <w:style w:type="paragraph" w:customStyle="1" w:styleId="Body3">
    <w:name w:val="Body 3"/>
    <w:basedOn w:val="Body2"/>
    <w:qFormat/>
    <w:pPr>
      <w:ind w:left="1843"/>
    </w:pPr>
  </w:style>
  <w:style w:type="paragraph" w:customStyle="1" w:styleId="Body4">
    <w:name w:val="Body 4"/>
    <w:basedOn w:val="Body3"/>
    <w:qFormat/>
    <w:pPr>
      <w:ind w:left="3119"/>
    </w:pPr>
  </w:style>
  <w:style w:type="paragraph" w:customStyle="1" w:styleId="Body5">
    <w:name w:val="Body 5"/>
    <w:basedOn w:val="Body3"/>
    <w:qFormat/>
    <w:pPr>
      <w:ind w:left="3119"/>
    </w:pPr>
  </w:style>
  <w:style w:type="paragraph" w:customStyle="1" w:styleId="Bullet1">
    <w:name w:val="Bullet 1"/>
    <w:basedOn w:val="Body1"/>
    <w:qFormat/>
    <w:pPr>
      <w:numPr>
        <w:numId w:val="5"/>
      </w:numPr>
    </w:pPr>
  </w:style>
  <w:style w:type="paragraph" w:customStyle="1" w:styleId="Bullet2">
    <w:name w:val="Bullet 2"/>
    <w:basedOn w:val="Body2"/>
    <w:qFormat/>
    <w:pPr>
      <w:numPr>
        <w:ilvl w:val="1"/>
        <w:numId w:val="5"/>
      </w:numPr>
    </w:pPr>
  </w:style>
  <w:style w:type="paragraph" w:customStyle="1" w:styleId="Bullet3">
    <w:name w:val="Bullet 3"/>
    <w:basedOn w:val="Body3"/>
    <w:qFormat/>
    <w:pPr>
      <w:numPr>
        <w:ilvl w:val="2"/>
        <w:numId w:val="5"/>
      </w:numPr>
    </w:pPr>
  </w:style>
  <w:style w:type="character" w:customStyle="1" w:styleId="CrossReference">
    <w:name w:val="Cross Reference"/>
    <w:basedOn w:val="Standardstycketeckensnitt"/>
    <w:qFormat/>
    <w:rPr>
      <w:b/>
    </w:rPr>
  </w:style>
  <w:style w:type="paragraph" w:styleId="Sidfot">
    <w:name w:val="footer"/>
    <w:basedOn w:val="Normal"/>
    <w:link w:val="SidfotChar"/>
    <w:semiHidden/>
    <w:pPr>
      <w:tabs>
        <w:tab w:val="center" w:pos="4536"/>
      </w:tabs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semiHidden/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character" w:styleId="Fotnotsreferens">
    <w:name w:val="footnote reference"/>
    <w:basedOn w:val="Standardstycketeckensnitt"/>
    <w:semiHidden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link w:val="FotnotstextChar"/>
    <w:semiHidden/>
    <w:pPr>
      <w:tabs>
        <w:tab w:val="left" w:pos="851"/>
      </w:tabs>
      <w:spacing w:after="60" w:line="240" w:lineRule="auto"/>
      <w:ind w:left="851" w:hanging="851"/>
    </w:pPr>
    <w:rPr>
      <w:rFonts w:ascii="Tahoma" w:eastAsia="Times New Roman" w:hAnsi="Tahoma" w:cs="Times New Roman"/>
      <w:sz w:val="16"/>
      <w:szCs w:val="20"/>
      <w:lang w:val="en-GB" w:eastAsia="en-GB"/>
    </w:rPr>
  </w:style>
  <w:style w:type="character" w:customStyle="1" w:styleId="FotnotstextChar">
    <w:name w:val="Fotnotstext Char"/>
    <w:basedOn w:val="Standardstycketeckensnitt"/>
    <w:link w:val="Fotnotstext"/>
    <w:semiHidden/>
    <w:rPr>
      <w:rFonts w:ascii="Tahoma" w:eastAsia="Times New Roman" w:hAnsi="Tahoma" w:cs="Times New Roman"/>
      <w:sz w:val="16"/>
      <w:szCs w:val="20"/>
      <w:lang w:val="en-GB" w:eastAsia="en-GB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semiHidden/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paragraph" w:customStyle="1" w:styleId="Level1">
    <w:name w:val="Level 1"/>
    <w:basedOn w:val="Body1"/>
    <w:qFormat/>
    <w:pPr>
      <w:numPr>
        <w:numId w:val="6"/>
      </w:numPr>
      <w:outlineLvl w:val="0"/>
    </w:pPr>
  </w:style>
  <w:style w:type="character" w:customStyle="1" w:styleId="Level1asHeadingtext">
    <w:name w:val="Level 1 as Heading (text)"/>
    <w:basedOn w:val="Standardstycketeckensnitt"/>
    <w:rPr>
      <w:b/>
    </w:rPr>
  </w:style>
  <w:style w:type="paragraph" w:customStyle="1" w:styleId="Level2">
    <w:name w:val="Level 2"/>
    <w:basedOn w:val="Body2"/>
    <w:qFormat/>
    <w:pPr>
      <w:numPr>
        <w:ilvl w:val="1"/>
        <w:numId w:val="6"/>
      </w:numPr>
      <w:outlineLvl w:val="1"/>
    </w:pPr>
  </w:style>
  <w:style w:type="character" w:customStyle="1" w:styleId="Level2asHeadingtext">
    <w:name w:val="Level 2 as Heading (text)"/>
    <w:basedOn w:val="Standardstycketeckensnitt"/>
    <w:rPr>
      <w:b/>
    </w:rPr>
  </w:style>
  <w:style w:type="paragraph" w:customStyle="1" w:styleId="Level3">
    <w:name w:val="Level 3"/>
    <w:basedOn w:val="Body3"/>
    <w:qFormat/>
    <w:pPr>
      <w:numPr>
        <w:ilvl w:val="2"/>
        <w:numId w:val="6"/>
      </w:numPr>
      <w:outlineLvl w:val="2"/>
    </w:pPr>
  </w:style>
  <w:style w:type="character" w:customStyle="1" w:styleId="Level3asHeadingtext">
    <w:name w:val="Level 3 as Heading (text)"/>
    <w:basedOn w:val="Standardstycketeckensnitt"/>
    <w:rPr>
      <w:b/>
    </w:rPr>
  </w:style>
  <w:style w:type="paragraph" w:customStyle="1" w:styleId="Level4">
    <w:name w:val="Level 4"/>
    <w:basedOn w:val="Body4"/>
    <w:qFormat/>
    <w:pPr>
      <w:numPr>
        <w:ilvl w:val="3"/>
        <w:numId w:val="6"/>
      </w:numPr>
      <w:outlineLvl w:val="3"/>
    </w:pPr>
  </w:style>
  <w:style w:type="paragraph" w:customStyle="1" w:styleId="Level5">
    <w:name w:val="Level 5"/>
    <w:basedOn w:val="Body5"/>
    <w:qFormat/>
    <w:pPr>
      <w:numPr>
        <w:ilvl w:val="4"/>
        <w:numId w:val="6"/>
      </w:numPr>
      <w:outlineLvl w:val="4"/>
    </w:pPr>
  </w:style>
  <w:style w:type="character" w:styleId="Sidnummer">
    <w:name w:val="page number"/>
    <w:basedOn w:val="Standardstycketeckensnitt"/>
    <w:semiHidden/>
    <w:rPr>
      <w:sz w:val="16"/>
    </w:rPr>
  </w:style>
  <w:style w:type="paragraph" w:customStyle="1" w:styleId="Parties">
    <w:name w:val="Parties"/>
    <w:basedOn w:val="Body1"/>
    <w:qFormat/>
    <w:pPr>
      <w:numPr>
        <w:numId w:val="7"/>
      </w:numPr>
    </w:pPr>
  </w:style>
  <w:style w:type="paragraph" w:customStyle="1" w:styleId="Rule1">
    <w:name w:val="Rule 1"/>
    <w:basedOn w:val="Body"/>
    <w:semiHidden/>
    <w:unhideWhenUsed/>
    <w:pPr>
      <w:keepNext/>
      <w:numPr>
        <w:numId w:val="8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pPr>
      <w:numPr>
        <w:ilvl w:val="1"/>
        <w:numId w:val="8"/>
      </w:numPr>
    </w:pPr>
  </w:style>
  <w:style w:type="paragraph" w:customStyle="1" w:styleId="Rule3">
    <w:name w:val="Rule 3"/>
    <w:basedOn w:val="Body3"/>
    <w:semiHidden/>
    <w:unhideWhenUsed/>
    <w:pPr>
      <w:numPr>
        <w:ilvl w:val="2"/>
        <w:numId w:val="8"/>
      </w:numPr>
    </w:pPr>
  </w:style>
  <w:style w:type="paragraph" w:customStyle="1" w:styleId="Rule4">
    <w:name w:val="Rule 4"/>
    <w:basedOn w:val="Body4"/>
    <w:semiHidden/>
    <w:unhideWhenUsed/>
    <w:pPr>
      <w:numPr>
        <w:ilvl w:val="3"/>
        <w:numId w:val="8"/>
      </w:numPr>
    </w:pPr>
  </w:style>
  <w:style w:type="paragraph" w:customStyle="1" w:styleId="Rule5">
    <w:name w:val="Rule 5"/>
    <w:basedOn w:val="Body5"/>
    <w:semiHidden/>
    <w:unhideWhenUsed/>
    <w:pPr>
      <w:numPr>
        <w:ilvl w:val="4"/>
        <w:numId w:val="8"/>
      </w:numPr>
    </w:pPr>
  </w:style>
  <w:style w:type="paragraph" w:customStyle="1" w:styleId="Schedule">
    <w:name w:val="Schedule"/>
    <w:basedOn w:val="Normal"/>
    <w:semiHidden/>
    <w:pPr>
      <w:keepNext/>
      <w:numPr>
        <w:numId w:val="9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qFormat/>
    <w:pPr>
      <w:numPr>
        <w:numId w:val="10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pPr>
      <w:numPr>
        <w:ilvl w:val="1"/>
      </w:numPr>
    </w:pPr>
  </w:style>
  <w:style w:type="paragraph" w:styleId="Innehll1">
    <w:name w:val="toc 1"/>
    <w:basedOn w:val="Body"/>
    <w:next w:val="Normal"/>
    <w:semiHidden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tnotstext"/>
    <w:semiHidden/>
    <w:pPr>
      <w:ind w:firstLine="0"/>
    </w:p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\Office\Mallar\house%20styles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 styles.dotm</Template>
  <TotalTime>47</TotalTime>
  <Pages>3</Pages>
  <Words>728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Eversheds Advokatbyrå AB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Sundström</dc:creator>
  <cp:lastModifiedBy>Caroline Wikström</cp:lastModifiedBy>
  <cp:revision>12</cp:revision>
  <cp:lastPrinted>2016-04-22T09:22:00Z</cp:lastPrinted>
  <dcterms:created xsi:type="dcterms:W3CDTF">2016-04-22T11:38:00Z</dcterms:created>
  <dcterms:modified xsi:type="dcterms:W3CDTF">2016-04-25T12:52:00Z</dcterms:modified>
</cp:coreProperties>
</file>