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8B" w:rsidRPr="00E77F8B" w:rsidRDefault="00D803C5" w:rsidP="00BD271D">
      <w:pPr>
        <w:rPr>
          <w:rStyle w:val="Starkbetoning"/>
          <w:i w:val="0"/>
          <w:color w:val="000000" w:themeColor="text1"/>
        </w:rPr>
      </w:pPr>
      <w:r>
        <w:rPr>
          <w:rStyle w:val="Starkbetoning"/>
          <w:i w:val="0"/>
          <w:color w:val="000000" w:themeColor="text1"/>
        </w:rPr>
        <w:t>PRESSMEDDELANDE 2017-05-29</w:t>
      </w:r>
    </w:p>
    <w:p w:rsidR="00E77F8B" w:rsidRPr="00707A57" w:rsidRDefault="00E77F8B" w:rsidP="00E77F8B">
      <w:pPr>
        <w:pStyle w:val="Rubrik3"/>
        <w:rPr>
          <w:color w:val="000000" w:themeColor="text1"/>
          <w:lang w:val="sv-SE"/>
        </w:rPr>
      </w:pPr>
      <w:r w:rsidRPr="00707A57">
        <w:rPr>
          <w:color w:val="000000" w:themeColor="text1"/>
          <w:lang w:val="sv-SE"/>
        </w:rPr>
        <w:t xml:space="preserve">Ny Sifo-undersökning: </w:t>
      </w:r>
    </w:p>
    <w:p w:rsidR="00741EA5" w:rsidRPr="00707A57" w:rsidRDefault="00741EA5" w:rsidP="00E77F8B">
      <w:pPr>
        <w:pStyle w:val="Rubrik2"/>
        <w:rPr>
          <w:color w:val="000000" w:themeColor="text1"/>
          <w:sz w:val="28"/>
          <w:lang w:val="sv-SE"/>
        </w:rPr>
      </w:pPr>
      <w:r w:rsidRPr="00707A57">
        <w:rPr>
          <w:color w:val="000000" w:themeColor="text1"/>
          <w:sz w:val="28"/>
          <w:lang w:val="sv-SE"/>
        </w:rPr>
        <w:t xml:space="preserve">Sju av tio svenskar sparar till semestern </w:t>
      </w:r>
    </w:p>
    <w:p w:rsidR="00E77F8B" w:rsidRPr="00E77F8B" w:rsidRDefault="00E77F8B" w:rsidP="00E77F8B">
      <w:pPr>
        <w:rPr>
          <w:lang w:val="sv-SE"/>
        </w:rPr>
      </w:pPr>
    </w:p>
    <w:p w:rsidR="0058762F" w:rsidRPr="00045C54" w:rsidRDefault="007840A5" w:rsidP="0058762F">
      <w:pPr>
        <w:rPr>
          <w:b/>
          <w:lang w:val="sv-SE"/>
        </w:rPr>
      </w:pPr>
      <w:r w:rsidRPr="00045C54">
        <w:rPr>
          <w:b/>
          <w:lang w:val="sv-SE"/>
        </w:rPr>
        <w:t xml:space="preserve">62 procent </w:t>
      </w:r>
      <w:r w:rsidR="00AF6633" w:rsidRPr="00045C54">
        <w:rPr>
          <w:b/>
          <w:lang w:val="sv-SE"/>
        </w:rPr>
        <w:t xml:space="preserve">av svenskarna </w:t>
      </w:r>
      <w:r w:rsidR="0058762F" w:rsidRPr="00045C54">
        <w:rPr>
          <w:b/>
          <w:lang w:val="sv-SE"/>
        </w:rPr>
        <w:t xml:space="preserve">planerar att lägga </w:t>
      </w:r>
      <w:r w:rsidR="0047702B" w:rsidRPr="00045C54">
        <w:rPr>
          <w:b/>
          <w:lang w:val="sv-SE"/>
        </w:rPr>
        <w:t>över</w:t>
      </w:r>
      <w:r w:rsidRPr="00045C54">
        <w:rPr>
          <w:b/>
          <w:lang w:val="sv-SE"/>
        </w:rPr>
        <w:t xml:space="preserve"> 5</w:t>
      </w:r>
      <w:r w:rsidR="006D0481">
        <w:rPr>
          <w:b/>
          <w:lang w:val="sv-SE"/>
        </w:rPr>
        <w:t xml:space="preserve"> </w:t>
      </w:r>
      <w:r w:rsidRPr="00045C54">
        <w:rPr>
          <w:b/>
          <w:lang w:val="sv-SE"/>
        </w:rPr>
        <w:t xml:space="preserve">000 </w:t>
      </w:r>
      <w:r w:rsidR="0058762F" w:rsidRPr="00045C54">
        <w:rPr>
          <w:b/>
          <w:lang w:val="sv-SE"/>
        </w:rPr>
        <w:t>kr på sin semester i sommar</w:t>
      </w:r>
      <w:r w:rsidR="00045C54" w:rsidRPr="00045C54">
        <w:rPr>
          <w:b/>
          <w:lang w:val="sv-SE"/>
        </w:rPr>
        <w:t>, extra</w:t>
      </w:r>
      <w:r w:rsidR="00B47EB3" w:rsidRPr="00045C54">
        <w:rPr>
          <w:b/>
          <w:lang w:val="sv-SE"/>
        </w:rPr>
        <w:t xml:space="preserve">utgifterna betalas i första hand med sparade pengar och lönen. Sju procent planerar att låna pengar </w:t>
      </w:r>
      <w:r w:rsidR="0047702B" w:rsidRPr="00045C54">
        <w:rPr>
          <w:b/>
          <w:lang w:val="sv-SE"/>
        </w:rPr>
        <w:t>sommarens extrautgifter</w:t>
      </w:r>
      <w:r w:rsidR="00510501" w:rsidRPr="00045C54">
        <w:rPr>
          <w:b/>
          <w:lang w:val="sv-SE"/>
        </w:rPr>
        <w:t xml:space="preserve">, </w:t>
      </w:r>
      <w:r w:rsidR="00AF6633" w:rsidRPr="00045C54">
        <w:rPr>
          <w:b/>
          <w:lang w:val="sv-SE"/>
        </w:rPr>
        <w:t xml:space="preserve">det </w:t>
      </w:r>
      <w:r w:rsidR="00221B0E" w:rsidRPr="00045C54">
        <w:rPr>
          <w:b/>
          <w:lang w:val="sv-SE"/>
        </w:rPr>
        <w:t>visar en n</w:t>
      </w:r>
      <w:r w:rsidR="00266BC6" w:rsidRPr="00045C54">
        <w:rPr>
          <w:b/>
          <w:lang w:val="sv-SE"/>
        </w:rPr>
        <w:t>y</w:t>
      </w:r>
      <w:r w:rsidR="00221B0E" w:rsidRPr="00045C54">
        <w:rPr>
          <w:b/>
          <w:lang w:val="sv-SE"/>
        </w:rPr>
        <w:t xml:space="preserve"> Sifo-undersökning </w:t>
      </w:r>
      <w:r w:rsidR="00E77F8B">
        <w:rPr>
          <w:b/>
          <w:lang w:val="sv-SE"/>
        </w:rPr>
        <w:t>genomförd på uppdrag av</w:t>
      </w:r>
      <w:r w:rsidR="00221B0E" w:rsidRPr="00045C54">
        <w:rPr>
          <w:b/>
          <w:lang w:val="sv-SE"/>
        </w:rPr>
        <w:t xml:space="preserve"> Lindorff. </w:t>
      </w:r>
    </w:p>
    <w:p w:rsidR="00533BB0" w:rsidRPr="00045C54" w:rsidRDefault="002669CD" w:rsidP="00533BB0">
      <w:pPr>
        <w:rPr>
          <w:lang w:val="sv-SE"/>
        </w:rPr>
      </w:pPr>
      <w:r w:rsidRPr="00533BB0">
        <w:rPr>
          <w:lang w:val="sv-SE"/>
        </w:rPr>
        <w:t xml:space="preserve">En undersökning genomförd av Lindorff visar att </w:t>
      </w:r>
      <w:r w:rsidR="00630160" w:rsidRPr="00533BB0">
        <w:rPr>
          <w:lang w:val="sv-SE"/>
        </w:rPr>
        <w:t xml:space="preserve">svenskarna är försiktiga med att ta lån för att åka på semester, </w:t>
      </w:r>
      <w:r w:rsidR="001224DD" w:rsidRPr="00533BB0">
        <w:rPr>
          <w:lang w:val="sv-SE"/>
        </w:rPr>
        <w:t>92 p</w:t>
      </w:r>
      <w:r w:rsidR="004B2859" w:rsidRPr="00533BB0">
        <w:rPr>
          <w:lang w:val="sv-SE"/>
        </w:rPr>
        <w:t>rocent har aldrig tagit lån</w:t>
      </w:r>
      <w:r w:rsidR="00533BB0" w:rsidRPr="00533BB0">
        <w:rPr>
          <w:lang w:val="sv-SE"/>
        </w:rPr>
        <w:t>.</w:t>
      </w:r>
      <w:r w:rsidR="00221B0E" w:rsidRPr="00533BB0">
        <w:rPr>
          <w:lang w:val="sv-SE"/>
        </w:rPr>
        <w:t xml:space="preserve"> </w:t>
      </w:r>
      <w:bookmarkStart w:id="0" w:name="_GoBack"/>
      <w:r w:rsidR="00533BB0" w:rsidRPr="00533BB0">
        <w:rPr>
          <w:lang w:val="sv-SE"/>
        </w:rPr>
        <w:t xml:space="preserve">Av de </w:t>
      </w:r>
      <w:r w:rsidR="000D362D">
        <w:rPr>
          <w:lang w:val="sv-SE"/>
        </w:rPr>
        <w:t xml:space="preserve">åtta procent </w:t>
      </w:r>
      <w:r w:rsidR="00533BB0" w:rsidRPr="00533BB0">
        <w:rPr>
          <w:lang w:val="sv-SE"/>
        </w:rPr>
        <w:t xml:space="preserve">som </w:t>
      </w:r>
      <w:r w:rsidR="00533BB0" w:rsidRPr="00533BB0">
        <w:rPr>
          <w:lang w:val="sv-SE"/>
        </w:rPr>
        <w:t>har tagit lån betalade</w:t>
      </w:r>
      <w:r w:rsidR="00533BB0" w:rsidRPr="00533BB0">
        <w:rPr>
          <w:lang w:val="sv-SE"/>
        </w:rPr>
        <w:t xml:space="preserve"> 45 procent</w:t>
      </w:r>
      <w:r w:rsidR="00533BB0" w:rsidRPr="00533BB0">
        <w:rPr>
          <w:lang w:val="sv-SE"/>
        </w:rPr>
        <w:t xml:space="preserve"> av lånet direkt, eller inom sex månader</w:t>
      </w:r>
      <w:r w:rsidR="00533BB0" w:rsidRPr="00533BB0">
        <w:rPr>
          <w:lang w:val="sv-SE"/>
        </w:rPr>
        <w:t>.</w:t>
      </w:r>
      <w:r w:rsidR="00533BB0">
        <w:rPr>
          <w:lang w:val="sv-SE"/>
        </w:rPr>
        <w:t xml:space="preserve"> </w:t>
      </w:r>
      <w:bookmarkEnd w:id="0"/>
    </w:p>
    <w:p w:rsidR="001224DD" w:rsidRPr="000D362D" w:rsidRDefault="0049023A" w:rsidP="00630160">
      <w:pPr>
        <w:rPr>
          <w:lang w:val="sv-SE"/>
        </w:rPr>
      </w:pPr>
      <w:r w:rsidRPr="000D362D">
        <w:rPr>
          <w:lang w:val="sv-SE"/>
        </w:rPr>
        <w:t>En anledning</w:t>
      </w:r>
      <w:r w:rsidR="003C1958" w:rsidRPr="000D362D">
        <w:rPr>
          <w:lang w:val="sv-SE"/>
        </w:rPr>
        <w:t xml:space="preserve"> till att få behöver ta lån</w:t>
      </w:r>
      <w:r w:rsidRPr="000D362D">
        <w:rPr>
          <w:lang w:val="sv-SE"/>
        </w:rPr>
        <w:t xml:space="preserve"> kan vara att så många som </w:t>
      </w:r>
      <w:r w:rsidR="001224DD" w:rsidRPr="000D362D">
        <w:rPr>
          <w:lang w:val="sv-SE"/>
        </w:rPr>
        <w:t xml:space="preserve">sju av tio svenskar </w:t>
      </w:r>
      <w:r w:rsidR="004B2859" w:rsidRPr="000D362D">
        <w:rPr>
          <w:lang w:val="sv-SE"/>
        </w:rPr>
        <w:t xml:space="preserve">har </w:t>
      </w:r>
      <w:r w:rsidR="001224DD" w:rsidRPr="000D362D">
        <w:rPr>
          <w:lang w:val="sv-SE"/>
        </w:rPr>
        <w:t>ett sparande</w:t>
      </w:r>
      <w:r w:rsidR="004B2859" w:rsidRPr="000D362D">
        <w:rPr>
          <w:lang w:val="sv-SE"/>
        </w:rPr>
        <w:t xml:space="preserve"> öronmärkt</w:t>
      </w:r>
      <w:r w:rsidRPr="000D362D">
        <w:rPr>
          <w:lang w:val="sv-SE"/>
        </w:rPr>
        <w:t xml:space="preserve"> för kommande semestrar. </w:t>
      </w:r>
    </w:p>
    <w:p w:rsidR="00AF6633" w:rsidRPr="000D362D" w:rsidRDefault="00170684" w:rsidP="00533BB0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Den goda betalningsförmågan</w:t>
      </w:r>
      <w:r w:rsidR="00533BB0" w:rsidRPr="000D362D">
        <w:rPr>
          <w:lang w:val="sv-SE"/>
        </w:rPr>
        <w:t xml:space="preserve"> </w:t>
      </w:r>
      <w:r w:rsidR="00221B0E" w:rsidRPr="000D362D">
        <w:rPr>
          <w:lang w:val="sv-SE"/>
        </w:rPr>
        <w:t xml:space="preserve">speglas också i </w:t>
      </w:r>
      <w:r w:rsidR="00F108BF" w:rsidRPr="000D362D">
        <w:rPr>
          <w:lang w:val="sv-SE"/>
        </w:rPr>
        <w:t xml:space="preserve">att det inte syns </w:t>
      </w:r>
      <w:r w:rsidR="004B2859" w:rsidRPr="000D362D">
        <w:rPr>
          <w:lang w:val="sv-SE"/>
        </w:rPr>
        <w:t xml:space="preserve">någon ökning </w:t>
      </w:r>
      <w:r w:rsidR="00F108BF" w:rsidRPr="000D362D">
        <w:rPr>
          <w:lang w:val="sv-SE"/>
        </w:rPr>
        <w:t xml:space="preserve">i antalet betalningsanmärkningar </w:t>
      </w:r>
      <w:r w:rsidR="004B2859" w:rsidRPr="000D362D">
        <w:rPr>
          <w:lang w:val="sv-SE"/>
        </w:rPr>
        <w:t>efter sommaren</w:t>
      </w:r>
      <w:r w:rsidR="00221B0E" w:rsidRPr="000D362D">
        <w:rPr>
          <w:lang w:val="sv-SE"/>
        </w:rPr>
        <w:t xml:space="preserve">, </w:t>
      </w:r>
      <w:r w:rsidR="00E316A3" w:rsidRPr="000D362D">
        <w:rPr>
          <w:lang w:val="sv-SE"/>
        </w:rPr>
        <w:t>säger Erika Rönnquist Hoh</w:t>
      </w:r>
      <w:r w:rsidR="00F108BF" w:rsidRPr="000D362D">
        <w:rPr>
          <w:lang w:val="sv-SE"/>
        </w:rPr>
        <w:t xml:space="preserve">, </w:t>
      </w:r>
      <w:r w:rsidR="00E47686" w:rsidRPr="000D362D">
        <w:rPr>
          <w:lang w:val="sv-SE"/>
        </w:rPr>
        <w:t xml:space="preserve">VD, Lindorff Sverige </w:t>
      </w:r>
    </w:p>
    <w:p w:rsidR="00741EA5" w:rsidRDefault="00AF6633" w:rsidP="00741EA5">
      <w:pPr>
        <w:rPr>
          <w:lang w:val="sv-SE"/>
        </w:rPr>
      </w:pPr>
      <w:r w:rsidRPr="00045C54">
        <w:rPr>
          <w:lang w:val="sv-SE"/>
        </w:rPr>
        <w:t xml:space="preserve">Bland </w:t>
      </w:r>
      <w:r w:rsidR="00B33D0C" w:rsidRPr="00045C54">
        <w:rPr>
          <w:lang w:val="sv-SE"/>
        </w:rPr>
        <w:t>de som tjänar mer än 50 000 kr</w:t>
      </w:r>
      <w:r w:rsidR="006D0481">
        <w:rPr>
          <w:lang w:val="sv-SE"/>
        </w:rPr>
        <w:t>,</w:t>
      </w:r>
      <w:r w:rsidR="00B33D0C" w:rsidRPr="00045C54">
        <w:rPr>
          <w:lang w:val="sv-SE"/>
        </w:rPr>
        <w:t xml:space="preserve"> planerar drygt hälften</w:t>
      </w:r>
      <w:r w:rsidRPr="00045C54">
        <w:rPr>
          <w:lang w:val="sv-SE"/>
        </w:rPr>
        <w:t xml:space="preserve"> att åka utomlands i sommar </w:t>
      </w:r>
      <w:r w:rsidR="00B33D0C" w:rsidRPr="00045C54">
        <w:rPr>
          <w:lang w:val="sv-SE"/>
        </w:rPr>
        <w:t>vilket kan jämföras med en tredjedel i gruppen som tjänar mellan 19 000 kr och 25 000 kr.</w:t>
      </w:r>
      <w:r w:rsidR="006D0481">
        <w:rPr>
          <w:lang w:val="sv-SE"/>
        </w:rPr>
        <w:t xml:space="preserve"> </w:t>
      </w:r>
      <w:r w:rsidR="00B33D0C" w:rsidRPr="00045C54">
        <w:rPr>
          <w:lang w:val="sv-SE"/>
        </w:rPr>
        <w:t>Lönen är inte</w:t>
      </w:r>
      <w:r w:rsidR="00741EA5" w:rsidRPr="00045C54">
        <w:rPr>
          <w:lang w:val="sv-SE"/>
        </w:rPr>
        <w:t xml:space="preserve"> det enda som påverkar semesterbudgeten</w:t>
      </w:r>
      <w:r w:rsidR="006D0481">
        <w:rPr>
          <w:lang w:val="sv-SE"/>
        </w:rPr>
        <w:t>. E</w:t>
      </w:r>
      <w:r w:rsidR="00741EA5" w:rsidRPr="00045C54">
        <w:rPr>
          <w:lang w:val="sv-SE"/>
        </w:rPr>
        <w:t xml:space="preserve">nligt undersökningen har </w:t>
      </w:r>
      <w:r w:rsidR="00B47EB3" w:rsidRPr="00045C54">
        <w:rPr>
          <w:lang w:val="sv-SE"/>
        </w:rPr>
        <w:t xml:space="preserve">nästan </w:t>
      </w:r>
      <w:r w:rsidR="00741EA5" w:rsidRPr="00045C54">
        <w:rPr>
          <w:lang w:val="sv-SE"/>
        </w:rPr>
        <w:t>två tredjedelar</w:t>
      </w:r>
      <w:r w:rsidR="00B47EB3" w:rsidRPr="00045C54">
        <w:rPr>
          <w:lang w:val="sv-SE"/>
        </w:rPr>
        <w:t xml:space="preserve">, </w:t>
      </w:r>
      <w:r w:rsidR="006D0481">
        <w:rPr>
          <w:lang w:val="sv-SE"/>
        </w:rPr>
        <w:t>(</w:t>
      </w:r>
      <w:r w:rsidR="00B47EB3" w:rsidRPr="00045C54">
        <w:rPr>
          <w:lang w:val="sv-SE"/>
        </w:rPr>
        <w:t>72 procent</w:t>
      </w:r>
      <w:r w:rsidR="006D0481">
        <w:rPr>
          <w:lang w:val="sv-SE"/>
        </w:rPr>
        <w:t>)</w:t>
      </w:r>
      <w:r w:rsidR="00B47EB3" w:rsidRPr="00045C54">
        <w:rPr>
          <w:lang w:val="sv-SE"/>
        </w:rPr>
        <w:t xml:space="preserve"> </w:t>
      </w:r>
      <w:r w:rsidR="00741EA5" w:rsidRPr="00045C54">
        <w:rPr>
          <w:lang w:val="sv-SE"/>
        </w:rPr>
        <w:t xml:space="preserve">av alla som planerar att resa utomlands i sommar </w:t>
      </w:r>
      <w:r w:rsidR="00B47EB3" w:rsidRPr="00045C54">
        <w:rPr>
          <w:lang w:val="sv-SE"/>
        </w:rPr>
        <w:t>tänkt</w:t>
      </w:r>
      <w:r w:rsidR="00741EA5" w:rsidRPr="00045C54">
        <w:rPr>
          <w:lang w:val="sv-SE"/>
        </w:rPr>
        <w:t xml:space="preserve"> att finansiera kostnaderna med sparade pengar. </w:t>
      </w:r>
    </w:p>
    <w:p w:rsidR="00097F7D" w:rsidRPr="00045C54" w:rsidRDefault="00097F7D" w:rsidP="00097F7D">
      <w:pPr>
        <w:rPr>
          <w:b/>
          <w:lang w:val="sv-SE"/>
        </w:rPr>
      </w:pPr>
      <w:r w:rsidRPr="00045C54">
        <w:rPr>
          <w:b/>
          <w:lang w:val="sv-SE"/>
        </w:rPr>
        <w:t xml:space="preserve">Fyra steg för att komma igång med semestersparandet: </w:t>
      </w:r>
    </w:p>
    <w:p w:rsidR="00097F7D" w:rsidRPr="00045C54" w:rsidRDefault="00097F7D" w:rsidP="00097F7D">
      <w:pPr>
        <w:pStyle w:val="Liststycke"/>
        <w:numPr>
          <w:ilvl w:val="0"/>
          <w:numId w:val="4"/>
        </w:numPr>
        <w:rPr>
          <w:lang w:val="sv-SE"/>
        </w:rPr>
      </w:pPr>
      <w:r w:rsidRPr="00045C54">
        <w:rPr>
          <w:lang w:val="sv-SE"/>
        </w:rPr>
        <w:t xml:space="preserve">Gå igenom din ekonomi för att se vilka kostnader du kan dra ner på för att få mer pengar till ett sparande. </w:t>
      </w:r>
    </w:p>
    <w:p w:rsidR="00097F7D" w:rsidRPr="00045C54" w:rsidRDefault="00097F7D" w:rsidP="00097F7D">
      <w:pPr>
        <w:pStyle w:val="Liststycke"/>
        <w:numPr>
          <w:ilvl w:val="0"/>
          <w:numId w:val="4"/>
        </w:numPr>
        <w:rPr>
          <w:lang w:val="sv-SE"/>
        </w:rPr>
      </w:pPr>
      <w:r w:rsidRPr="00045C54">
        <w:rPr>
          <w:lang w:val="sv-SE"/>
        </w:rPr>
        <w:t xml:space="preserve">Sätt upp ett sparkonto och namnge kontot till Semester. Då blir det tydligare vad pengarna ska användas till och varför du sparar. </w:t>
      </w:r>
    </w:p>
    <w:p w:rsidR="00097F7D" w:rsidRPr="00045C54" w:rsidRDefault="00097F7D" w:rsidP="00097F7D">
      <w:pPr>
        <w:pStyle w:val="Liststycke"/>
        <w:numPr>
          <w:ilvl w:val="0"/>
          <w:numId w:val="4"/>
        </w:numPr>
        <w:rPr>
          <w:lang w:val="sv-SE"/>
        </w:rPr>
      </w:pPr>
      <w:r w:rsidRPr="00045C54">
        <w:rPr>
          <w:lang w:val="sv-SE"/>
        </w:rPr>
        <w:t xml:space="preserve">Gör en stående överföring som dras direkt när din inkomst kommer in på kontot. </w:t>
      </w:r>
    </w:p>
    <w:p w:rsidR="00097F7D" w:rsidRDefault="00097F7D" w:rsidP="00097F7D">
      <w:pPr>
        <w:pStyle w:val="Liststycke"/>
        <w:numPr>
          <w:ilvl w:val="0"/>
          <w:numId w:val="4"/>
        </w:numPr>
        <w:rPr>
          <w:lang w:val="sv-SE"/>
        </w:rPr>
      </w:pPr>
      <w:r w:rsidRPr="00045C54">
        <w:rPr>
          <w:lang w:val="sv-SE"/>
        </w:rPr>
        <w:t xml:space="preserve">Börja smått och öka efterhand om utrymmet finns. Bättre att spara lite varje månad än inget alls. </w:t>
      </w:r>
    </w:p>
    <w:p w:rsidR="00707A57" w:rsidRDefault="00707A57" w:rsidP="00630160">
      <w:pPr>
        <w:rPr>
          <w:b/>
          <w:sz w:val="20"/>
          <w:szCs w:val="20"/>
          <w:lang w:val="sv-SE"/>
        </w:rPr>
      </w:pPr>
    </w:p>
    <w:p w:rsidR="00E77F8B" w:rsidRPr="00707A57" w:rsidRDefault="00E77F8B" w:rsidP="00630160">
      <w:pPr>
        <w:rPr>
          <w:b/>
          <w:sz w:val="20"/>
          <w:szCs w:val="20"/>
          <w:lang w:val="sv-SE"/>
        </w:rPr>
      </w:pPr>
      <w:r w:rsidRPr="00707A57">
        <w:rPr>
          <w:b/>
          <w:sz w:val="20"/>
          <w:szCs w:val="20"/>
          <w:lang w:val="sv-SE"/>
        </w:rPr>
        <w:t xml:space="preserve">För mer information kontakta </w:t>
      </w:r>
    </w:p>
    <w:p w:rsidR="00E77F8B" w:rsidRPr="00707A57" w:rsidRDefault="00E77F8B" w:rsidP="00630160">
      <w:pPr>
        <w:rPr>
          <w:sz w:val="20"/>
          <w:szCs w:val="20"/>
          <w:lang w:val="sv-SE"/>
        </w:rPr>
      </w:pPr>
      <w:r w:rsidRPr="00707A57">
        <w:rPr>
          <w:sz w:val="20"/>
          <w:szCs w:val="20"/>
          <w:lang w:val="sv-SE"/>
        </w:rPr>
        <w:t>Fredrik Skärheden, Informationsdirektör på Lindorff Sverige, 070 730 07 29, fredrik.skarheden@lindorff.com</w:t>
      </w:r>
    </w:p>
    <w:p w:rsidR="00E77F8B" w:rsidRPr="00707A57" w:rsidRDefault="00E77F8B" w:rsidP="00630160">
      <w:pPr>
        <w:rPr>
          <w:b/>
          <w:sz w:val="20"/>
          <w:szCs w:val="20"/>
          <w:lang w:val="sv-SE"/>
        </w:rPr>
      </w:pPr>
      <w:r w:rsidRPr="00707A57">
        <w:rPr>
          <w:b/>
          <w:sz w:val="20"/>
          <w:szCs w:val="20"/>
          <w:lang w:val="sv-SE"/>
        </w:rPr>
        <w:t xml:space="preserve">Om undersökningen </w:t>
      </w:r>
    </w:p>
    <w:p w:rsidR="006D0481" w:rsidRPr="00707A57" w:rsidRDefault="00E77F8B" w:rsidP="00630160">
      <w:pPr>
        <w:rPr>
          <w:sz w:val="20"/>
          <w:szCs w:val="20"/>
          <w:lang w:val="sv-SE"/>
        </w:rPr>
      </w:pPr>
      <w:r w:rsidRPr="00707A57">
        <w:rPr>
          <w:sz w:val="20"/>
          <w:szCs w:val="20"/>
          <w:lang w:val="sv-SE"/>
        </w:rPr>
        <w:t>Undersökningen genomfördes på uppdrag av Lindorff i samarbete med Kantar Sifo under ap</w:t>
      </w:r>
      <w:r w:rsidR="000A52C8" w:rsidRPr="00707A57">
        <w:rPr>
          <w:sz w:val="20"/>
          <w:szCs w:val="20"/>
          <w:lang w:val="sv-SE"/>
        </w:rPr>
        <w:t xml:space="preserve">ril 2017 med 1 000 respondenter över 15 år. </w:t>
      </w:r>
    </w:p>
    <w:p w:rsidR="000A52C8" w:rsidRPr="00707A57" w:rsidRDefault="000A52C8" w:rsidP="00630160">
      <w:pPr>
        <w:rPr>
          <w:b/>
          <w:sz w:val="20"/>
          <w:szCs w:val="20"/>
          <w:lang w:val="sv-SE"/>
        </w:rPr>
      </w:pPr>
      <w:r w:rsidRPr="00707A57">
        <w:rPr>
          <w:b/>
          <w:sz w:val="20"/>
          <w:szCs w:val="20"/>
          <w:lang w:val="sv-SE"/>
        </w:rPr>
        <w:t>Om Lindorff</w:t>
      </w:r>
    </w:p>
    <w:p w:rsidR="000A52C8" w:rsidRPr="000A52C8" w:rsidRDefault="000A52C8" w:rsidP="00707A57">
      <w:pPr>
        <w:pStyle w:val="Normalwebb"/>
        <w:spacing w:before="0" w:beforeAutospacing="0" w:after="160" w:afterAutospacing="0"/>
        <w:rPr>
          <w:b/>
        </w:rPr>
      </w:pPr>
      <w:r w:rsidRPr="00707A57">
        <w:rPr>
          <w:rFonts w:ascii="Arial" w:hAnsi="Arial" w:cs="Arial"/>
          <w:sz w:val="20"/>
          <w:szCs w:val="20"/>
        </w:rPr>
        <w:t>I mer än 100 år har Lindorff hjälpt människor att hantera krediter. Vårt huvudkontor ligger i Oslo, den stad där Eynar Lindorff grundade företaget 1898. I dag är vi 4 400 medarbetare i 12 länder i Europa. Lindorff har en ledande position på den europeiska</w:t>
      </w:r>
      <w:r w:rsidR="00707A57" w:rsidRPr="00707A57">
        <w:rPr>
          <w:rFonts w:ascii="Arial" w:hAnsi="Arial" w:cs="Arial"/>
          <w:sz w:val="20"/>
          <w:szCs w:val="20"/>
        </w:rPr>
        <w:t xml:space="preserve"> k</w:t>
      </w:r>
      <w:r w:rsidRPr="00707A57">
        <w:rPr>
          <w:rFonts w:ascii="Arial" w:hAnsi="Arial" w:cs="Arial"/>
          <w:sz w:val="20"/>
          <w:szCs w:val="20"/>
        </w:rPr>
        <w:t>redithanteringsmarknaden. Vi erbjuder tjänster inom inkasso, betalning, fakturering och köp av avskrivna fordringar. Lindorff är majoritetsägt av Nordic Capital Fund.</w:t>
      </w:r>
      <w:r w:rsidR="00707A57" w:rsidRPr="000A52C8">
        <w:rPr>
          <w:b/>
        </w:rPr>
        <w:t xml:space="preserve"> </w:t>
      </w:r>
    </w:p>
    <w:sectPr w:rsidR="000A52C8" w:rsidRPr="000A52C8" w:rsidSect="00707A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5A6B"/>
    <w:multiLevelType w:val="hybridMultilevel"/>
    <w:tmpl w:val="A080E080"/>
    <w:lvl w:ilvl="0" w:tplc="42820790">
      <w:start w:val="4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6E7EF2"/>
    <w:multiLevelType w:val="hybridMultilevel"/>
    <w:tmpl w:val="83E2E15A"/>
    <w:lvl w:ilvl="0" w:tplc="1B1E9098">
      <w:start w:val="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6EBE"/>
    <w:multiLevelType w:val="hybridMultilevel"/>
    <w:tmpl w:val="6E680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3A5E"/>
    <w:multiLevelType w:val="hybridMultilevel"/>
    <w:tmpl w:val="3474AE40"/>
    <w:lvl w:ilvl="0" w:tplc="FE68A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36E6"/>
    <w:multiLevelType w:val="hybridMultilevel"/>
    <w:tmpl w:val="514AFE8C"/>
    <w:lvl w:ilvl="0" w:tplc="6B2626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A187F"/>
    <w:multiLevelType w:val="hybridMultilevel"/>
    <w:tmpl w:val="F210E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54"/>
    <w:rsid w:val="0000344E"/>
    <w:rsid w:val="0000402E"/>
    <w:rsid w:val="00045C54"/>
    <w:rsid w:val="00067E3C"/>
    <w:rsid w:val="00081020"/>
    <w:rsid w:val="00097F7D"/>
    <w:rsid w:val="000A52C8"/>
    <w:rsid w:val="000C2C4C"/>
    <w:rsid w:val="000D362D"/>
    <w:rsid w:val="001224DD"/>
    <w:rsid w:val="00160B54"/>
    <w:rsid w:val="001703E9"/>
    <w:rsid w:val="00170684"/>
    <w:rsid w:val="00221B0E"/>
    <w:rsid w:val="002669CD"/>
    <w:rsid w:val="00266BC6"/>
    <w:rsid w:val="00375F4C"/>
    <w:rsid w:val="00393A80"/>
    <w:rsid w:val="003C1958"/>
    <w:rsid w:val="003E0363"/>
    <w:rsid w:val="003F31E0"/>
    <w:rsid w:val="0045632B"/>
    <w:rsid w:val="00466BAA"/>
    <w:rsid w:val="0047702B"/>
    <w:rsid w:val="0049023A"/>
    <w:rsid w:val="004B2859"/>
    <w:rsid w:val="004E287B"/>
    <w:rsid w:val="00510501"/>
    <w:rsid w:val="005121A2"/>
    <w:rsid w:val="00533BB0"/>
    <w:rsid w:val="00543FF6"/>
    <w:rsid w:val="00575C01"/>
    <w:rsid w:val="0058762F"/>
    <w:rsid w:val="0059549A"/>
    <w:rsid w:val="005B5AE5"/>
    <w:rsid w:val="005E7702"/>
    <w:rsid w:val="005F4D09"/>
    <w:rsid w:val="005F68A1"/>
    <w:rsid w:val="00630160"/>
    <w:rsid w:val="0068321C"/>
    <w:rsid w:val="006D0481"/>
    <w:rsid w:val="00704EC8"/>
    <w:rsid w:val="00707A57"/>
    <w:rsid w:val="00740320"/>
    <w:rsid w:val="00741EA5"/>
    <w:rsid w:val="0075065E"/>
    <w:rsid w:val="007840A5"/>
    <w:rsid w:val="007D45E4"/>
    <w:rsid w:val="0088146F"/>
    <w:rsid w:val="008D1D1F"/>
    <w:rsid w:val="009A43C6"/>
    <w:rsid w:val="009B127F"/>
    <w:rsid w:val="009F5F5C"/>
    <w:rsid w:val="00A16EDB"/>
    <w:rsid w:val="00A25456"/>
    <w:rsid w:val="00A312E7"/>
    <w:rsid w:val="00A849D9"/>
    <w:rsid w:val="00AF6633"/>
    <w:rsid w:val="00B33D0C"/>
    <w:rsid w:val="00B42C54"/>
    <w:rsid w:val="00B47EB3"/>
    <w:rsid w:val="00B824A4"/>
    <w:rsid w:val="00BD271D"/>
    <w:rsid w:val="00BE731C"/>
    <w:rsid w:val="00C12321"/>
    <w:rsid w:val="00C402F8"/>
    <w:rsid w:val="00C4136C"/>
    <w:rsid w:val="00C566B3"/>
    <w:rsid w:val="00CD3682"/>
    <w:rsid w:val="00CD3BA8"/>
    <w:rsid w:val="00D01A81"/>
    <w:rsid w:val="00D01CB2"/>
    <w:rsid w:val="00D077D3"/>
    <w:rsid w:val="00D61D15"/>
    <w:rsid w:val="00D73AF0"/>
    <w:rsid w:val="00D803C5"/>
    <w:rsid w:val="00DA4215"/>
    <w:rsid w:val="00DD0A7A"/>
    <w:rsid w:val="00DE2A2A"/>
    <w:rsid w:val="00E256F1"/>
    <w:rsid w:val="00E316A3"/>
    <w:rsid w:val="00E44170"/>
    <w:rsid w:val="00E47686"/>
    <w:rsid w:val="00E77F8B"/>
    <w:rsid w:val="00E93C86"/>
    <w:rsid w:val="00F108BF"/>
    <w:rsid w:val="00F55BDF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7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B9D97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60B5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E7702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E77F8B"/>
    <w:rPr>
      <w:rFonts w:asciiTheme="majorHAnsi" w:eastAsiaTheme="majorEastAsia" w:hAnsiTheme="majorHAnsi" w:cstheme="majorBidi"/>
      <w:b/>
      <w:bCs/>
      <w:color w:val="7B9D97" w:themeColor="accent1"/>
    </w:rPr>
  </w:style>
  <w:style w:type="character" w:styleId="Starkbetoning">
    <w:name w:val="Intense Emphasis"/>
    <w:basedOn w:val="Standardstycketeckensnitt"/>
    <w:uiPriority w:val="21"/>
    <w:qFormat/>
    <w:rsid w:val="00E77F8B"/>
    <w:rPr>
      <w:b/>
      <w:bCs/>
      <w:i/>
      <w:iCs/>
      <w:color w:val="7B9D97" w:themeColor="accent1"/>
    </w:rPr>
  </w:style>
  <w:style w:type="paragraph" w:styleId="Normalwebb">
    <w:name w:val="Normal (Web)"/>
    <w:basedOn w:val="Normal"/>
    <w:uiPriority w:val="99"/>
    <w:unhideWhenUsed/>
    <w:rsid w:val="000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7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B9D97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60B5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E7702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E77F8B"/>
    <w:rPr>
      <w:rFonts w:asciiTheme="majorHAnsi" w:eastAsiaTheme="majorEastAsia" w:hAnsiTheme="majorHAnsi" w:cstheme="majorBidi"/>
      <w:b/>
      <w:bCs/>
      <w:color w:val="7B9D97" w:themeColor="accent1"/>
    </w:rPr>
  </w:style>
  <w:style w:type="character" w:styleId="Starkbetoning">
    <w:name w:val="Intense Emphasis"/>
    <w:basedOn w:val="Standardstycketeckensnitt"/>
    <w:uiPriority w:val="21"/>
    <w:qFormat/>
    <w:rsid w:val="00E77F8B"/>
    <w:rPr>
      <w:b/>
      <w:bCs/>
      <w:i/>
      <w:iCs/>
      <w:color w:val="7B9D97" w:themeColor="accent1"/>
    </w:rPr>
  </w:style>
  <w:style w:type="paragraph" w:styleId="Normalwebb">
    <w:name w:val="Normal (Web)"/>
    <w:basedOn w:val="Normal"/>
    <w:uiPriority w:val="99"/>
    <w:unhideWhenUsed/>
    <w:rsid w:val="000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Widemar Gerdin Tove</dc:creator>
  <cp:lastModifiedBy>Widemar Gerdin Tove</cp:lastModifiedBy>
  <cp:revision>2</cp:revision>
  <cp:lastPrinted>2017-05-29T08:59:00Z</cp:lastPrinted>
  <dcterms:created xsi:type="dcterms:W3CDTF">2017-05-29T12:49:00Z</dcterms:created>
  <dcterms:modified xsi:type="dcterms:W3CDTF">2017-05-29T12:49:00Z</dcterms:modified>
</cp:coreProperties>
</file>