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890FE" w14:textId="77777777" w:rsidR="00AA0B0E" w:rsidRDefault="00AA0B0E" w:rsidP="00AA0B0E">
      <w:pPr>
        <w:spacing w:after="0" w:line="240" w:lineRule="auto"/>
        <w:jc w:val="center"/>
        <w:rPr>
          <w:rFonts w:ascii="Times New Roman" w:eastAsia="Times New Roman" w:hAnsi="Times New Roman" w:cs="Times New Roman"/>
          <w:i/>
          <w:iCs/>
          <w:kern w:val="0"/>
          <w:lang w:eastAsia="it-IT"/>
          <w14:ligatures w14:val="none"/>
        </w:rPr>
      </w:pPr>
    </w:p>
    <w:p w14:paraId="5E418B70" w14:textId="77777777" w:rsidR="00AA0B0E" w:rsidRPr="00AA0B0E" w:rsidRDefault="00AA0B0E" w:rsidP="00AA0B0E">
      <w:pPr>
        <w:keepNext/>
        <w:keepLines/>
        <w:spacing w:before="60" w:after="60" w:line="240" w:lineRule="auto"/>
        <w:outlineLvl w:val="0"/>
        <w:rPr>
          <w:rFonts w:ascii="Visa Dialect Semibold" w:eastAsia="Noto Sans Yi" w:hAnsi="Visa Dialect Semibold" w:cs="Times New Roman (Headings CS)"/>
          <w:noProof/>
          <w:color w:val="0E2FD3"/>
          <w:kern w:val="0"/>
          <w:lang w:eastAsia="en-GB"/>
          <w14:ligatures w14:val="none"/>
        </w:rPr>
      </w:pPr>
      <w:r w:rsidRPr="00AA0B0E">
        <w:rPr>
          <w:rFonts w:ascii="Visa Dialect Semibold" w:eastAsia="Noto Sans Yi" w:hAnsi="Visa Dialect Semibold" w:cs="Times New Roman (Headings CS)"/>
          <w:noProof/>
          <w:color w:val="0E2FD3"/>
          <w:kern w:val="0"/>
          <w:lang w:eastAsia="en-GB"/>
          <w14:ligatures w14:val="none"/>
        </w:rPr>
        <w:t xml:space="preserve">Comunicato stampa </w:t>
      </w:r>
    </w:p>
    <w:p w14:paraId="28C7679D" w14:textId="08FF2204" w:rsidR="005E2EC1" w:rsidRPr="005E2EC1" w:rsidRDefault="005E2EC1" w:rsidP="005E2EC1">
      <w:pPr>
        <w:keepNext/>
        <w:keepLines/>
        <w:pBdr>
          <w:top w:val="single" w:sz="4" w:space="6" w:color="1434CB"/>
        </w:pBdr>
        <w:spacing w:before="60" w:after="60"/>
        <w:jc w:val="center"/>
        <w:outlineLvl w:val="0"/>
        <w:rPr>
          <w:rFonts w:ascii="Visa Dialect Regular" w:eastAsia="SimHei" w:hAnsi="Visa Dialect Regular"/>
          <w:b/>
          <w:color w:val="1434CB"/>
          <w:sz w:val="36"/>
          <w:szCs w:val="36"/>
          <w:lang w:eastAsia="en-GB"/>
        </w:rPr>
      </w:pPr>
      <w:r w:rsidRPr="005E2EC1">
        <w:rPr>
          <w:rFonts w:ascii="Visa Dialect Regular" w:eastAsia="SimHei" w:hAnsi="Visa Dialect Regular"/>
          <w:b/>
          <w:color w:val="1434CB"/>
          <w:sz w:val="36"/>
          <w:szCs w:val="36"/>
          <w:lang w:eastAsia="en-GB"/>
        </w:rPr>
        <w:t xml:space="preserve">Visa e BPER rafforzano la partnership strategica </w:t>
      </w:r>
    </w:p>
    <w:p w14:paraId="138F2C05" w14:textId="3EC8B338" w:rsidR="00AA0B0E" w:rsidRPr="005E2EC1" w:rsidRDefault="005E2EC1" w:rsidP="005E2EC1">
      <w:pPr>
        <w:keepNext/>
        <w:keepLines/>
        <w:pBdr>
          <w:top w:val="single" w:sz="4" w:space="6" w:color="1434CB"/>
        </w:pBdr>
        <w:spacing w:before="60" w:after="60"/>
        <w:jc w:val="center"/>
        <w:outlineLvl w:val="0"/>
        <w:rPr>
          <w:rFonts w:ascii="Visa Dialect Regular" w:eastAsia="SimHei" w:hAnsi="Visa Dialect Regular"/>
          <w:b/>
          <w:color w:val="1434CB"/>
          <w:sz w:val="36"/>
          <w:szCs w:val="36"/>
          <w:lang w:eastAsia="en-GB"/>
        </w:rPr>
      </w:pPr>
      <w:r w:rsidRPr="005E2EC1">
        <w:rPr>
          <w:rFonts w:ascii="Visa Dialect Regular" w:eastAsia="SimHei" w:hAnsi="Visa Dialect Regular"/>
          <w:b/>
          <w:color w:val="1434CB"/>
          <w:sz w:val="36"/>
          <w:szCs w:val="36"/>
          <w:lang w:eastAsia="en-GB"/>
        </w:rPr>
        <w:t>per l’innovazione nei pagamenti digitali</w:t>
      </w:r>
    </w:p>
    <w:p w14:paraId="7698779B" w14:textId="77777777" w:rsidR="00AA0B0E" w:rsidRPr="00AA0B0E" w:rsidRDefault="00AA0B0E" w:rsidP="00AA0B0E">
      <w:pPr>
        <w:keepNext/>
        <w:keepLines/>
        <w:pBdr>
          <w:top w:val="single" w:sz="4" w:space="6" w:color="1434CB"/>
        </w:pBdr>
        <w:spacing w:before="60" w:after="60" w:line="240" w:lineRule="auto"/>
        <w:rPr>
          <w:rFonts w:ascii="Visa Dialect Regular" w:eastAsia="SimHei" w:hAnsi="Visa Dialect Regular" w:cs="Times New Roman"/>
          <w:i/>
          <w:iCs/>
          <w:color w:val="1434CB"/>
          <w:kern w:val="0"/>
          <w:sz w:val="20"/>
          <w:szCs w:val="20"/>
          <w:lang w:eastAsia="en-GB"/>
          <w14:ligatures w14:val="none"/>
        </w:rPr>
      </w:pPr>
      <w:r w:rsidRPr="00AA0B0E">
        <w:rPr>
          <w:rFonts w:ascii="Visa Dialect Regular" w:eastAsia="SimHei" w:hAnsi="Visa Dialect Regular" w:cs="Times New Roman"/>
          <w:i/>
          <w:iCs/>
          <w:noProof/>
          <w:color w:val="1434CB"/>
          <w:kern w:val="0"/>
          <w:sz w:val="56"/>
          <w:szCs w:val="56"/>
          <w:lang w:val="en-GB" w:eastAsia="en-GB"/>
          <w14:ligatures w14:val="none"/>
        </w:rPr>
        <mc:AlternateContent>
          <mc:Choice Requires="wps">
            <w:drawing>
              <wp:anchor distT="4294967295" distB="4294967295" distL="114300" distR="114300" simplePos="0" relativeHeight="251659264" behindDoc="0" locked="0" layoutInCell="1" allowOverlap="1" wp14:anchorId="4E2B37B3" wp14:editId="6B04A671">
                <wp:simplePos x="0" y="0"/>
                <wp:positionH relativeFrom="column">
                  <wp:posOffset>4445</wp:posOffset>
                </wp:positionH>
                <wp:positionV relativeFrom="paragraph">
                  <wp:posOffset>36194</wp:posOffset>
                </wp:positionV>
                <wp:extent cx="5962015" cy="0"/>
                <wp:effectExtent l="0" t="0" r="0" b="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2015" cy="0"/>
                        </a:xfrm>
                        <a:prstGeom prst="line">
                          <a:avLst/>
                        </a:prstGeom>
                        <a:noFill/>
                        <a:ln w="6350" cap="flat" cmpd="sng" algn="ctr">
                          <a:solidFill>
                            <a:srgbClr val="1434CB"/>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75CA252"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2.85pt" to="469.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" strokecolor="#1434cb" strokeweight=".5pt">
                <v:stroke joinstyle="miter"/>
                <o:lock v:ext="edit" shapetype="f"/>
                <w10:wrap type="topAndBottom"/>
              </v:line>
            </w:pict>
          </mc:Fallback>
        </mc:AlternateContent>
      </w:r>
    </w:p>
    <w:p w14:paraId="1EF4D416" w14:textId="77777777" w:rsidR="005E2EC1" w:rsidRPr="005E2EC1" w:rsidRDefault="005E2EC1" w:rsidP="005E2EC1">
      <w:pPr>
        <w:spacing w:after="0" w:line="240" w:lineRule="auto"/>
        <w:jc w:val="center"/>
        <w:rPr>
          <w:rFonts w:ascii="Visa Dialect Regular" w:eastAsia="SimHei" w:hAnsi="Visa Dialect Regular" w:cs="Times New Roman"/>
          <w:i/>
          <w:iCs/>
          <w:color w:val="1434CB"/>
          <w:kern w:val="0"/>
          <w:sz w:val="20"/>
          <w:szCs w:val="20"/>
          <w:lang w:eastAsia="en-GB"/>
          <w14:ligatures w14:val="none"/>
        </w:rPr>
      </w:pPr>
      <w:r w:rsidRPr="005E2EC1">
        <w:rPr>
          <w:rFonts w:ascii="Visa Dialect Regular" w:eastAsia="SimHei" w:hAnsi="Visa Dialect Regular" w:cs="Times New Roman"/>
          <w:i/>
          <w:iCs/>
          <w:color w:val="1434CB"/>
          <w:kern w:val="0"/>
          <w:sz w:val="20"/>
          <w:szCs w:val="20"/>
          <w:lang w:eastAsia="en-GB"/>
          <w14:ligatures w14:val="none"/>
        </w:rPr>
        <w:t xml:space="preserve">La collaborazione punta a offrire ai clienti esperienze d’acquisto </w:t>
      </w:r>
    </w:p>
    <w:p w14:paraId="31790711" w14:textId="77777777" w:rsidR="005E2EC1" w:rsidRPr="005E2EC1" w:rsidRDefault="005E2EC1" w:rsidP="005E2EC1">
      <w:pPr>
        <w:spacing w:after="0" w:line="240" w:lineRule="auto"/>
        <w:jc w:val="center"/>
        <w:rPr>
          <w:rFonts w:ascii="Visa Dialect Regular" w:eastAsia="SimHei" w:hAnsi="Visa Dialect Regular" w:cs="Times New Roman"/>
          <w:i/>
          <w:iCs/>
          <w:color w:val="1434CB"/>
          <w:kern w:val="0"/>
          <w:sz w:val="20"/>
          <w:szCs w:val="20"/>
          <w:lang w:eastAsia="en-GB"/>
          <w14:ligatures w14:val="none"/>
        </w:rPr>
      </w:pPr>
      <w:r w:rsidRPr="005E2EC1">
        <w:rPr>
          <w:rFonts w:ascii="Visa Dialect Regular" w:eastAsia="SimHei" w:hAnsi="Visa Dialect Regular" w:cs="Times New Roman"/>
          <w:i/>
          <w:iCs/>
          <w:color w:val="1434CB"/>
          <w:kern w:val="0"/>
          <w:sz w:val="20"/>
          <w:szCs w:val="20"/>
          <w:lang w:eastAsia="en-GB"/>
          <w14:ligatures w14:val="none"/>
        </w:rPr>
        <w:t>sempre più evolute e sicure</w:t>
      </w:r>
    </w:p>
    <w:p w14:paraId="151CBA87" w14:textId="77777777" w:rsidR="00EA0D82" w:rsidRPr="00EA0D82" w:rsidRDefault="00EA0D82" w:rsidP="00EA0D82">
      <w:pPr>
        <w:spacing w:after="0" w:line="240" w:lineRule="auto"/>
        <w:jc w:val="center"/>
        <w:rPr>
          <w:rFonts w:ascii="Times New Roman" w:hAnsi="Times New Roman" w:cs="Times New Roman"/>
          <w:sz w:val="16"/>
          <w:szCs w:val="16"/>
        </w:rPr>
      </w:pPr>
    </w:p>
    <w:p w14:paraId="341FC55E" w14:textId="77777777" w:rsidR="005E2EC1" w:rsidRPr="005E2EC1" w:rsidRDefault="00AA0B0E"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hAnsi="Visa Dialect Regular" w:cs="Times New Roman"/>
          <w:b/>
          <w:bCs/>
          <w:color w:val="222222"/>
          <w:sz w:val="20"/>
          <w:szCs w:val="20"/>
        </w:rPr>
        <w:t xml:space="preserve">Milano, </w:t>
      </w:r>
      <w:r w:rsidR="005E2EC1">
        <w:rPr>
          <w:rFonts w:ascii="Visa Dialect Regular" w:hAnsi="Visa Dialect Regular" w:cs="Times New Roman"/>
          <w:b/>
          <w:bCs/>
          <w:color w:val="222222"/>
          <w:sz w:val="20"/>
          <w:szCs w:val="20"/>
        </w:rPr>
        <w:t>14 ottobre</w:t>
      </w:r>
      <w:r w:rsidRPr="005E2EC1">
        <w:rPr>
          <w:rFonts w:ascii="Visa Dialect Regular" w:hAnsi="Visa Dialect Regular" w:cs="Times New Roman"/>
          <w:b/>
          <w:bCs/>
          <w:color w:val="222222"/>
          <w:sz w:val="20"/>
          <w:szCs w:val="20"/>
        </w:rPr>
        <w:t xml:space="preserve"> 2026 -</w:t>
      </w:r>
      <w:r>
        <w:rPr>
          <w:rFonts w:ascii="Visa Dialect Regular" w:hAnsi="Visa Dialect Regular" w:cs="Times New Roman"/>
          <w:b/>
          <w:bCs/>
          <w:color w:val="222222"/>
          <w:sz w:val="20"/>
          <w:szCs w:val="20"/>
        </w:rPr>
        <w:t xml:space="preserve"> </w:t>
      </w:r>
      <w:r w:rsidR="005E2EC1" w:rsidRPr="005E2EC1">
        <w:rPr>
          <w:rFonts w:ascii="Visa Dialect Regular" w:eastAsia="Calibri" w:hAnsi="Visa Dialect Regular" w:cs="Calibri"/>
          <w:sz w:val="20"/>
          <w:szCs w:val="20"/>
          <w14:ligatures w14:val="none"/>
        </w:rPr>
        <w:t>Visa, tra i leader mondiali nei pagamenti digitali, e BPER, uno dei principali gruppi bancari in Italia, rafforzano la loro partnership strategica con l’obiettivo di sviluppare nuovi servizi e migliorare l’esperienza dei clienti attraverso soluzioni semplici, sicure e sempre più integrate nell’ecosistema digitale. La collaborazione si inserisce nel percorso di innovazione del Gruppo BPER e contribuisce ad ampliare le opportunità di sviluppo dell’offerta, in un contesto in cui i pagamenti assumono un ruolo sempre più centrale nella vita quotidiana di persone e imprese.</w:t>
      </w:r>
    </w:p>
    <w:p w14:paraId="41E3705B"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Grazie a questa partnership, BPER potrà avvalersi delle competenze di Visa per sviluppare nuovi servizi rivolti a consumatori e aziende, con particolare attenzione alla sicurezza, alla digitalizzazione e alle nuove modalità di acquisto. L’obiettivo è tradurre l’innovazione in benefici concreti per i clienti, semplificando l’accesso e l’utilizzo dei servizi nei diversi momenti della giornata.</w:t>
      </w:r>
    </w:p>
    <w:p w14:paraId="4D5A184B"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BPER e Visa stanno dedicando particolare attenzione al mondo dei più giovani, con l’intento di adattare l’offerta alle nuove abitudini di consumo delle nuove generazioni, per i quali mobilità, semplicità e immediatezza rappresentano elementi distintivi.</w:t>
      </w:r>
    </w:p>
    <w:p w14:paraId="1462C8CB"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 xml:space="preserve">Le soluzioni in fase di sviluppo puntano a rendere i pagamenti sempre più fluidi, integrati in diversi contesti e in grado di rispondere alle aspettative di una clientela che sceglie servizi bancari e strumenti di pagamento completamente digitali, dall'apertura del conto all'utilizzo di carte Digital </w:t>
      </w:r>
      <w:proofErr w:type="spellStart"/>
      <w:r w:rsidRPr="005E2EC1">
        <w:rPr>
          <w:rFonts w:ascii="Visa Dialect Regular" w:eastAsia="Calibri" w:hAnsi="Visa Dialect Regular" w:cs="Calibri"/>
          <w:sz w:val="20"/>
          <w:szCs w:val="20"/>
          <w14:ligatures w14:val="none"/>
        </w:rPr>
        <w:t>Only</w:t>
      </w:r>
      <w:proofErr w:type="spellEnd"/>
      <w:r w:rsidRPr="005E2EC1">
        <w:rPr>
          <w:rFonts w:ascii="Visa Dialect Regular" w:eastAsia="Calibri" w:hAnsi="Visa Dialect Regular" w:cs="Calibri"/>
          <w:sz w:val="20"/>
          <w:szCs w:val="20"/>
          <w14:ligatures w14:val="none"/>
        </w:rPr>
        <w:t>, un segmento composto in larga parte da utenti "nativi digitali".</w:t>
      </w:r>
    </w:p>
    <w:p w14:paraId="2CBDDB87" w14:textId="77777777" w:rsidR="005E2EC1" w:rsidRPr="005E2EC1" w:rsidRDefault="005E2EC1" w:rsidP="005E2EC1">
      <w:pPr>
        <w:spacing w:after="240" w:line="320" w:lineRule="exact"/>
        <w:jc w:val="both"/>
        <w:rPr>
          <w:rFonts w:ascii="Visa Dialect Regular" w:eastAsia="Calibri" w:hAnsi="Visa Dialect Regular" w:cs="Calibri"/>
          <w:b/>
          <w:bCs/>
          <w:sz w:val="20"/>
          <w:szCs w:val="20"/>
          <w14:ligatures w14:val="none"/>
        </w:rPr>
      </w:pPr>
      <w:r w:rsidRPr="005E2EC1">
        <w:rPr>
          <w:rFonts w:ascii="Visa Dialect Regular" w:eastAsia="Calibri" w:hAnsi="Visa Dialect Regular" w:cs="Calibri"/>
          <w:b/>
          <w:bCs/>
          <w:sz w:val="20"/>
          <w:szCs w:val="20"/>
          <w14:ligatures w14:val="none"/>
        </w:rPr>
        <w:t>Acquisti online e pagamenti con dispositivi indossabili</w:t>
      </w:r>
    </w:p>
    <w:p w14:paraId="0A9BA456"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Fra le aree della collaborazione figura l’implementazione di Click to Pay</w:t>
      </w:r>
      <w:r w:rsidRPr="005E2EC1">
        <w:rPr>
          <w:rFonts w:ascii="Visa Dialect Regular" w:eastAsia="Calibri" w:hAnsi="Visa Dialect Regular" w:cs="Calibri"/>
          <w:sz w:val="20"/>
          <w:szCs w:val="20"/>
          <w:vertAlign w:val="superscript"/>
          <w14:ligatures w14:val="none"/>
        </w:rPr>
        <w:footnoteReference w:id="1"/>
      </w:r>
      <w:r w:rsidRPr="005E2EC1">
        <w:rPr>
          <w:rFonts w:ascii="Visa Dialect Regular" w:eastAsia="Calibri" w:hAnsi="Visa Dialect Regular" w:cs="Calibri"/>
          <w:sz w:val="20"/>
          <w:szCs w:val="20"/>
          <w14:ligatures w14:val="none"/>
        </w:rPr>
        <w:t>, la soluzione per i pagamenti online proposta da Visa che semplifica il checkout presso gli esercenti aderenti, riducendo la necessità di inserire manualmente i dati della carta per ciascuna spesa. L’obiettivo è rendere più fluida l’esperienza nella fase conclusiva del pagamento, coniugando semplicità d’uso e sicurezza.</w:t>
      </w:r>
    </w:p>
    <w:p w14:paraId="0FFC2600"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lastRenderedPageBreak/>
        <w:t>La partnership prevede inoltre l’abilitazione dei pagamenti tramite dispositivi indossabili compatibili, consentendo ai clienti di acquistare in modo semplice e immediato. Queste soluzioni hanno l’obiettivo di ampliare le modalità per effettuare delle transazioni, integrandole nei diversi contesti della vita quotidiana.</w:t>
      </w:r>
    </w:p>
    <w:p w14:paraId="624FE03B" w14:textId="77777777" w:rsidR="005E2EC1" w:rsidRPr="005E2EC1" w:rsidRDefault="005E2EC1" w:rsidP="005E2EC1">
      <w:pPr>
        <w:spacing w:after="240" w:line="320" w:lineRule="exact"/>
        <w:jc w:val="both"/>
        <w:rPr>
          <w:rFonts w:ascii="Visa Dialect Regular" w:eastAsia="Calibri" w:hAnsi="Visa Dialect Regular" w:cs="Calibri"/>
          <w:b/>
          <w:bCs/>
          <w:sz w:val="20"/>
          <w:szCs w:val="20"/>
          <w14:ligatures w14:val="none"/>
        </w:rPr>
      </w:pPr>
      <w:r w:rsidRPr="005E2EC1">
        <w:rPr>
          <w:rFonts w:ascii="Visa Dialect Regular" w:eastAsia="Calibri" w:hAnsi="Visa Dialect Regular" w:cs="Calibri"/>
          <w:b/>
          <w:bCs/>
          <w:sz w:val="20"/>
          <w:szCs w:val="20"/>
          <w14:ligatures w14:val="none"/>
        </w:rPr>
        <w:t>Nuove carte per servizi rapidi, sicuri e intuitivi</w:t>
      </w:r>
    </w:p>
    <w:p w14:paraId="2D5A146C"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 xml:space="preserve">Nell’ambito del percorso di digitalizzazione dell’offerta, BPER introdurrà inoltre una carta di debito </w:t>
      </w:r>
      <w:proofErr w:type="spellStart"/>
      <w:r w:rsidRPr="005E2EC1">
        <w:rPr>
          <w:rFonts w:ascii="Visa Dialect Regular" w:eastAsia="Calibri" w:hAnsi="Visa Dialect Regular" w:cs="Calibri"/>
          <w:sz w:val="20"/>
          <w:szCs w:val="20"/>
          <w14:ligatures w14:val="none"/>
        </w:rPr>
        <w:t>digital</w:t>
      </w:r>
      <w:proofErr w:type="spellEnd"/>
      <w:r w:rsidRPr="005E2EC1">
        <w:rPr>
          <w:rFonts w:ascii="Visa Dialect Regular" w:eastAsia="Calibri" w:hAnsi="Visa Dialect Regular" w:cs="Calibri"/>
          <w:sz w:val="20"/>
          <w:szCs w:val="20"/>
          <w14:ligatures w14:val="none"/>
        </w:rPr>
        <w:t xml:space="preserve"> first, su circuito Visa, pensata per una clientela che predilige un’esperienza bancaria completamente digitale, dall’apertura del conto all’operatività giornaliera. La carta, disponibile esclusivamente in formato virtuale, può essere utilizzata appena completate le procedure di emissione e attivazione.</w:t>
      </w:r>
    </w:p>
    <w:p w14:paraId="73CE36AB" w14:textId="77777777" w:rsidR="005E2EC1" w:rsidRPr="005E2EC1" w:rsidRDefault="005E2EC1" w:rsidP="005E2EC1">
      <w:pPr>
        <w:spacing w:after="240" w:line="320" w:lineRule="exact"/>
        <w:jc w:val="both"/>
        <w:rPr>
          <w:rFonts w:ascii="Visa Dialect Regular" w:eastAsia="Calibri" w:hAnsi="Visa Dialect Regular" w:cs="Calibri"/>
          <w:sz w:val="20"/>
          <w:szCs w:val="20"/>
          <w14:ligatures w14:val="none"/>
        </w:rPr>
      </w:pPr>
      <w:r w:rsidRPr="005E2EC1">
        <w:rPr>
          <w:rFonts w:ascii="Visa Dialect Regular" w:eastAsia="Calibri" w:hAnsi="Visa Dialect Regular" w:cs="Calibri"/>
          <w:sz w:val="20"/>
          <w:szCs w:val="20"/>
          <w14:ligatures w14:val="none"/>
        </w:rPr>
        <w:t>"</w:t>
      </w:r>
      <w:r w:rsidRPr="005E2EC1">
        <w:rPr>
          <w:rFonts w:ascii="Visa Dialect Regular" w:eastAsia="Calibri" w:hAnsi="Visa Dialect Regular" w:cs="Calibri"/>
          <w:i/>
          <w:iCs/>
          <w:sz w:val="20"/>
          <w:szCs w:val="20"/>
          <w14:ligatures w14:val="none"/>
        </w:rPr>
        <w:t>Con questo accordo riaffermiamo il nostro impegno per la continua innovazione dei pagamenti digitali in Italia</w:t>
      </w:r>
      <w:r w:rsidRPr="005E2EC1">
        <w:rPr>
          <w:rFonts w:ascii="Visa Dialect Regular" w:eastAsia="Calibri" w:hAnsi="Visa Dialect Regular" w:cs="Calibri"/>
          <w:sz w:val="20"/>
          <w:szCs w:val="20"/>
          <w14:ligatures w14:val="none"/>
        </w:rPr>
        <w:t xml:space="preserve">", ha dichiarato </w:t>
      </w:r>
      <w:r w:rsidRPr="00CF2F59">
        <w:rPr>
          <w:rFonts w:ascii="Visa Dialect Regular" w:eastAsia="Calibri" w:hAnsi="Visa Dialect Regular" w:cs="Calibri"/>
          <w:b/>
          <w:bCs/>
          <w:sz w:val="20"/>
          <w:szCs w:val="20"/>
          <w14:ligatures w14:val="none"/>
        </w:rPr>
        <w:t>Stefano M. Stoppani</w:t>
      </w:r>
      <w:r w:rsidRPr="005E2EC1">
        <w:rPr>
          <w:rFonts w:ascii="Visa Dialect Regular" w:eastAsia="Calibri" w:hAnsi="Visa Dialect Regular" w:cs="Calibri"/>
          <w:sz w:val="20"/>
          <w:szCs w:val="20"/>
          <w14:ligatures w14:val="none"/>
        </w:rPr>
        <w:t xml:space="preserve">, </w:t>
      </w:r>
      <w:r w:rsidRPr="00CF2F59">
        <w:rPr>
          <w:rFonts w:ascii="Visa Dialect Regular" w:eastAsia="Calibri" w:hAnsi="Visa Dialect Regular" w:cs="Calibri"/>
          <w:b/>
          <w:bCs/>
          <w:sz w:val="20"/>
          <w:szCs w:val="20"/>
          <w14:ligatures w14:val="none"/>
        </w:rPr>
        <w:t>Country Manager di Visa Italia</w:t>
      </w:r>
      <w:r w:rsidRPr="005E2EC1">
        <w:rPr>
          <w:rFonts w:ascii="Visa Dialect Regular" w:eastAsia="Calibri" w:hAnsi="Visa Dialect Regular" w:cs="Calibri"/>
          <w:sz w:val="20"/>
          <w:szCs w:val="20"/>
          <w14:ligatures w14:val="none"/>
        </w:rPr>
        <w:t>. "</w:t>
      </w:r>
      <w:r w:rsidRPr="005E2EC1">
        <w:rPr>
          <w:rFonts w:ascii="Visa Dialect Regular" w:eastAsia="Calibri" w:hAnsi="Visa Dialect Regular" w:cs="Calibri"/>
          <w:i/>
          <w:iCs/>
          <w:sz w:val="20"/>
          <w:szCs w:val="20"/>
          <w14:ligatures w14:val="none"/>
        </w:rPr>
        <w:t>Siamo lieti di rafforzare la nostra collaborazione con un partner come BPER, con il quale condividiamo una visione incentrata sul valore per il cliente e sulla capacità di offrire strumenti innovativi e sicuri per cogliere le opportunità della trasformazione digitale nei prossimi anni</w:t>
      </w:r>
      <w:r w:rsidRPr="005E2EC1">
        <w:rPr>
          <w:rFonts w:ascii="Visa Dialect Regular" w:eastAsia="Calibri" w:hAnsi="Visa Dialect Regular" w:cs="Calibri"/>
          <w:sz w:val="20"/>
          <w:szCs w:val="20"/>
          <w14:ligatures w14:val="none"/>
        </w:rPr>
        <w:t>".</w:t>
      </w:r>
    </w:p>
    <w:p w14:paraId="67E98462" w14:textId="1CF9F6DA" w:rsidR="00EA0D82" w:rsidRPr="00CF2F59" w:rsidRDefault="005E2EC1" w:rsidP="00CF2F59">
      <w:pPr>
        <w:spacing w:after="240" w:line="320" w:lineRule="exact"/>
        <w:jc w:val="both"/>
        <w:rPr>
          <w:rFonts w:ascii="Calibri" w:eastAsia="Calibri" w:hAnsi="Calibri" w:cs="Calibri"/>
          <w14:ligatures w14:val="none"/>
        </w:rPr>
      </w:pPr>
      <w:r w:rsidRPr="005E2EC1">
        <w:rPr>
          <w:rFonts w:ascii="Visa Dialect Regular" w:eastAsia="Calibri" w:hAnsi="Visa Dialect Regular" w:cs="Calibri"/>
          <w:sz w:val="20"/>
          <w:szCs w:val="20"/>
          <w14:ligatures w14:val="none"/>
        </w:rPr>
        <w:t>“</w:t>
      </w:r>
      <w:r w:rsidRPr="005E2EC1">
        <w:rPr>
          <w:rFonts w:ascii="Visa Dialect Regular" w:eastAsia="Calibri" w:hAnsi="Visa Dialect Regular" w:cs="Calibri"/>
          <w:i/>
          <w:iCs/>
          <w:sz w:val="20"/>
          <w:szCs w:val="20"/>
          <w14:ligatures w14:val="none"/>
        </w:rPr>
        <w:t>Vogliamo rafforzare il ruolo di BPER come protagonista dell’innovazione e affermarci tra i leader dei pagamenti digitali in Italia. Nel nostro percorso di digitalizzazione, il pagamento diventa sempre più un’esperienza che accompagna le persone nelle loro scelte: renderla semplice, sicura e integrata è una parte essenziale della nostra evoluzione. L’ampliamento della collaborazione con Visa rappresenta un ulteriore tassello di questo cammino e ci permette di sviluppare nuove opportunità per i clienti. Il nostro obiettivo è tradurre l’innovazione in servizi utili e accessibili, contribuendo all’evoluzione di questo specifico settore nel Paese</w:t>
      </w:r>
      <w:r w:rsidRPr="005E2EC1">
        <w:rPr>
          <w:rFonts w:ascii="Visa Dialect Regular" w:eastAsia="Calibri" w:hAnsi="Visa Dialect Regular" w:cs="Calibri"/>
          <w:sz w:val="20"/>
          <w:szCs w:val="20"/>
          <w14:ligatures w14:val="none"/>
        </w:rPr>
        <w:t xml:space="preserve">”, ha aggiunto </w:t>
      </w:r>
      <w:r w:rsidRPr="00CF2F59">
        <w:rPr>
          <w:rFonts w:ascii="Visa Dialect Regular" w:eastAsia="Calibri" w:hAnsi="Visa Dialect Regular" w:cs="Calibri"/>
          <w:b/>
          <w:bCs/>
          <w:sz w:val="20"/>
          <w:szCs w:val="20"/>
          <w14:ligatures w14:val="none"/>
        </w:rPr>
        <w:t>Maurice Lisi</w:t>
      </w:r>
      <w:r w:rsidRPr="005E2EC1">
        <w:rPr>
          <w:rFonts w:ascii="Visa Dialect Regular" w:eastAsia="Calibri" w:hAnsi="Visa Dialect Regular" w:cs="Calibri"/>
          <w:sz w:val="20"/>
          <w:szCs w:val="20"/>
          <w14:ligatures w14:val="none"/>
        </w:rPr>
        <w:t xml:space="preserve">, </w:t>
      </w:r>
      <w:r w:rsidRPr="00CF2F59">
        <w:rPr>
          <w:rFonts w:ascii="Visa Dialect Regular" w:eastAsia="Calibri" w:hAnsi="Visa Dialect Regular" w:cs="Calibri"/>
          <w:b/>
          <w:bCs/>
          <w:sz w:val="20"/>
          <w:szCs w:val="20"/>
          <w14:ligatures w14:val="none"/>
        </w:rPr>
        <w:t>Responsabile Direzione Digital Business,</w:t>
      </w:r>
      <w:r w:rsidRPr="005E2EC1">
        <w:rPr>
          <w:rFonts w:ascii="Visa Dialect Regular" w:eastAsia="Calibri" w:hAnsi="Visa Dialect Regular" w:cs="Calibri"/>
          <w:sz w:val="20"/>
          <w:szCs w:val="20"/>
          <w14:ligatures w14:val="none"/>
        </w:rPr>
        <w:t xml:space="preserve"> </w:t>
      </w:r>
      <w:r w:rsidRPr="00CF2F59">
        <w:rPr>
          <w:rFonts w:ascii="Visa Dialect Regular" w:eastAsia="Calibri" w:hAnsi="Visa Dialect Regular" w:cs="Calibri"/>
          <w:b/>
          <w:bCs/>
          <w:sz w:val="20"/>
          <w:szCs w:val="20"/>
          <w14:ligatures w14:val="none"/>
        </w:rPr>
        <w:t>Marketing and Payments di BPER</w:t>
      </w:r>
      <w:r w:rsidRPr="005E2EC1">
        <w:rPr>
          <w:rFonts w:ascii="Visa Dialect Regular" w:eastAsia="Calibri" w:hAnsi="Visa Dialect Regular" w:cs="Calibri"/>
          <w:sz w:val="20"/>
          <w:szCs w:val="20"/>
          <w14:ligatures w14:val="none"/>
        </w:rPr>
        <w:t xml:space="preserve">. </w:t>
      </w:r>
    </w:p>
    <w:p w14:paraId="64130047" w14:textId="77777777" w:rsidR="00936F85" w:rsidRDefault="00936F85" w:rsidP="00EB70DF">
      <w:pPr>
        <w:spacing w:after="0" w:line="240" w:lineRule="auto"/>
        <w:jc w:val="both"/>
        <w:rPr>
          <w:rFonts w:ascii="Times New Roman" w:hAnsi="Times New Roman" w:cs="Times New Roman"/>
          <w:i/>
          <w:iCs/>
          <w:u w:val="single"/>
        </w:rPr>
      </w:pPr>
    </w:p>
    <w:p w14:paraId="2675B8C9" w14:textId="1D370DA4" w:rsidR="00EB70DF" w:rsidRPr="00D53164" w:rsidRDefault="00EB70DF" w:rsidP="00EB70DF">
      <w:pPr>
        <w:spacing w:after="0" w:line="240" w:lineRule="auto"/>
        <w:jc w:val="both"/>
        <w:rPr>
          <w:rFonts w:ascii="Visa Dialect Regular" w:hAnsi="Visa Dialect Regular" w:cs="Times New Roman"/>
          <w:i/>
          <w:iCs/>
          <w:sz w:val="16"/>
          <w:szCs w:val="16"/>
          <w:u w:val="single"/>
        </w:rPr>
      </w:pPr>
      <w:r w:rsidRPr="00D53164">
        <w:rPr>
          <w:rFonts w:ascii="Visa Dialect Regular" w:hAnsi="Visa Dialect Regular" w:cs="Times New Roman"/>
          <w:i/>
          <w:iCs/>
          <w:sz w:val="16"/>
          <w:szCs w:val="16"/>
          <w:u w:val="single"/>
        </w:rPr>
        <w:t>Contatti per la stampa:</w:t>
      </w:r>
    </w:p>
    <w:p w14:paraId="0D3EB8BC" w14:textId="77777777" w:rsidR="00EB70DF" w:rsidRPr="00D53164" w:rsidRDefault="00EB70DF" w:rsidP="00EB70DF">
      <w:pPr>
        <w:spacing w:after="0" w:line="240" w:lineRule="auto"/>
        <w:jc w:val="both"/>
        <w:rPr>
          <w:rFonts w:ascii="Visa Dialect Regular" w:hAnsi="Visa Dialect Regular" w:cs="Times New Roman"/>
          <w:sz w:val="16"/>
          <w:szCs w:val="16"/>
        </w:rPr>
      </w:pPr>
    </w:p>
    <w:p w14:paraId="02CCB8E2" w14:textId="77777777" w:rsidR="00EB70DF" w:rsidRPr="00D53164" w:rsidRDefault="00EB70DF" w:rsidP="00EB70DF">
      <w:pPr>
        <w:spacing w:after="0" w:line="240" w:lineRule="auto"/>
        <w:jc w:val="both"/>
        <w:rPr>
          <w:rFonts w:ascii="Visa Dialect Regular" w:hAnsi="Visa Dialect Regular" w:cs="Times New Roman"/>
          <w:b/>
          <w:sz w:val="16"/>
          <w:szCs w:val="16"/>
        </w:rPr>
      </w:pPr>
      <w:r w:rsidRPr="00D53164">
        <w:rPr>
          <w:rFonts w:ascii="Visa Dialect Regular" w:hAnsi="Visa Dialect Regular" w:cs="Times New Roman"/>
          <w:b/>
          <w:sz w:val="16"/>
          <w:szCs w:val="16"/>
        </w:rPr>
        <w:t>Ufficio Stampa Visa</w:t>
      </w:r>
    </w:p>
    <w:p w14:paraId="02DD5BDF" w14:textId="0330EB8C" w:rsidR="00EB70DF" w:rsidRPr="00D53164" w:rsidRDefault="00EB70DF"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r w:rsidRPr="00D53164">
        <w:rPr>
          <w:rFonts w:ascii="Visa Dialect Regular" w:eastAsia="Aptos" w:hAnsi="Visa Dialect Regular" w:cs="Times New Roman"/>
          <w:sz w:val="16"/>
          <w:szCs w:val="16"/>
        </w:rPr>
        <w:t xml:space="preserve">Enrica Banti, Senior Manager </w:t>
      </w:r>
      <w:r w:rsidR="00DD4B8F" w:rsidRPr="00D53164">
        <w:rPr>
          <w:rFonts w:ascii="Visa Dialect Regular" w:eastAsia="Aptos" w:hAnsi="Visa Dialect Regular" w:cs="Times New Roman"/>
          <w:sz w:val="16"/>
          <w:szCs w:val="16"/>
        </w:rPr>
        <w:t>Corporate</w:t>
      </w:r>
      <w:r w:rsidRPr="00D53164">
        <w:rPr>
          <w:rFonts w:ascii="Visa Dialect Regular" w:eastAsia="Aptos" w:hAnsi="Visa Dialect Regular" w:cs="Times New Roman"/>
          <w:sz w:val="16"/>
          <w:szCs w:val="16"/>
        </w:rPr>
        <w:t xml:space="preserve"> </w:t>
      </w:r>
      <w:r w:rsidR="00DD4B8F" w:rsidRPr="00D53164">
        <w:rPr>
          <w:rFonts w:ascii="Visa Dialect Regular" w:eastAsia="Aptos" w:hAnsi="Visa Dialect Regular" w:cs="Times New Roman"/>
          <w:sz w:val="16"/>
          <w:szCs w:val="16"/>
        </w:rPr>
        <w:t>Communications</w:t>
      </w:r>
      <w:r w:rsidRPr="00D53164">
        <w:rPr>
          <w:rFonts w:ascii="Visa Dialect Regular" w:eastAsia="Aptos" w:hAnsi="Visa Dialect Regular" w:cs="Times New Roman"/>
          <w:sz w:val="16"/>
          <w:szCs w:val="16"/>
        </w:rPr>
        <w:t>, Visa Ital</w:t>
      </w:r>
      <w:r w:rsidR="00DD4B8F" w:rsidRPr="00D53164">
        <w:rPr>
          <w:rFonts w:ascii="Visa Dialect Regular" w:eastAsia="Aptos" w:hAnsi="Visa Dialect Regular" w:cs="Times New Roman"/>
          <w:sz w:val="16"/>
          <w:szCs w:val="16"/>
        </w:rPr>
        <w:t>y</w:t>
      </w:r>
    </w:p>
    <w:p w14:paraId="011A1C1C" w14:textId="77777777" w:rsidR="00EB70DF" w:rsidRPr="00D53164" w:rsidRDefault="00EB70DF"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lang w:val="en-US"/>
        </w:rPr>
      </w:pPr>
      <w:hyperlink r:id="rId7" w:history="1">
        <w:proofErr w:type="spellStart"/>
        <w:r w:rsidRPr="00D53164">
          <w:rPr>
            <w:rStyle w:val="Collegamentoipertestuale"/>
            <w:rFonts w:ascii="Visa Dialect Regular" w:eastAsia="Aptos" w:hAnsi="Visa Dialect Regular" w:cs="Times New Roman"/>
            <w:sz w:val="16"/>
            <w:szCs w:val="16"/>
            <w:lang w:val="en-US"/>
          </w:rPr>
          <w:t>bantie@visa.com</w:t>
        </w:r>
        <w:proofErr w:type="spellEnd"/>
      </w:hyperlink>
    </w:p>
    <w:p w14:paraId="61B51B15" w14:textId="77777777" w:rsidR="00EB70DF" w:rsidRPr="00D53164" w:rsidRDefault="00EB70DF"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lang w:val="en-US"/>
        </w:rPr>
      </w:pPr>
    </w:p>
    <w:p w14:paraId="7BDCE0B0" w14:textId="2CFCD928" w:rsidR="00EB70DF" w:rsidRPr="00D53164" w:rsidRDefault="00EB70DF"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lang w:val="en-US"/>
        </w:rPr>
      </w:pPr>
      <w:r w:rsidRPr="00D53164">
        <w:rPr>
          <w:rFonts w:ascii="Visa Dialect Regular" w:eastAsia="Aptos" w:hAnsi="Visa Dialect Regular" w:cs="Times New Roman"/>
          <w:sz w:val="16"/>
          <w:szCs w:val="16"/>
          <w:lang w:val="en-US"/>
        </w:rPr>
        <w:t>DAG Com</w:t>
      </w:r>
      <w:r w:rsidR="00DD4B8F" w:rsidRPr="00D53164">
        <w:rPr>
          <w:rFonts w:ascii="Visa Dialect Regular" w:eastAsia="Aptos" w:hAnsi="Visa Dialect Regular" w:cs="Times New Roman"/>
          <w:sz w:val="16"/>
          <w:szCs w:val="16"/>
          <w:lang w:val="en-US"/>
        </w:rPr>
        <w:t>munication for Visa Italy</w:t>
      </w:r>
    </w:p>
    <w:p w14:paraId="63A4B952" w14:textId="7A00EDCE" w:rsidR="00EB70DF" w:rsidRPr="00D53164" w:rsidRDefault="00FA32DB" w:rsidP="00EB70DF">
      <w:pPr>
        <w:pBdr>
          <w:top w:val="nil"/>
          <w:left w:val="nil"/>
          <w:bottom w:val="nil"/>
          <w:right w:val="nil"/>
          <w:between w:val="nil"/>
        </w:pBdr>
        <w:spacing w:after="0" w:line="240" w:lineRule="auto"/>
        <w:jc w:val="both"/>
        <w:rPr>
          <w:rFonts w:ascii="Visa Dialect Regular" w:hAnsi="Visa Dialect Regular"/>
          <w:sz w:val="16"/>
          <w:szCs w:val="16"/>
        </w:rPr>
      </w:pPr>
      <w:hyperlink r:id="rId8" w:history="1">
        <w:proofErr w:type="spellStart"/>
        <w:r w:rsidRPr="00CF2F59">
          <w:rPr>
            <w:rStyle w:val="Collegamentoipertestuale"/>
            <w:rFonts w:ascii="Visa Dialect Regular" w:eastAsia="Aptos" w:hAnsi="Visa Dialect Regular" w:cs="Times New Roman"/>
            <w:sz w:val="16"/>
            <w:szCs w:val="16"/>
          </w:rPr>
          <w:t>visa@dagcom.com</w:t>
        </w:r>
        <w:proofErr w:type="spellEnd"/>
      </w:hyperlink>
      <w:r w:rsidR="00D53164" w:rsidRPr="00D53164">
        <w:rPr>
          <w:rFonts w:ascii="Visa Dialect Regular" w:hAnsi="Visa Dialect Regular"/>
          <w:sz w:val="16"/>
          <w:szCs w:val="16"/>
        </w:rPr>
        <w:t xml:space="preserve"> </w:t>
      </w:r>
    </w:p>
    <w:p w14:paraId="0FD055DA" w14:textId="1695BC22" w:rsidR="00D53164" w:rsidRPr="00CF2F59" w:rsidRDefault="00D53164"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r w:rsidRPr="00CF2F59">
        <w:rPr>
          <w:rFonts w:ascii="Visa Dialect Regular" w:eastAsia="Aptos" w:hAnsi="Visa Dialect Regular" w:cs="Times New Roman"/>
          <w:sz w:val="16"/>
          <w:szCs w:val="16"/>
        </w:rPr>
        <w:t>02 89054167</w:t>
      </w:r>
    </w:p>
    <w:p w14:paraId="0DDD8547" w14:textId="77777777" w:rsidR="005E2EC1" w:rsidRPr="00CF2F59" w:rsidRDefault="005E2EC1"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p>
    <w:p w14:paraId="48AE6E14" w14:textId="77777777" w:rsidR="005E2EC1" w:rsidRPr="005E2EC1" w:rsidRDefault="005E2EC1" w:rsidP="005E2EC1">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r w:rsidRPr="005E2EC1">
        <w:rPr>
          <w:rFonts w:ascii="Visa Dialect Regular" w:eastAsia="Aptos" w:hAnsi="Visa Dialect Regular" w:cs="Times New Roman"/>
          <w:sz w:val="16"/>
          <w:szCs w:val="16"/>
        </w:rPr>
        <w:t>Media Relations BPER</w:t>
      </w:r>
    </w:p>
    <w:p w14:paraId="66C1C297" w14:textId="77777777" w:rsidR="005E2EC1" w:rsidRPr="005E2EC1" w:rsidRDefault="005E2EC1" w:rsidP="005E2EC1">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r w:rsidRPr="005E2EC1">
        <w:rPr>
          <w:rFonts w:ascii="Visa Dialect Regular" w:eastAsia="Aptos" w:hAnsi="Visa Dialect Regular" w:cs="Times New Roman"/>
          <w:sz w:val="16"/>
          <w:szCs w:val="16"/>
        </w:rPr>
        <w:t>Diego de Mattia, Responsabile Media Relations</w:t>
      </w:r>
    </w:p>
    <w:p w14:paraId="32530614" w14:textId="77777777" w:rsidR="005E2EC1" w:rsidRPr="005E2EC1" w:rsidRDefault="005E2EC1" w:rsidP="005E2EC1">
      <w:pPr>
        <w:pBdr>
          <w:top w:val="nil"/>
          <w:left w:val="nil"/>
          <w:bottom w:val="nil"/>
          <w:right w:val="nil"/>
          <w:between w:val="nil"/>
        </w:pBdr>
        <w:spacing w:after="0" w:line="240" w:lineRule="auto"/>
        <w:jc w:val="both"/>
        <w:rPr>
          <w:rFonts w:ascii="Visa Dialect Regular" w:eastAsia="Aptos" w:hAnsi="Visa Dialect Regular" w:cs="Times New Roman"/>
          <w:sz w:val="16"/>
          <w:szCs w:val="16"/>
        </w:rPr>
      </w:pPr>
      <w:proofErr w:type="spellStart"/>
      <w:r w:rsidRPr="005E2EC1">
        <w:rPr>
          <w:rFonts w:ascii="Visa Dialect Regular" w:eastAsia="Aptos" w:hAnsi="Visa Dialect Regular" w:cs="Times New Roman"/>
          <w:sz w:val="16"/>
          <w:szCs w:val="16"/>
        </w:rPr>
        <w:t>diego.demattia@bper.it</w:t>
      </w:r>
      <w:proofErr w:type="spellEnd"/>
    </w:p>
    <w:p w14:paraId="154C11B4" w14:textId="77777777" w:rsidR="005E2EC1" w:rsidRPr="00D53164" w:rsidRDefault="005E2EC1" w:rsidP="00EB70DF">
      <w:pPr>
        <w:pBdr>
          <w:top w:val="nil"/>
          <w:left w:val="nil"/>
          <w:bottom w:val="nil"/>
          <w:right w:val="nil"/>
          <w:between w:val="nil"/>
        </w:pBdr>
        <w:spacing w:after="0" w:line="240" w:lineRule="auto"/>
        <w:jc w:val="both"/>
        <w:rPr>
          <w:rFonts w:ascii="Visa Dialect Regular" w:eastAsia="Aptos" w:hAnsi="Visa Dialect Regular" w:cs="Times New Roman"/>
          <w:sz w:val="16"/>
          <w:szCs w:val="16"/>
          <w:lang w:val="en-US"/>
        </w:rPr>
      </w:pPr>
    </w:p>
    <w:p w14:paraId="0FDE5918" w14:textId="77777777" w:rsidR="00EB70DF" w:rsidRPr="00DD4B8F" w:rsidRDefault="00EB70DF" w:rsidP="00EB70DF">
      <w:pPr>
        <w:pBdr>
          <w:top w:val="nil"/>
          <w:left w:val="nil"/>
          <w:bottom w:val="nil"/>
          <w:right w:val="nil"/>
          <w:between w:val="nil"/>
        </w:pBdr>
        <w:spacing w:after="0" w:line="240" w:lineRule="auto"/>
        <w:jc w:val="both"/>
        <w:rPr>
          <w:rFonts w:ascii="Times New Roman" w:eastAsia="Aptos" w:hAnsi="Times New Roman" w:cs="Times New Roman"/>
          <w:sz w:val="12"/>
          <w:szCs w:val="12"/>
          <w:lang w:val="en-US"/>
        </w:rPr>
      </w:pPr>
    </w:p>
    <w:sectPr w:rsidR="00EB70DF" w:rsidRPr="00DD4B8F" w:rsidSect="00936F85">
      <w:headerReference w:type="default" r:id="rId9"/>
      <w:pgSz w:w="11906" w:h="16838"/>
      <w:pgMar w:top="1440"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388A1" w14:textId="77777777" w:rsidR="00E465F7" w:rsidRDefault="00E465F7" w:rsidP="001E5752">
      <w:pPr>
        <w:spacing w:after="0" w:line="240" w:lineRule="auto"/>
      </w:pPr>
      <w:r>
        <w:separator/>
      </w:r>
    </w:p>
  </w:endnote>
  <w:endnote w:type="continuationSeparator" w:id="0">
    <w:p w14:paraId="480863BE" w14:textId="77777777" w:rsidR="00E465F7" w:rsidRDefault="00E465F7" w:rsidP="001E5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isa Dialect Semibold">
    <w:panose1 w:val="00000000000000000000"/>
    <w:charset w:val="00"/>
    <w:family w:val="auto"/>
    <w:pitch w:val="variable"/>
    <w:sig w:usb0="A00002FF" w:usb1="5000027B" w:usb2="00000000" w:usb3="00000000" w:csb0="00000197" w:csb1="00000000"/>
  </w:font>
  <w:font w:name="Noto Sans Yi">
    <w:charset w:val="00"/>
    <w:family w:val="swiss"/>
    <w:pitch w:val="variable"/>
    <w:sig w:usb0="00000003" w:usb1="00050000" w:usb2="00080010" w:usb3="00000000" w:csb0="00000001" w:csb1="00000000"/>
  </w:font>
  <w:font w:name="Times New Roman (Headings CS)">
    <w:altName w:val="Times New Roman"/>
    <w:charset w:val="00"/>
    <w:family w:val="roman"/>
    <w:pitch w:val="default"/>
  </w:font>
  <w:font w:name="Visa Dialect Regular">
    <w:altName w:val="Calibri"/>
    <w:panose1 w:val="00000000000000000000"/>
    <w:charset w:val="00"/>
    <w:family w:val="auto"/>
    <w:pitch w:val="variable"/>
    <w:sig w:usb0="A00002FF" w:usb1="5000027B" w:usb2="00000000" w:usb3="00000000" w:csb0="00000197"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90E08" w14:textId="77777777" w:rsidR="00E465F7" w:rsidRDefault="00E465F7" w:rsidP="001E5752">
      <w:pPr>
        <w:spacing w:after="0" w:line="240" w:lineRule="auto"/>
      </w:pPr>
      <w:r>
        <w:separator/>
      </w:r>
    </w:p>
  </w:footnote>
  <w:footnote w:type="continuationSeparator" w:id="0">
    <w:p w14:paraId="2DBADEE3" w14:textId="77777777" w:rsidR="00E465F7" w:rsidRDefault="00E465F7" w:rsidP="001E5752">
      <w:pPr>
        <w:spacing w:after="0" w:line="240" w:lineRule="auto"/>
      </w:pPr>
      <w:r>
        <w:continuationSeparator/>
      </w:r>
    </w:p>
  </w:footnote>
  <w:footnote w:id="1">
    <w:p w14:paraId="55F5C837" w14:textId="77777777" w:rsidR="005E2EC1" w:rsidRDefault="005E2EC1" w:rsidP="005E2EC1">
      <w:pPr>
        <w:pStyle w:val="Testonotaapidipagina"/>
        <w:rPr>
          <w:rFonts w:ascii="Arial" w:eastAsia="MS PGothic" w:hAnsi="Arial" w:cs="Times New Roman"/>
          <w:kern w:val="0"/>
          <w:lang w:eastAsia="it-IT"/>
        </w:rPr>
      </w:pPr>
      <w:r>
        <w:rPr>
          <w:rStyle w:val="Rimandonotaapidipagina"/>
        </w:rPr>
        <w:footnoteRef/>
      </w:r>
      <w:r>
        <w:t xml:space="preserve"> L’icona Click to Pay è un marchio di proprietà di </w:t>
      </w:r>
      <w:proofErr w:type="spellStart"/>
      <w:r>
        <w:t>EMVCo</w:t>
      </w:r>
      <w:proofErr w:type="spellEnd"/>
      <w:r>
        <w:t>, LLC ed è utilizzata previa autorizzazione della stessa.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620B" w14:textId="4B828376" w:rsidR="001E5752" w:rsidRDefault="00737931" w:rsidP="00604EE9">
    <w:pPr>
      <w:pStyle w:val="Intestazione"/>
      <w:tabs>
        <w:tab w:val="left" w:pos="7716"/>
      </w:tabs>
    </w:pPr>
    <w:r>
      <w:rPr>
        <w:noProof/>
      </w:rPr>
      <w:drawing>
        <wp:anchor distT="0" distB="0" distL="114300" distR="114300" simplePos="0" relativeHeight="251659264" behindDoc="0" locked="0" layoutInCell="1" allowOverlap="1" wp14:anchorId="011377EC" wp14:editId="0C14E7FE">
          <wp:simplePos x="0" y="0"/>
          <wp:positionH relativeFrom="column">
            <wp:posOffset>4450080</wp:posOffset>
          </wp:positionH>
          <wp:positionV relativeFrom="paragraph">
            <wp:posOffset>22225</wp:posOffset>
          </wp:positionV>
          <wp:extent cx="1266825" cy="410210"/>
          <wp:effectExtent l="0" t="0" r="9525" b="8890"/>
          <wp:wrapNone/>
          <wp:docPr id="429531159" name="image1.png" descr="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31159" name="image1.png" descr="Logo&#10;&#10;Descrizione generata automaticamente"/>
                  <pic:cNvPicPr>
                    <a:picLocks noChangeAspect="1"/>
                  </pic:cNvPicPr>
                </pic:nvPicPr>
                <pic:blipFill>
                  <a:blip r:embed="rId1"/>
                  <a:srcRect/>
                  <a:stretch>
                    <a:fillRect/>
                  </a:stretch>
                </pic:blipFill>
                <pic:spPr>
                  <a:xfrm>
                    <a:off x="0" y="0"/>
                    <a:ext cx="1266825" cy="410210"/>
                  </a:xfrm>
                  <a:prstGeom prst="rect">
                    <a:avLst/>
                  </a:prstGeom>
                  <a:ln/>
                </pic:spPr>
              </pic:pic>
            </a:graphicData>
          </a:graphic>
        </wp:anchor>
      </w:drawing>
    </w:r>
    <w:r>
      <w:rPr>
        <w:noProof/>
      </w:rPr>
      <w:drawing>
        <wp:inline distT="0" distB="0" distL="0" distR="0" wp14:anchorId="22617CA4" wp14:editId="009F6D37">
          <wp:extent cx="1249680" cy="545799"/>
          <wp:effectExtent l="0" t="0" r="7620" b="6985"/>
          <wp:docPr id="854892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1683" cy="559777"/>
                  </a:xfrm>
                  <a:prstGeom prst="rect">
                    <a:avLst/>
                  </a:prstGeom>
                  <a:noFill/>
                  <a:ln>
                    <a:noFill/>
                  </a:ln>
                </pic:spPr>
              </pic:pic>
            </a:graphicData>
          </a:graphic>
        </wp:inline>
      </w:drawing>
    </w:r>
  </w:p>
  <w:p w14:paraId="5AAD8CA6" w14:textId="77777777" w:rsidR="00F741CA" w:rsidRDefault="00F741CA" w:rsidP="00604EE9">
    <w:pPr>
      <w:pStyle w:val="Intestazione"/>
      <w:tabs>
        <w:tab w:val="left" w:pos="7716"/>
      </w:tabs>
    </w:pPr>
  </w:p>
  <w:p w14:paraId="6100CD24" w14:textId="77777777" w:rsidR="00F741CA" w:rsidRDefault="00F741CA" w:rsidP="00604EE9">
    <w:pPr>
      <w:pStyle w:val="Intestazione"/>
      <w:tabs>
        <w:tab w:val="left" w:pos="7716"/>
      </w:tabs>
    </w:pPr>
  </w:p>
  <w:p w14:paraId="2D0893B5" w14:textId="77777777" w:rsidR="00F741CA" w:rsidRDefault="00F741CA" w:rsidP="00604EE9">
    <w:pPr>
      <w:pStyle w:val="Intestazione"/>
      <w:tabs>
        <w:tab w:val="left" w:pos="77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4422"/>
    <w:multiLevelType w:val="hybridMultilevel"/>
    <w:tmpl w:val="6B76E9DC"/>
    <w:lvl w:ilvl="0" w:tplc="5D4E0B50">
      <w:start w:val="19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47F7D34"/>
    <w:multiLevelType w:val="multilevel"/>
    <w:tmpl w:val="FC76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E5342E"/>
    <w:multiLevelType w:val="multilevel"/>
    <w:tmpl w:val="E9227CA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470898149">
    <w:abstractNumId w:val="0"/>
  </w:num>
  <w:num w:numId="2" w16cid:durableId="1252859299">
    <w:abstractNumId w:val="1"/>
  </w:num>
  <w:num w:numId="3" w16cid:durableId="316961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61"/>
    <w:rsid w:val="0004717E"/>
    <w:rsid w:val="000503BD"/>
    <w:rsid w:val="00060F5F"/>
    <w:rsid w:val="000846E8"/>
    <w:rsid w:val="000948D2"/>
    <w:rsid w:val="000A4A58"/>
    <w:rsid w:val="000A5C25"/>
    <w:rsid w:val="000B1CE9"/>
    <w:rsid w:val="000B51A6"/>
    <w:rsid w:val="000B5CE0"/>
    <w:rsid w:val="000B722B"/>
    <w:rsid w:val="000D34ED"/>
    <w:rsid w:val="000D3D2E"/>
    <w:rsid w:val="000F753A"/>
    <w:rsid w:val="001050C4"/>
    <w:rsid w:val="001101AF"/>
    <w:rsid w:val="00111847"/>
    <w:rsid w:val="00115CDD"/>
    <w:rsid w:val="00131CA5"/>
    <w:rsid w:val="00132B8E"/>
    <w:rsid w:val="001337C2"/>
    <w:rsid w:val="00137F55"/>
    <w:rsid w:val="0014253D"/>
    <w:rsid w:val="00152C22"/>
    <w:rsid w:val="00154F66"/>
    <w:rsid w:val="00164AD8"/>
    <w:rsid w:val="00196AB2"/>
    <w:rsid w:val="001A5106"/>
    <w:rsid w:val="001C3D40"/>
    <w:rsid w:val="001E3258"/>
    <w:rsid w:val="001E3E96"/>
    <w:rsid w:val="001E5752"/>
    <w:rsid w:val="001F1511"/>
    <w:rsid w:val="001F2903"/>
    <w:rsid w:val="001F2A04"/>
    <w:rsid w:val="00204B03"/>
    <w:rsid w:val="00216924"/>
    <w:rsid w:val="002220A1"/>
    <w:rsid w:val="00225BA3"/>
    <w:rsid w:val="00225E19"/>
    <w:rsid w:val="00230AF7"/>
    <w:rsid w:val="0023152A"/>
    <w:rsid w:val="0023326F"/>
    <w:rsid w:val="00234E7A"/>
    <w:rsid w:val="00254E9E"/>
    <w:rsid w:val="00255E15"/>
    <w:rsid w:val="00265DF4"/>
    <w:rsid w:val="002677A1"/>
    <w:rsid w:val="00281F0C"/>
    <w:rsid w:val="002A2D18"/>
    <w:rsid w:val="002B7AF0"/>
    <w:rsid w:val="002C44DB"/>
    <w:rsid w:val="002D010F"/>
    <w:rsid w:val="002D2C7F"/>
    <w:rsid w:val="002F18A0"/>
    <w:rsid w:val="00307778"/>
    <w:rsid w:val="00346C24"/>
    <w:rsid w:val="00350141"/>
    <w:rsid w:val="00365E8E"/>
    <w:rsid w:val="00383FCD"/>
    <w:rsid w:val="003907D7"/>
    <w:rsid w:val="003968B6"/>
    <w:rsid w:val="003A5BC7"/>
    <w:rsid w:val="003A7360"/>
    <w:rsid w:val="003E3482"/>
    <w:rsid w:val="00404EC0"/>
    <w:rsid w:val="0040796F"/>
    <w:rsid w:val="0043578F"/>
    <w:rsid w:val="0044197E"/>
    <w:rsid w:val="0044713C"/>
    <w:rsid w:val="00447D3A"/>
    <w:rsid w:val="00471AAF"/>
    <w:rsid w:val="004756C9"/>
    <w:rsid w:val="00487744"/>
    <w:rsid w:val="004B05D0"/>
    <w:rsid w:val="004B18B9"/>
    <w:rsid w:val="004B27E0"/>
    <w:rsid w:val="004B5D19"/>
    <w:rsid w:val="004B79B1"/>
    <w:rsid w:val="004E01E1"/>
    <w:rsid w:val="004E144E"/>
    <w:rsid w:val="0051003E"/>
    <w:rsid w:val="00516E4E"/>
    <w:rsid w:val="00517E71"/>
    <w:rsid w:val="00525CE8"/>
    <w:rsid w:val="005341A2"/>
    <w:rsid w:val="005374C2"/>
    <w:rsid w:val="0055791D"/>
    <w:rsid w:val="005609DD"/>
    <w:rsid w:val="00562F23"/>
    <w:rsid w:val="00581D87"/>
    <w:rsid w:val="00585E9C"/>
    <w:rsid w:val="005914E8"/>
    <w:rsid w:val="00592434"/>
    <w:rsid w:val="005972E8"/>
    <w:rsid w:val="005A4DF8"/>
    <w:rsid w:val="005B5046"/>
    <w:rsid w:val="005D1219"/>
    <w:rsid w:val="005E2EC1"/>
    <w:rsid w:val="005E319D"/>
    <w:rsid w:val="00600477"/>
    <w:rsid w:val="006043B3"/>
    <w:rsid w:val="00604EE9"/>
    <w:rsid w:val="00606609"/>
    <w:rsid w:val="00616109"/>
    <w:rsid w:val="00616A15"/>
    <w:rsid w:val="006708E3"/>
    <w:rsid w:val="00673034"/>
    <w:rsid w:val="00676AED"/>
    <w:rsid w:val="006A5C39"/>
    <w:rsid w:val="006B1411"/>
    <w:rsid w:val="006C6AAE"/>
    <w:rsid w:val="006D0761"/>
    <w:rsid w:val="006D73A1"/>
    <w:rsid w:val="006E02FC"/>
    <w:rsid w:val="006E5BE7"/>
    <w:rsid w:val="00704958"/>
    <w:rsid w:val="0071214D"/>
    <w:rsid w:val="00715B35"/>
    <w:rsid w:val="00717B85"/>
    <w:rsid w:val="00737931"/>
    <w:rsid w:val="00743AE5"/>
    <w:rsid w:val="00784728"/>
    <w:rsid w:val="00784C40"/>
    <w:rsid w:val="00787924"/>
    <w:rsid w:val="007A7733"/>
    <w:rsid w:val="007B0478"/>
    <w:rsid w:val="007B5DB3"/>
    <w:rsid w:val="007B607A"/>
    <w:rsid w:val="007C44C0"/>
    <w:rsid w:val="007E2137"/>
    <w:rsid w:val="0080626C"/>
    <w:rsid w:val="008274E8"/>
    <w:rsid w:val="00840C07"/>
    <w:rsid w:val="00842E11"/>
    <w:rsid w:val="008527F6"/>
    <w:rsid w:val="00873B34"/>
    <w:rsid w:val="008856FE"/>
    <w:rsid w:val="00895902"/>
    <w:rsid w:val="00896F93"/>
    <w:rsid w:val="008A0FFA"/>
    <w:rsid w:val="008A5F4A"/>
    <w:rsid w:val="008C0380"/>
    <w:rsid w:val="008E0B74"/>
    <w:rsid w:val="008F7BD5"/>
    <w:rsid w:val="009078D7"/>
    <w:rsid w:val="00914544"/>
    <w:rsid w:val="00921F63"/>
    <w:rsid w:val="00930604"/>
    <w:rsid w:val="00931F4E"/>
    <w:rsid w:val="00936F85"/>
    <w:rsid w:val="009460A7"/>
    <w:rsid w:val="00956150"/>
    <w:rsid w:val="009665C7"/>
    <w:rsid w:val="00980EF2"/>
    <w:rsid w:val="009829A0"/>
    <w:rsid w:val="009C7105"/>
    <w:rsid w:val="009D140D"/>
    <w:rsid w:val="009E3DB7"/>
    <w:rsid w:val="009F689F"/>
    <w:rsid w:val="00A03464"/>
    <w:rsid w:val="00A0617D"/>
    <w:rsid w:val="00A434A4"/>
    <w:rsid w:val="00A44566"/>
    <w:rsid w:val="00A459CF"/>
    <w:rsid w:val="00A534EA"/>
    <w:rsid w:val="00A6145A"/>
    <w:rsid w:val="00A66593"/>
    <w:rsid w:val="00A83173"/>
    <w:rsid w:val="00A90946"/>
    <w:rsid w:val="00A97E2B"/>
    <w:rsid w:val="00AA0B0E"/>
    <w:rsid w:val="00AA2982"/>
    <w:rsid w:val="00AA4070"/>
    <w:rsid w:val="00AA6F99"/>
    <w:rsid w:val="00AB0858"/>
    <w:rsid w:val="00AB61F5"/>
    <w:rsid w:val="00AD2736"/>
    <w:rsid w:val="00AE05AC"/>
    <w:rsid w:val="00AE7244"/>
    <w:rsid w:val="00B13E28"/>
    <w:rsid w:val="00B17ECD"/>
    <w:rsid w:val="00B2475F"/>
    <w:rsid w:val="00B44BB8"/>
    <w:rsid w:val="00B81148"/>
    <w:rsid w:val="00B85FC6"/>
    <w:rsid w:val="00BA063D"/>
    <w:rsid w:val="00BA4D4B"/>
    <w:rsid w:val="00BA4E6D"/>
    <w:rsid w:val="00BA5A00"/>
    <w:rsid w:val="00BB5B3C"/>
    <w:rsid w:val="00BC3501"/>
    <w:rsid w:val="00BD325A"/>
    <w:rsid w:val="00BF3D56"/>
    <w:rsid w:val="00C02778"/>
    <w:rsid w:val="00C17F4A"/>
    <w:rsid w:val="00C229FC"/>
    <w:rsid w:val="00C27A41"/>
    <w:rsid w:val="00C45E20"/>
    <w:rsid w:val="00C528EA"/>
    <w:rsid w:val="00C55796"/>
    <w:rsid w:val="00C56E9E"/>
    <w:rsid w:val="00C6162F"/>
    <w:rsid w:val="00C733B7"/>
    <w:rsid w:val="00C75491"/>
    <w:rsid w:val="00C8012A"/>
    <w:rsid w:val="00C91C4A"/>
    <w:rsid w:val="00CA745A"/>
    <w:rsid w:val="00CB441F"/>
    <w:rsid w:val="00CB6F0C"/>
    <w:rsid w:val="00CC4D76"/>
    <w:rsid w:val="00CD4244"/>
    <w:rsid w:val="00CD49FF"/>
    <w:rsid w:val="00CE40FF"/>
    <w:rsid w:val="00CF21EE"/>
    <w:rsid w:val="00CF2F59"/>
    <w:rsid w:val="00D04EC0"/>
    <w:rsid w:val="00D14303"/>
    <w:rsid w:val="00D16CC1"/>
    <w:rsid w:val="00D21BB5"/>
    <w:rsid w:val="00D22A34"/>
    <w:rsid w:val="00D25C57"/>
    <w:rsid w:val="00D43A54"/>
    <w:rsid w:val="00D45098"/>
    <w:rsid w:val="00D525E5"/>
    <w:rsid w:val="00D53164"/>
    <w:rsid w:val="00D57BAB"/>
    <w:rsid w:val="00D643C4"/>
    <w:rsid w:val="00D7481F"/>
    <w:rsid w:val="00D923B3"/>
    <w:rsid w:val="00DB2BFA"/>
    <w:rsid w:val="00DC0B4C"/>
    <w:rsid w:val="00DC78A0"/>
    <w:rsid w:val="00DD4B8F"/>
    <w:rsid w:val="00DE232E"/>
    <w:rsid w:val="00E0394B"/>
    <w:rsid w:val="00E06865"/>
    <w:rsid w:val="00E1598A"/>
    <w:rsid w:val="00E465F7"/>
    <w:rsid w:val="00E53D48"/>
    <w:rsid w:val="00E63589"/>
    <w:rsid w:val="00E6589E"/>
    <w:rsid w:val="00E75440"/>
    <w:rsid w:val="00E94593"/>
    <w:rsid w:val="00EA0D82"/>
    <w:rsid w:val="00EB110C"/>
    <w:rsid w:val="00EB70DF"/>
    <w:rsid w:val="00EC1B72"/>
    <w:rsid w:val="00ED0D98"/>
    <w:rsid w:val="00EE72C4"/>
    <w:rsid w:val="00EF19C8"/>
    <w:rsid w:val="00EF4867"/>
    <w:rsid w:val="00F000B4"/>
    <w:rsid w:val="00F14726"/>
    <w:rsid w:val="00F169FB"/>
    <w:rsid w:val="00F20B01"/>
    <w:rsid w:val="00F2282C"/>
    <w:rsid w:val="00F32807"/>
    <w:rsid w:val="00F34B27"/>
    <w:rsid w:val="00F400BC"/>
    <w:rsid w:val="00F51DD1"/>
    <w:rsid w:val="00F70CA8"/>
    <w:rsid w:val="00F741CA"/>
    <w:rsid w:val="00F74BAD"/>
    <w:rsid w:val="00F907C4"/>
    <w:rsid w:val="00F926C7"/>
    <w:rsid w:val="00FA32DB"/>
    <w:rsid w:val="00FC1045"/>
    <w:rsid w:val="00FD21F6"/>
    <w:rsid w:val="00FE78D3"/>
    <w:rsid w:val="00FF22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46EAC"/>
  <w15:chartTrackingRefBased/>
  <w15:docId w15:val="{B29D89F3-A02B-4961-93E7-C3A68F95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D0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D0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D076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D076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D076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D076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D076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D076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D076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D07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D07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D07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D07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D07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D07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D07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D07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D07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6D0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D07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D076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D07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D076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D0761"/>
    <w:rPr>
      <w:i/>
      <w:iCs/>
      <w:color w:val="404040" w:themeColor="text1" w:themeTint="BF"/>
    </w:rPr>
  </w:style>
  <w:style w:type="paragraph" w:styleId="Paragrafoelenco">
    <w:name w:val="List Paragraph"/>
    <w:basedOn w:val="Normale"/>
    <w:uiPriority w:val="34"/>
    <w:qFormat/>
    <w:rsid w:val="006D0761"/>
    <w:pPr>
      <w:ind w:left="720"/>
      <w:contextualSpacing/>
    </w:pPr>
  </w:style>
  <w:style w:type="character" w:styleId="Enfasiintensa">
    <w:name w:val="Intense Emphasis"/>
    <w:basedOn w:val="Carpredefinitoparagrafo"/>
    <w:uiPriority w:val="21"/>
    <w:qFormat/>
    <w:rsid w:val="006D0761"/>
    <w:rPr>
      <w:i/>
      <w:iCs/>
      <w:color w:val="0F4761" w:themeColor="accent1" w:themeShade="BF"/>
    </w:rPr>
  </w:style>
  <w:style w:type="paragraph" w:styleId="Citazioneintensa">
    <w:name w:val="Intense Quote"/>
    <w:basedOn w:val="Normale"/>
    <w:next w:val="Normale"/>
    <w:link w:val="CitazioneintensaCarattere"/>
    <w:uiPriority w:val="30"/>
    <w:qFormat/>
    <w:rsid w:val="006D0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D0761"/>
    <w:rPr>
      <w:i/>
      <w:iCs/>
      <w:color w:val="0F4761" w:themeColor="accent1" w:themeShade="BF"/>
    </w:rPr>
  </w:style>
  <w:style w:type="character" w:styleId="Riferimentointenso">
    <w:name w:val="Intense Reference"/>
    <w:basedOn w:val="Carpredefinitoparagrafo"/>
    <w:uiPriority w:val="32"/>
    <w:qFormat/>
    <w:rsid w:val="006D0761"/>
    <w:rPr>
      <w:b/>
      <w:bCs/>
      <w:smallCaps/>
      <w:color w:val="0F4761" w:themeColor="accent1" w:themeShade="BF"/>
      <w:spacing w:val="5"/>
    </w:rPr>
  </w:style>
  <w:style w:type="character" w:styleId="Rimandocommento">
    <w:name w:val="annotation reference"/>
    <w:basedOn w:val="Carpredefinitoparagrafo"/>
    <w:uiPriority w:val="99"/>
    <w:semiHidden/>
    <w:unhideWhenUsed/>
    <w:rsid w:val="00C91C4A"/>
    <w:rPr>
      <w:sz w:val="16"/>
      <w:szCs w:val="16"/>
    </w:rPr>
  </w:style>
  <w:style w:type="paragraph" w:styleId="Testocommento">
    <w:name w:val="annotation text"/>
    <w:basedOn w:val="Normale"/>
    <w:link w:val="TestocommentoCarattere"/>
    <w:uiPriority w:val="99"/>
    <w:unhideWhenUsed/>
    <w:rsid w:val="00C91C4A"/>
    <w:pPr>
      <w:spacing w:line="240" w:lineRule="auto"/>
    </w:pPr>
    <w:rPr>
      <w:sz w:val="20"/>
      <w:szCs w:val="20"/>
    </w:rPr>
  </w:style>
  <w:style w:type="character" w:customStyle="1" w:styleId="TestocommentoCarattere">
    <w:name w:val="Testo commento Carattere"/>
    <w:basedOn w:val="Carpredefinitoparagrafo"/>
    <w:link w:val="Testocommento"/>
    <w:uiPriority w:val="99"/>
    <w:rsid w:val="00C91C4A"/>
    <w:rPr>
      <w:sz w:val="20"/>
      <w:szCs w:val="20"/>
    </w:rPr>
  </w:style>
  <w:style w:type="paragraph" w:styleId="Soggettocommento">
    <w:name w:val="annotation subject"/>
    <w:basedOn w:val="Testocommento"/>
    <w:next w:val="Testocommento"/>
    <w:link w:val="SoggettocommentoCarattere"/>
    <w:uiPriority w:val="99"/>
    <w:semiHidden/>
    <w:unhideWhenUsed/>
    <w:rsid w:val="00C91C4A"/>
    <w:rPr>
      <w:b/>
      <w:bCs/>
    </w:rPr>
  </w:style>
  <w:style w:type="character" w:customStyle="1" w:styleId="SoggettocommentoCarattere">
    <w:name w:val="Soggetto commento Carattere"/>
    <w:basedOn w:val="TestocommentoCarattere"/>
    <w:link w:val="Soggettocommento"/>
    <w:uiPriority w:val="99"/>
    <w:semiHidden/>
    <w:rsid w:val="00C91C4A"/>
    <w:rPr>
      <w:b/>
      <w:bCs/>
      <w:sz w:val="20"/>
      <w:szCs w:val="20"/>
    </w:rPr>
  </w:style>
  <w:style w:type="paragraph" w:styleId="Intestazione">
    <w:name w:val="header"/>
    <w:basedOn w:val="Normale"/>
    <w:link w:val="IntestazioneCarattere"/>
    <w:uiPriority w:val="99"/>
    <w:unhideWhenUsed/>
    <w:rsid w:val="001E5752"/>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1E5752"/>
  </w:style>
  <w:style w:type="paragraph" w:styleId="Pidipagina">
    <w:name w:val="footer"/>
    <w:basedOn w:val="Normale"/>
    <w:link w:val="PidipaginaCarattere"/>
    <w:uiPriority w:val="99"/>
    <w:unhideWhenUsed/>
    <w:rsid w:val="001E5752"/>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1E5752"/>
  </w:style>
  <w:style w:type="paragraph" w:styleId="Revisione">
    <w:name w:val="Revision"/>
    <w:hidden/>
    <w:uiPriority w:val="99"/>
    <w:semiHidden/>
    <w:rsid w:val="00F70CA8"/>
    <w:pPr>
      <w:spacing w:after="0" w:line="240" w:lineRule="auto"/>
    </w:pPr>
  </w:style>
  <w:style w:type="paragraph" w:styleId="Testonotaapidipagina">
    <w:name w:val="footnote text"/>
    <w:basedOn w:val="Normale"/>
    <w:link w:val="TestonotaapidipaginaCarattere"/>
    <w:uiPriority w:val="99"/>
    <w:semiHidden/>
    <w:unhideWhenUsed/>
    <w:rsid w:val="009561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56150"/>
    <w:rPr>
      <w:sz w:val="20"/>
      <w:szCs w:val="20"/>
    </w:rPr>
  </w:style>
  <w:style w:type="character" w:styleId="Rimandonotaapidipagina">
    <w:name w:val="footnote reference"/>
    <w:basedOn w:val="Carpredefinitoparagrafo"/>
    <w:uiPriority w:val="99"/>
    <w:semiHidden/>
    <w:unhideWhenUsed/>
    <w:rsid w:val="00956150"/>
    <w:rPr>
      <w:vertAlign w:val="superscript"/>
    </w:rPr>
  </w:style>
  <w:style w:type="character" w:styleId="Collegamentoipertestuale">
    <w:name w:val="Hyperlink"/>
    <w:basedOn w:val="Carpredefinitoparagrafo"/>
    <w:uiPriority w:val="99"/>
    <w:unhideWhenUsed/>
    <w:rsid w:val="00956150"/>
    <w:rPr>
      <w:color w:val="467886" w:themeColor="hyperlink"/>
      <w:u w:val="single"/>
    </w:rPr>
  </w:style>
  <w:style w:type="character" w:styleId="Menzionenonrisolta">
    <w:name w:val="Unresolved Mention"/>
    <w:basedOn w:val="Carpredefinitoparagrafo"/>
    <w:uiPriority w:val="99"/>
    <w:semiHidden/>
    <w:unhideWhenUsed/>
    <w:rsid w:val="00956150"/>
    <w:rPr>
      <w:color w:val="605E5C"/>
      <w:shd w:val="clear" w:color="auto" w:fill="E1DFDD"/>
    </w:rPr>
  </w:style>
  <w:style w:type="paragraph" w:customStyle="1" w:styleId="isselectedend">
    <w:name w:val="isselectedend"/>
    <w:basedOn w:val="Normale"/>
    <w:rsid w:val="00BB5B3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BB5B3C"/>
    <w:rPr>
      <w:b/>
      <w:bCs/>
    </w:rPr>
  </w:style>
  <w:style w:type="character" w:customStyle="1" w:styleId="text-token-text-primary">
    <w:name w:val="text-token-text-primary"/>
    <w:basedOn w:val="Carpredefinitoparagrafo"/>
    <w:rsid w:val="00BB5B3C"/>
  </w:style>
  <w:style w:type="paragraph" w:styleId="NormaleWeb">
    <w:name w:val="Normal (Web)"/>
    <w:basedOn w:val="Normale"/>
    <w:uiPriority w:val="99"/>
    <w:semiHidden/>
    <w:unhideWhenUsed/>
    <w:rsid w:val="00BB5B3C"/>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6574">
      <w:bodyDiv w:val="1"/>
      <w:marLeft w:val="0"/>
      <w:marRight w:val="0"/>
      <w:marTop w:val="0"/>
      <w:marBottom w:val="0"/>
      <w:divBdr>
        <w:top w:val="none" w:sz="0" w:space="0" w:color="auto"/>
        <w:left w:val="none" w:sz="0" w:space="0" w:color="auto"/>
        <w:bottom w:val="none" w:sz="0" w:space="0" w:color="auto"/>
        <w:right w:val="none" w:sz="0" w:space="0" w:color="auto"/>
      </w:divBdr>
    </w:div>
    <w:div w:id="671685017">
      <w:bodyDiv w:val="1"/>
      <w:marLeft w:val="0"/>
      <w:marRight w:val="0"/>
      <w:marTop w:val="0"/>
      <w:marBottom w:val="0"/>
      <w:divBdr>
        <w:top w:val="none" w:sz="0" w:space="0" w:color="auto"/>
        <w:left w:val="none" w:sz="0" w:space="0" w:color="auto"/>
        <w:bottom w:val="none" w:sz="0" w:space="0" w:color="auto"/>
        <w:right w:val="none" w:sz="0" w:space="0" w:color="auto"/>
      </w:divBdr>
    </w:div>
    <w:div w:id="1519200381">
      <w:bodyDiv w:val="1"/>
      <w:marLeft w:val="0"/>
      <w:marRight w:val="0"/>
      <w:marTop w:val="0"/>
      <w:marBottom w:val="0"/>
      <w:divBdr>
        <w:top w:val="none" w:sz="0" w:space="0" w:color="auto"/>
        <w:left w:val="none" w:sz="0" w:space="0" w:color="auto"/>
        <w:bottom w:val="none" w:sz="0" w:space="0" w:color="auto"/>
        <w:right w:val="none" w:sz="0" w:space="0" w:color="auto"/>
      </w:divBdr>
    </w:div>
    <w:div w:id="193562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sa@dagcom.com" TargetMode="External"/><Relationship Id="rId3" Type="http://schemas.openxmlformats.org/officeDocument/2006/relationships/settings" Target="settings.xml"/><Relationship Id="rId7" Type="http://schemas.openxmlformats.org/officeDocument/2006/relationships/hyperlink" Target="mailto:bantie@vis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1b02abd-daec-432a-8ee4-b5137910aca6}" enabled="0" method="" siteId="{91b02abd-daec-432a-8ee4-b5137910aca6}" removed="1"/>
</clbl:labelList>
</file>

<file path=docProps/app.xml><?xml version="1.0" encoding="utf-8"?>
<Properties xmlns="http://schemas.openxmlformats.org/officeDocument/2006/extended-properties" xmlns:vt="http://schemas.openxmlformats.org/officeDocument/2006/docPropsVTypes">
  <Template>Normal.dotm</Template>
  <TotalTime>182</TotalTime>
  <Pages>2</Pages>
  <Words>695</Words>
  <Characters>3962</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Martignoni Gloria</dc:creator>
  <cp:keywords/>
  <dc:description/>
  <cp:lastModifiedBy>DAG6</cp:lastModifiedBy>
  <cp:revision>38</cp:revision>
  <dcterms:created xsi:type="dcterms:W3CDTF">2026-02-09T17:21:00Z</dcterms:created>
  <dcterms:modified xsi:type="dcterms:W3CDTF">2026-10-14T09:04:00Z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e03692f1-94b0-4cec-aaf5-17afd7a5ae1c</vt:lpwstr>
  </property>
</Properties>
</file>