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5C" w:rsidRPr="00F97A06" w:rsidRDefault="00CA2133" w:rsidP="00F97A06">
      <w:pPr>
        <w:tabs>
          <w:tab w:val="left" w:pos="8100"/>
        </w:tabs>
        <w:rPr>
          <w:rFonts w:ascii="Verdana" w:hAnsi="Verdana"/>
          <w:color w:val="000080"/>
          <w:sz w:val="22"/>
          <w:szCs w:val="22"/>
        </w:rPr>
      </w:pPr>
      <w:r>
        <w:rPr>
          <w:rFonts w:ascii="Verdana" w:hAnsi="Verdana"/>
          <w:noProof/>
          <w:color w:val="000080"/>
          <w:sz w:val="22"/>
          <w:szCs w:val="22"/>
        </w:rPr>
        <w:drawing>
          <wp:inline distT="0" distB="0" distL="0" distR="0">
            <wp:extent cx="1809750" cy="342900"/>
            <wp:effectExtent l="19050" t="0" r="0" b="0"/>
            <wp:docPr id="1" name="Picture 1" descr="DEL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_COL"/>
                    <pic:cNvPicPr>
                      <a:picLocks noChangeAspect="1" noChangeArrowheads="1"/>
                    </pic:cNvPicPr>
                  </pic:nvPicPr>
                  <pic:blipFill>
                    <a:blip r:embed="rId8" cstate="print"/>
                    <a:srcRect/>
                    <a:stretch>
                      <a:fillRect/>
                    </a:stretch>
                  </pic:blipFill>
                  <pic:spPr bwMode="auto">
                    <a:xfrm>
                      <a:off x="0" y="0"/>
                      <a:ext cx="1809750" cy="342900"/>
                    </a:xfrm>
                    <a:prstGeom prst="rect">
                      <a:avLst/>
                    </a:prstGeom>
                    <a:noFill/>
                    <a:ln w="9525">
                      <a:noFill/>
                      <a:miter lim="800000"/>
                      <a:headEnd/>
                      <a:tailEnd/>
                    </a:ln>
                  </pic:spPr>
                </pic:pic>
              </a:graphicData>
            </a:graphic>
          </wp:inline>
        </w:drawing>
      </w:r>
    </w:p>
    <w:p w:rsidR="0078235C" w:rsidRDefault="0078235C" w:rsidP="001223CF">
      <w:pPr>
        <w:tabs>
          <w:tab w:val="left" w:pos="8100"/>
        </w:tabs>
        <w:rPr>
          <w:rFonts w:ascii="Verdana" w:hAnsi="Verdana"/>
          <w:color w:val="000080"/>
          <w:sz w:val="22"/>
          <w:szCs w:val="22"/>
        </w:rPr>
      </w:pPr>
    </w:p>
    <w:p w:rsidR="007C55B8" w:rsidRPr="001223CF" w:rsidRDefault="007C55B8" w:rsidP="001223CF">
      <w:pPr>
        <w:tabs>
          <w:tab w:val="left" w:pos="8100"/>
        </w:tabs>
        <w:rPr>
          <w:rFonts w:ascii="Verdana" w:hAnsi="Verdana"/>
          <w:color w:val="000080"/>
          <w:sz w:val="22"/>
          <w:szCs w:val="22"/>
        </w:rPr>
      </w:pPr>
    </w:p>
    <w:p w:rsidR="00CB0E1C" w:rsidRPr="002E730E" w:rsidRDefault="00CB0E1C" w:rsidP="00CB0E1C">
      <w:pPr>
        <w:tabs>
          <w:tab w:val="left" w:pos="8100"/>
        </w:tabs>
        <w:autoSpaceDE w:val="0"/>
        <w:autoSpaceDN w:val="0"/>
        <w:adjustRightInd w:val="0"/>
        <w:rPr>
          <w:color w:val="000080"/>
          <w:sz w:val="48"/>
          <w:szCs w:val="48"/>
        </w:rPr>
      </w:pPr>
      <w:r w:rsidRPr="002E730E">
        <w:rPr>
          <w:color w:val="000080"/>
          <w:sz w:val="48"/>
          <w:szCs w:val="48"/>
        </w:rPr>
        <w:t>News Release</w:t>
      </w:r>
    </w:p>
    <w:p w:rsidR="00CB0E1C" w:rsidRPr="00ED0BF9" w:rsidRDefault="00CB0E1C" w:rsidP="00CB0E1C">
      <w:pPr>
        <w:autoSpaceDE w:val="0"/>
        <w:autoSpaceDN w:val="0"/>
        <w:adjustRightInd w:val="0"/>
        <w:rPr>
          <w:rFonts w:cs="Verdana"/>
          <w:color w:val="000080"/>
          <w:szCs w:val="20"/>
        </w:rPr>
      </w:pPr>
    </w:p>
    <w:p w:rsidR="00CB0E1C" w:rsidRPr="00772489" w:rsidRDefault="00CB0E1C" w:rsidP="00CB0E1C">
      <w:pPr>
        <w:tabs>
          <w:tab w:val="left" w:pos="1260"/>
          <w:tab w:val="left" w:pos="1701"/>
          <w:tab w:val="left" w:pos="2127"/>
          <w:tab w:val="left" w:pos="5580"/>
        </w:tabs>
        <w:outlineLvl w:val="0"/>
        <w:rPr>
          <w:rFonts w:ascii="Verdana" w:hAnsi="Verdana"/>
          <w:sz w:val="22"/>
          <w:szCs w:val="22"/>
        </w:rPr>
      </w:pPr>
      <w:r>
        <w:rPr>
          <w:rFonts w:ascii="Verdana" w:hAnsi="Verdana"/>
          <w:color w:val="000080"/>
          <w:sz w:val="22"/>
          <w:szCs w:val="22"/>
        </w:rPr>
        <w:t xml:space="preserve">PR </w:t>
      </w:r>
      <w:r w:rsidRPr="00F17302">
        <w:rPr>
          <w:rFonts w:ascii="Verdana" w:hAnsi="Verdana"/>
          <w:color w:val="000080"/>
          <w:sz w:val="22"/>
          <w:szCs w:val="22"/>
        </w:rPr>
        <w:t>Contact</w:t>
      </w:r>
      <w:r w:rsidR="009152A3">
        <w:rPr>
          <w:rFonts w:ascii="Verdana" w:hAnsi="Verdana"/>
          <w:color w:val="000080"/>
          <w:sz w:val="22"/>
          <w:szCs w:val="22"/>
        </w:rPr>
        <w:t>s</w:t>
      </w:r>
      <w:r w:rsidRPr="00F17302">
        <w:rPr>
          <w:rFonts w:ascii="Verdana" w:hAnsi="Verdana"/>
          <w:color w:val="000080"/>
          <w:sz w:val="22"/>
          <w:szCs w:val="22"/>
        </w:rPr>
        <w:t>:</w:t>
      </w:r>
      <w:r w:rsidR="008E1E46">
        <w:rPr>
          <w:rFonts w:ascii="Verdana" w:hAnsi="Verdana"/>
          <w:color w:val="000080"/>
          <w:sz w:val="22"/>
          <w:szCs w:val="22"/>
        </w:rPr>
        <w:tab/>
      </w:r>
      <w:r w:rsidR="00982BCC" w:rsidRPr="00772489">
        <w:rPr>
          <w:rFonts w:ascii="Verdana" w:hAnsi="Verdana"/>
          <w:sz w:val="22"/>
          <w:szCs w:val="22"/>
        </w:rPr>
        <w:t>Celine Gordine-Wright</w:t>
      </w:r>
      <w:r w:rsidR="00CA6C8E">
        <w:rPr>
          <w:rFonts w:ascii="Verdana" w:hAnsi="Verdana"/>
          <w:sz w:val="22"/>
          <w:szCs w:val="22"/>
        </w:rPr>
        <w:t xml:space="preserve">/ </w:t>
      </w:r>
      <w:r w:rsidR="00CA6C8E" w:rsidRPr="00772489">
        <w:rPr>
          <w:rFonts w:ascii="Verdana" w:hAnsi="Verdana"/>
          <w:sz w:val="22"/>
          <w:szCs w:val="22"/>
        </w:rPr>
        <w:t>Zoe Reilly</w:t>
      </w:r>
    </w:p>
    <w:p w:rsidR="00CB0E1C" w:rsidRPr="00772489" w:rsidRDefault="008E1E46" w:rsidP="00CB0E1C">
      <w:pPr>
        <w:tabs>
          <w:tab w:val="left" w:pos="1260"/>
          <w:tab w:val="left" w:pos="1701"/>
          <w:tab w:val="left" w:pos="2127"/>
          <w:tab w:val="left" w:pos="5580"/>
        </w:tabs>
        <w:outlineLvl w:val="0"/>
        <w:rPr>
          <w:rFonts w:ascii="Verdana" w:hAnsi="Verdana"/>
          <w:sz w:val="22"/>
          <w:szCs w:val="22"/>
        </w:rPr>
      </w:pPr>
      <w:r w:rsidRPr="00772489">
        <w:rPr>
          <w:rFonts w:ascii="Verdana" w:hAnsi="Verdana"/>
          <w:sz w:val="22"/>
          <w:szCs w:val="22"/>
        </w:rPr>
        <w:tab/>
      </w:r>
      <w:r w:rsidRPr="00772489">
        <w:rPr>
          <w:rFonts w:ascii="Verdana" w:hAnsi="Verdana"/>
          <w:sz w:val="22"/>
          <w:szCs w:val="22"/>
        </w:rPr>
        <w:tab/>
      </w:r>
      <w:r w:rsidR="00CA6C8E" w:rsidRPr="00772489">
        <w:rPr>
          <w:rFonts w:ascii="Verdana" w:hAnsi="Verdana"/>
          <w:sz w:val="22"/>
          <w:szCs w:val="22"/>
        </w:rPr>
        <w:t>020 7007 6384</w:t>
      </w:r>
      <w:r w:rsidR="00CA6C8E">
        <w:rPr>
          <w:rFonts w:ascii="Verdana" w:hAnsi="Verdana"/>
          <w:sz w:val="22"/>
          <w:szCs w:val="22"/>
        </w:rPr>
        <w:t xml:space="preserve">/ </w:t>
      </w:r>
      <w:r w:rsidR="009A5928" w:rsidRPr="00772489">
        <w:rPr>
          <w:rFonts w:ascii="Verdana" w:hAnsi="Verdana"/>
          <w:sz w:val="22"/>
          <w:szCs w:val="22"/>
        </w:rPr>
        <w:t>020 7007 4216</w:t>
      </w:r>
    </w:p>
    <w:p w:rsidR="007C55B8" w:rsidRDefault="008E1E46" w:rsidP="00CB0E1C">
      <w:pPr>
        <w:tabs>
          <w:tab w:val="left" w:pos="1260"/>
          <w:tab w:val="left" w:pos="1701"/>
          <w:tab w:val="left" w:pos="2127"/>
          <w:tab w:val="left" w:pos="5580"/>
        </w:tabs>
        <w:outlineLvl w:val="0"/>
        <w:rPr>
          <w:rFonts w:ascii="Verdana" w:hAnsi="Verdana"/>
          <w:sz w:val="22"/>
          <w:szCs w:val="22"/>
        </w:rPr>
      </w:pPr>
      <w:r w:rsidRPr="00772489">
        <w:rPr>
          <w:rFonts w:ascii="Verdana" w:hAnsi="Verdana"/>
          <w:sz w:val="20"/>
          <w:szCs w:val="20"/>
        </w:rPr>
        <w:tab/>
      </w:r>
      <w:r w:rsidRPr="00772489">
        <w:rPr>
          <w:rFonts w:ascii="Verdana" w:hAnsi="Verdana"/>
          <w:sz w:val="20"/>
          <w:szCs w:val="20"/>
        </w:rPr>
        <w:tab/>
      </w:r>
      <w:hyperlink r:id="rId9" w:history="1">
        <w:r w:rsidR="00CA6C8E" w:rsidRPr="00AE06FD">
          <w:rPr>
            <w:rStyle w:val="Hyperlink"/>
            <w:rFonts w:ascii="Verdana" w:hAnsi="Verdana"/>
            <w:sz w:val="22"/>
            <w:szCs w:val="22"/>
          </w:rPr>
          <w:t>cgordinewright@deloitte.co.uk/</w:t>
        </w:r>
      </w:hyperlink>
      <w:r w:rsidR="00CA6C8E">
        <w:rPr>
          <w:rFonts w:ascii="Verdana" w:hAnsi="Verdana"/>
          <w:sz w:val="22"/>
          <w:szCs w:val="22"/>
        </w:rPr>
        <w:t xml:space="preserve"> </w:t>
      </w:r>
      <w:hyperlink r:id="rId10" w:history="1">
        <w:r w:rsidR="00CA6C8E" w:rsidRPr="00AE06FD">
          <w:rPr>
            <w:rStyle w:val="Hyperlink"/>
            <w:rFonts w:ascii="Verdana" w:hAnsi="Verdana"/>
            <w:sz w:val="22"/>
            <w:szCs w:val="22"/>
          </w:rPr>
          <w:t>zreilly@deloitte.co.uk</w:t>
        </w:r>
      </w:hyperlink>
    </w:p>
    <w:p w:rsidR="007C55B8" w:rsidRDefault="007C55B8" w:rsidP="00CF3AC9">
      <w:pPr>
        <w:tabs>
          <w:tab w:val="left" w:pos="1260"/>
          <w:tab w:val="left" w:pos="1701"/>
          <w:tab w:val="left" w:pos="2127"/>
          <w:tab w:val="left" w:pos="5580"/>
        </w:tabs>
        <w:outlineLvl w:val="0"/>
        <w:rPr>
          <w:rFonts w:ascii="Verdana" w:hAnsi="Verdana"/>
          <w:sz w:val="22"/>
          <w:szCs w:val="22"/>
        </w:rPr>
      </w:pPr>
    </w:p>
    <w:p w:rsidR="00CF3AC9" w:rsidRDefault="00CF3AC9" w:rsidP="00CF3AC9">
      <w:pPr>
        <w:tabs>
          <w:tab w:val="left" w:pos="1260"/>
          <w:tab w:val="left" w:pos="1701"/>
          <w:tab w:val="left" w:pos="2127"/>
          <w:tab w:val="left" w:pos="5580"/>
        </w:tabs>
        <w:outlineLvl w:val="0"/>
        <w:rPr>
          <w:rFonts w:ascii="Verdana" w:hAnsi="Verdana"/>
          <w:sz w:val="22"/>
          <w:szCs w:val="22"/>
        </w:rPr>
      </w:pPr>
    </w:p>
    <w:p w:rsidR="00CF3AC9" w:rsidRDefault="0051212E" w:rsidP="00CF3AC9">
      <w:pPr>
        <w:tabs>
          <w:tab w:val="left" w:pos="1260"/>
          <w:tab w:val="left" w:pos="1701"/>
          <w:tab w:val="left" w:pos="2127"/>
          <w:tab w:val="left" w:pos="5580"/>
        </w:tabs>
        <w:outlineLvl w:val="0"/>
        <w:rPr>
          <w:rFonts w:ascii="Verdana" w:hAnsi="Verdana"/>
          <w:sz w:val="22"/>
          <w:szCs w:val="22"/>
        </w:rPr>
      </w:pPr>
      <w:r>
        <w:rPr>
          <w:rFonts w:ascii="Verdana" w:hAnsi="Verdana"/>
          <w:sz w:val="22"/>
          <w:szCs w:val="22"/>
        </w:rPr>
        <w:t xml:space="preserve">Strictly embargoed until 00:01 Thursday 10 </w:t>
      </w:r>
      <w:r w:rsidR="00CF3AC9">
        <w:rPr>
          <w:rFonts w:ascii="Verdana" w:hAnsi="Verdana"/>
          <w:sz w:val="22"/>
          <w:szCs w:val="22"/>
        </w:rPr>
        <w:t>February 2011</w:t>
      </w:r>
    </w:p>
    <w:p w:rsidR="00CF3AC9" w:rsidRPr="007C55B8" w:rsidRDefault="00CF3AC9" w:rsidP="00CF3AC9">
      <w:pPr>
        <w:tabs>
          <w:tab w:val="left" w:pos="1260"/>
          <w:tab w:val="left" w:pos="1701"/>
          <w:tab w:val="left" w:pos="2127"/>
          <w:tab w:val="left" w:pos="5580"/>
        </w:tabs>
        <w:outlineLvl w:val="0"/>
        <w:rPr>
          <w:rFonts w:ascii="Verdana" w:hAnsi="Verdana"/>
          <w:sz w:val="22"/>
          <w:szCs w:val="22"/>
        </w:rPr>
      </w:pPr>
    </w:p>
    <w:p w:rsidR="00192DC8" w:rsidRDefault="00F82B9D" w:rsidP="00CF3AC9">
      <w:pPr>
        <w:jc w:val="center"/>
        <w:rPr>
          <w:rFonts w:ascii="Verdana" w:hAnsi="Verdana" w:cs="Arial"/>
          <w:b/>
          <w:iCs/>
        </w:rPr>
      </w:pPr>
      <w:r>
        <w:rPr>
          <w:rFonts w:ascii="Verdana" w:hAnsi="Verdana" w:cs="Arial"/>
          <w:b/>
          <w:iCs/>
        </w:rPr>
        <w:t xml:space="preserve">Combined revenues of the top 20 Deloitte Football Money League clubs </w:t>
      </w:r>
      <w:r w:rsidR="009067BD">
        <w:rPr>
          <w:rFonts w:ascii="Verdana" w:hAnsi="Verdana" w:cs="Arial"/>
          <w:b/>
          <w:iCs/>
        </w:rPr>
        <w:t>exceed</w:t>
      </w:r>
      <w:r>
        <w:rPr>
          <w:rFonts w:ascii="Verdana" w:hAnsi="Verdana" w:cs="Arial"/>
          <w:b/>
          <w:iCs/>
        </w:rPr>
        <w:t xml:space="preserve"> €4 billion</w:t>
      </w:r>
      <w:r w:rsidR="00466A7D">
        <w:rPr>
          <w:rFonts w:ascii="Verdana" w:hAnsi="Verdana" w:cs="Arial"/>
          <w:b/>
          <w:iCs/>
        </w:rPr>
        <w:t xml:space="preserve"> </w:t>
      </w:r>
      <w:r w:rsidR="00192DC8">
        <w:rPr>
          <w:rFonts w:ascii="Verdana" w:hAnsi="Verdana" w:cs="Arial"/>
          <w:b/>
          <w:iCs/>
        </w:rPr>
        <w:t xml:space="preserve">for the first time </w:t>
      </w:r>
    </w:p>
    <w:p w:rsidR="00192DC8" w:rsidRDefault="00192DC8" w:rsidP="00CF3AC9">
      <w:pPr>
        <w:jc w:val="center"/>
        <w:rPr>
          <w:rFonts w:ascii="Verdana" w:hAnsi="Verdana" w:cs="Arial"/>
          <w:b/>
          <w:iCs/>
        </w:rPr>
      </w:pPr>
    </w:p>
    <w:p w:rsidR="00192DC8" w:rsidRDefault="00106D63" w:rsidP="00192DC8">
      <w:pPr>
        <w:pStyle w:val="ListParagraph"/>
        <w:numPr>
          <w:ilvl w:val="0"/>
          <w:numId w:val="29"/>
        </w:numPr>
        <w:rPr>
          <w:rFonts w:ascii="Verdana" w:hAnsi="Verdana" w:cs="Arial"/>
          <w:iCs/>
        </w:rPr>
      </w:pPr>
      <w:r>
        <w:rPr>
          <w:rFonts w:ascii="Verdana" w:hAnsi="Verdana" w:cs="Arial"/>
          <w:iCs/>
        </w:rPr>
        <w:t>T</w:t>
      </w:r>
      <w:r w:rsidR="00192DC8" w:rsidRPr="00192DC8">
        <w:rPr>
          <w:rFonts w:ascii="Verdana" w:hAnsi="Verdana" w:cs="Arial"/>
          <w:iCs/>
        </w:rPr>
        <w:t xml:space="preserve">op six </w:t>
      </w:r>
      <w:proofErr w:type="spellStart"/>
      <w:r w:rsidR="00192DC8" w:rsidRPr="00192DC8">
        <w:rPr>
          <w:rFonts w:ascii="Verdana" w:hAnsi="Verdana" w:cs="Arial"/>
          <w:iCs/>
        </w:rPr>
        <w:t>placings</w:t>
      </w:r>
      <w:proofErr w:type="spellEnd"/>
      <w:r>
        <w:rPr>
          <w:rFonts w:ascii="Verdana" w:hAnsi="Verdana" w:cs="Arial"/>
          <w:iCs/>
        </w:rPr>
        <w:t xml:space="preserve"> remain unchanged</w:t>
      </w:r>
      <w:r w:rsidR="00192DC8" w:rsidRPr="00192DC8">
        <w:rPr>
          <w:rFonts w:ascii="Verdana" w:hAnsi="Verdana" w:cs="Arial"/>
          <w:iCs/>
        </w:rPr>
        <w:t xml:space="preserve">, </w:t>
      </w:r>
      <w:r w:rsidR="00192DC8">
        <w:rPr>
          <w:rFonts w:ascii="Verdana" w:hAnsi="Verdana" w:cs="Arial"/>
          <w:iCs/>
        </w:rPr>
        <w:t>with</w:t>
      </w:r>
      <w:r>
        <w:rPr>
          <w:rFonts w:ascii="Verdana" w:hAnsi="Verdana" w:cs="Arial"/>
          <w:iCs/>
        </w:rPr>
        <w:t xml:space="preserve"> Real Madrid and Barcelona completing a</w:t>
      </w:r>
      <w:r w:rsidR="00192DC8">
        <w:rPr>
          <w:rFonts w:ascii="Verdana" w:hAnsi="Verdana" w:cs="Arial"/>
          <w:iCs/>
        </w:rPr>
        <w:t xml:space="preserve"> </w:t>
      </w:r>
      <w:r w:rsidR="00192DC8" w:rsidRPr="00192DC8">
        <w:rPr>
          <w:rFonts w:ascii="Verdana" w:hAnsi="Verdana" w:cs="Arial"/>
          <w:iCs/>
        </w:rPr>
        <w:t>Spanish one-two for second consecutive year</w:t>
      </w:r>
      <w:r w:rsidR="00192DC8">
        <w:rPr>
          <w:rFonts w:ascii="Verdana" w:hAnsi="Verdana" w:cs="Arial"/>
          <w:iCs/>
        </w:rPr>
        <w:t>;</w:t>
      </w:r>
    </w:p>
    <w:p w:rsidR="00192DC8" w:rsidRDefault="00192DC8" w:rsidP="00192DC8">
      <w:pPr>
        <w:pStyle w:val="ListParagraph"/>
        <w:numPr>
          <w:ilvl w:val="0"/>
          <w:numId w:val="29"/>
        </w:numPr>
        <w:rPr>
          <w:rFonts w:ascii="Verdana" w:hAnsi="Verdana" w:cs="Arial"/>
          <w:iCs/>
        </w:rPr>
      </w:pPr>
      <w:r w:rsidRPr="00192DC8">
        <w:rPr>
          <w:rFonts w:ascii="Verdana" w:hAnsi="Verdana" w:cs="Arial"/>
          <w:iCs/>
        </w:rPr>
        <w:t>Manchester City climb</w:t>
      </w:r>
      <w:r w:rsidR="008C6C45">
        <w:rPr>
          <w:rFonts w:ascii="Verdana" w:hAnsi="Verdana" w:cs="Arial"/>
          <w:iCs/>
        </w:rPr>
        <w:t xml:space="preserve"> the most places of any Money League club, up</w:t>
      </w:r>
      <w:r w:rsidRPr="00192DC8">
        <w:rPr>
          <w:rFonts w:ascii="Verdana" w:hAnsi="Verdana" w:cs="Arial"/>
          <w:iCs/>
        </w:rPr>
        <w:t xml:space="preserve"> nine to 11</w:t>
      </w:r>
      <w:r w:rsidRPr="00192DC8">
        <w:rPr>
          <w:rFonts w:ascii="Verdana" w:hAnsi="Verdana" w:cs="Arial"/>
          <w:iCs/>
          <w:vertAlign w:val="superscript"/>
        </w:rPr>
        <w:t>th</w:t>
      </w:r>
      <w:r w:rsidRPr="00192DC8">
        <w:rPr>
          <w:rFonts w:ascii="Verdana" w:hAnsi="Verdana" w:cs="Arial"/>
          <w:iCs/>
        </w:rPr>
        <w:t xml:space="preserve"> </w:t>
      </w:r>
      <w:r w:rsidR="008C6C45">
        <w:rPr>
          <w:rFonts w:ascii="Verdana" w:hAnsi="Verdana" w:cs="Arial"/>
          <w:iCs/>
        </w:rPr>
        <w:t>position</w:t>
      </w:r>
      <w:r w:rsidR="009067BD">
        <w:rPr>
          <w:rFonts w:ascii="Verdana" w:hAnsi="Verdana" w:cs="Arial"/>
          <w:iCs/>
        </w:rPr>
        <w:t>, their highest ever</w:t>
      </w:r>
      <w:r w:rsidR="00134A9E">
        <w:rPr>
          <w:rFonts w:ascii="Verdana" w:hAnsi="Verdana" w:cs="Arial"/>
          <w:iCs/>
        </w:rPr>
        <w:t xml:space="preserve"> </w:t>
      </w:r>
      <w:r w:rsidR="009067BD">
        <w:rPr>
          <w:rFonts w:ascii="Verdana" w:hAnsi="Verdana" w:cs="Arial"/>
          <w:iCs/>
        </w:rPr>
        <w:t>placing</w:t>
      </w:r>
      <w:r>
        <w:rPr>
          <w:rFonts w:ascii="Verdana" w:hAnsi="Verdana" w:cs="Arial"/>
          <w:iCs/>
        </w:rPr>
        <w:t>;</w:t>
      </w:r>
    </w:p>
    <w:p w:rsidR="00192DC8" w:rsidRPr="00192DC8" w:rsidRDefault="00192DC8" w:rsidP="00192DC8">
      <w:pPr>
        <w:pStyle w:val="ListParagraph"/>
        <w:numPr>
          <w:ilvl w:val="0"/>
          <w:numId w:val="29"/>
        </w:numPr>
        <w:rPr>
          <w:rFonts w:ascii="Verdana" w:hAnsi="Verdana" w:cs="Arial"/>
          <w:iCs/>
        </w:rPr>
      </w:pPr>
      <w:r>
        <w:rPr>
          <w:rFonts w:ascii="Verdana" w:hAnsi="Verdana" w:cs="Arial"/>
          <w:iCs/>
        </w:rPr>
        <w:t xml:space="preserve">Record revenues demonstrate </w:t>
      </w:r>
      <w:r w:rsidR="009067BD">
        <w:rPr>
          <w:rFonts w:ascii="Verdana" w:hAnsi="Verdana" w:cs="Arial"/>
          <w:iCs/>
        </w:rPr>
        <w:t>impressive</w:t>
      </w:r>
      <w:r>
        <w:rPr>
          <w:rFonts w:ascii="Verdana" w:hAnsi="Verdana" w:cs="Arial"/>
          <w:iCs/>
        </w:rPr>
        <w:t xml:space="preserve"> resilience to</w:t>
      </w:r>
      <w:r w:rsidR="00EC36AD">
        <w:rPr>
          <w:rFonts w:ascii="Verdana" w:hAnsi="Verdana" w:cs="Arial"/>
          <w:iCs/>
        </w:rPr>
        <w:t xml:space="preserve"> global</w:t>
      </w:r>
      <w:r>
        <w:rPr>
          <w:rFonts w:ascii="Verdana" w:hAnsi="Verdana" w:cs="Arial"/>
          <w:iCs/>
        </w:rPr>
        <w:t xml:space="preserve"> economic woes.</w:t>
      </w:r>
      <w:r w:rsidRPr="00192DC8">
        <w:rPr>
          <w:rFonts w:ascii="Verdana" w:hAnsi="Verdana" w:cs="Arial"/>
          <w:iCs/>
        </w:rPr>
        <w:t xml:space="preserve"> </w:t>
      </w:r>
    </w:p>
    <w:p w:rsidR="00CF3AC9" w:rsidRDefault="00CF3AC9" w:rsidP="00CF3AC9">
      <w:pPr>
        <w:rPr>
          <w:rFonts w:ascii="Verdana" w:hAnsi="Verdana" w:cs="Arial"/>
        </w:rPr>
      </w:pPr>
    </w:p>
    <w:p w:rsidR="00C1306C" w:rsidRPr="00CF3AC9" w:rsidRDefault="00466A7D" w:rsidP="00C1306C">
      <w:pPr>
        <w:jc w:val="both"/>
        <w:rPr>
          <w:rFonts w:ascii="Verdana" w:hAnsi="Verdana" w:cs="Arial"/>
          <w:sz w:val="20"/>
          <w:szCs w:val="20"/>
        </w:rPr>
      </w:pPr>
      <w:r>
        <w:rPr>
          <w:rFonts w:ascii="Verdana" w:hAnsi="Verdana" w:cs="Arial"/>
          <w:sz w:val="20"/>
          <w:szCs w:val="20"/>
        </w:rPr>
        <w:t xml:space="preserve">The combined revenues of the world’s 20 </w:t>
      </w:r>
      <w:r w:rsidR="00C1306C">
        <w:rPr>
          <w:rFonts w:ascii="Verdana" w:hAnsi="Verdana" w:cs="Arial"/>
          <w:sz w:val="20"/>
          <w:szCs w:val="20"/>
        </w:rPr>
        <w:t xml:space="preserve">highest earning football clubs </w:t>
      </w:r>
      <w:r w:rsidR="00EC36AD">
        <w:rPr>
          <w:rFonts w:ascii="Verdana" w:hAnsi="Verdana" w:cs="Arial"/>
          <w:sz w:val="20"/>
          <w:szCs w:val="20"/>
        </w:rPr>
        <w:t xml:space="preserve">have </w:t>
      </w:r>
      <w:r w:rsidR="00C1306C">
        <w:rPr>
          <w:rFonts w:ascii="Verdana" w:hAnsi="Verdana" w:cs="Arial"/>
          <w:sz w:val="20"/>
          <w:szCs w:val="20"/>
        </w:rPr>
        <w:t xml:space="preserve">surpassed €4 billion for the first time, according to the latest Football Money League from Deloitte, the business advisory firm. </w:t>
      </w:r>
      <w:r w:rsidR="00D3481F">
        <w:rPr>
          <w:rFonts w:ascii="Verdana" w:hAnsi="Verdana" w:cs="Arial"/>
          <w:sz w:val="20"/>
          <w:szCs w:val="20"/>
        </w:rPr>
        <w:t xml:space="preserve">They </w:t>
      </w:r>
      <w:r w:rsidR="00C1306C">
        <w:rPr>
          <w:rFonts w:ascii="Verdana" w:hAnsi="Verdana" w:cs="Arial"/>
          <w:sz w:val="20"/>
          <w:szCs w:val="20"/>
        </w:rPr>
        <w:t xml:space="preserve">generated a total of €4.3 billion in revenue, up 8% on the previous year.  </w:t>
      </w:r>
    </w:p>
    <w:p w:rsidR="00C1306C" w:rsidRDefault="00C1306C" w:rsidP="00CF3AC9">
      <w:pPr>
        <w:jc w:val="both"/>
        <w:rPr>
          <w:rFonts w:ascii="Verdana" w:hAnsi="Verdana" w:cs="Arial"/>
          <w:sz w:val="20"/>
          <w:szCs w:val="20"/>
        </w:rPr>
      </w:pPr>
    </w:p>
    <w:p w:rsidR="00C1306C" w:rsidRDefault="00192DC8" w:rsidP="00CF3AC9">
      <w:pPr>
        <w:jc w:val="both"/>
        <w:rPr>
          <w:rFonts w:ascii="Verdana" w:hAnsi="Verdana" w:cs="Arial"/>
          <w:sz w:val="20"/>
          <w:szCs w:val="20"/>
        </w:rPr>
      </w:pPr>
      <w:r>
        <w:rPr>
          <w:rFonts w:ascii="Verdana" w:hAnsi="Verdana" w:cs="Arial"/>
          <w:sz w:val="20"/>
          <w:szCs w:val="20"/>
        </w:rPr>
        <w:t xml:space="preserve">For the sixth consecutive year, Real Madrid </w:t>
      </w:r>
      <w:r w:rsidR="00EC36AD">
        <w:rPr>
          <w:rFonts w:ascii="Verdana" w:hAnsi="Verdana" w:cs="Arial"/>
          <w:sz w:val="20"/>
          <w:szCs w:val="20"/>
        </w:rPr>
        <w:t>clai</w:t>
      </w:r>
      <w:r w:rsidR="006648BC">
        <w:rPr>
          <w:rFonts w:ascii="Verdana" w:hAnsi="Verdana" w:cs="Arial"/>
          <w:sz w:val="20"/>
          <w:szCs w:val="20"/>
        </w:rPr>
        <w:t>ms</w:t>
      </w:r>
      <w:r w:rsidR="00C1306C">
        <w:rPr>
          <w:rFonts w:ascii="Verdana" w:hAnsi="Verdana" w:cs="Arial"/>
          <w:sz w:val="20"/>
          <w:szCs w:val="20"/>
        </w:rPr>
        <w:t xml:space="preserve"> top spot as the </w:t>
      </w:r>
      <w:r>
        <w:rPr>
          <w:rFonts w:ascii="Verdana" w:hAnsi="Verdana" w:cs="Arial"/>
          <w:sz w:val="20"/>
          <w:szCs w:val="20"/>
        </w:rPr>
        <w:t>world’s largest football club</w:t>
      </w:r>
      <w:r w:rsidR="009067BD">
        <w:rPr>
          <w:rFonts w:ascii="Verdana" w:hAnsi="Verdana" w:cs="Arial"/>
          <w:sz w:val="20"/>
          <w:szCs w:val="20"/>
        </w:rPr>
        <w:t xml:space="preserve"> on this measure</w:t>
      </w:r>
      <w:r w:rsidR="00C1306C">
        <w:rPr>
          <w:rFonts w:ascii="Verdana" w:hAnsi="Verdana" w:cs="Arial"/>
          <w:sz w:val="20"/>
          <w:szCs w:val="20"/>
        </w:rPr>
        <w:t>.  Real</w:t>
      </w:r>
      <w:r>
        <w:rPr>
          <w:rFonts w:ascii="Verdana" w:hAnsi="Verdana" w:cs="Arial"/>
          <w:sz w:val="20"/>
          <w:szCs w:val="20"/>
        </w:rPr>
        <w:t xml:space="preserve"> </w:t>
      </w:r>
      <w:r w:rsidR="00D3481F">
        <w:rPr>
          <w:rFonts w:ascii="Verdana" w:hAnsi="Verdana" w:cs="Arial"/>
          <w:sz w:val="20"/>
          <w:szCs w:val="20"/>
        </w:rPr>
        <w:t xml:space="preserve">is now </w:t>
      </w:r>
      <w:r w:rsidR="00C1306C">
        <w:rPr>
          <w:rFonts w:ascii="Verdana" w:hAnsi="Verdana" w:cs="Arial"/>
          <w:sz w:val="20"/>
          <w:szCs w:val="20"/>
        </w:rPr>
        <w:t xml:space="preserve">just </w:t>
      </w:r>
      <w:r w:rsidR="00134A9E">
        <w:rPr>
          <w:rFonts w:ascii="Verdana" w:hAnsi="Verdana" w:cs="Arial"/>
          <w:sz w:val="20"/>
          <w:szCs w:val="20"/>
        </w:rPr>
        <w:t xml:space="preserve">two </w:t>
      </w:r>
      <w:r w:rsidR="00C1306C">
        <w:rPr>
          <w:rFonts w:ascii="Verdana" w:hAnsi="Verdana" w:cs="Arial"/>
          <w:sz w:val="20"/>
          <w:szCs w:val="20"/>
        </w:rPr>
        <w:t>year</w:t>
      </w:r>
      <w:r w:rsidR="00134A9E">
        <w:rPr>
          <w:rFonts w:ascii="Verdana" w:hAnsi="Verdana" w:cs="Arial"/>
          <w:sz w:val="20"/>
          <w:szCs w:val="20"/>
        </w:rPr>
        <w:t>s</w:t>
      </w:r>
      <w:r w:rsidR="00C1306C">
        <w:rPr>
          <w:rFonts w:ascii="Verdana" w:hAnsi="Verdana" w:cs="Arial"/>
          <w:sz w:val="20"/>
          <w:szCs w:val="20"/>
        </w:rPr>
        <w:t xml:space="preserve"> short of </w:t>
      </w:r>
      <w:r w:rsidR="009924CA">
        <w:rPr>
          <w:rFonts w:ascii="Verdana" w:hAnsi="Verdana" w:cs="Arial"/>
          <w:sz w:val="20"/>
          <w:szCs w:val="20"/>
        </w:rPr>
        <w:t xml:space="preserve">matching </w:t>
      </w:r>
      <w:r w:rsidR="00C1306C">
        <w:rPr>
          <w:rFonts w:ascii="Verdana" w:hAnsi="Verdana" w:cs="Arial"/>
          <w:sz w:val="20"/>
          <w:szCs w:val="20"/>
        </w:rPr>
        <w:t xml:space="preserve">Manchester United’s eight year reign from 1996/97, the first edition of the Money League, through to 2003/04.  </w:t>
      </w:r>
    </w:p>
    <w:p w:rsidR="00D3481F" w:rsidRDefault="00D3481F" w:rsidP="00CF3AC9">
      <w:pPr>
        <w:jc w:val="both"/>
        <w:rPr>
          <w:rFonts w:ascii="Verdana" w:hAnsi="Verdana" w:cs="Arial"/>
          <w:sz w:val="20"/>
          <w:szCs w:val="20"/>
        </w:rPr>
      </w:pPr>
    </w:p>
    <w:p w:rsidR="009924CA" w:rsidRDefault="006648BC" w:rsidP="00D3481F">
      <w:pPr>
        <w:jc w:val="both"/>
        <w:rPr>
          <w:rFonts w:ascii="Verdana" w:hAnsi="Verdana" w:cs="Arial"/>
          <w:sz w:val="20"/>
          <w:szCs w:val="20"/>
        </w:rPr>
      </w:pPr>
      <w:r>
        <w:rPr>
          <w:rFonts w:ascii="Verdana" w:hAnsi="Verdana" w:cs="Arial"/>
          <w:sz w:val="20"/>
          <w:szCs w:val="20"/>
        </w:rPr>
        <w:t>FC Barcelona retains</w:t>
      </w:r>
      <w:r w:rsidR="00D3481F">
        <w:rPr>
          <w:rFonts w:ascii="Verdana" w:hAnsi="Verdana" w:cs="Arial"/>
          <w:sz w:val="20"/>
          <w:szCs w:val="20"/>
        </w:rPr>
        <w:t xml:space="preserve"> second </w:t>
      </w:r>
      <w:r w:rsidR="00134A9E">
        <w:rPr>
          <w:rFonts w:ascii="Verdana" w:hAnsi="Verdana" w:cs="Arial"/>
          <w:sz w:val="20"/>
          <w:szCs w:val="20"/>
        </w:rPr>
        <w:t xml:space="preserve">place </w:t>
      </w:r>
      <w:r w:rsidR="00D3481F">
        <w:rPr>
          <w:rFonts w:ascii="Verdana" w:hAnsi="Verdana" w:cs="Arial"/>
          <w:sz w:val="20"/>
          <w:szCs w:val="20"/>
        </w:rPr>
        <w:t xml:space="preserve">ahead of Manchester United, making it a Spanish one-two for the second successive year.  </w:t>
      </w:r>
    </w:p>
    <w:p w:rsidR="009924CA" w:rsidRDefault="009924CA" w:rsidP="00D3481F">
      <w:pPr>
        <w:jc w:val="both"/>
        <w:rPr>
          <w:rFonts w:ascii="Verdana" w:hAnsi="Verdana" w:cs="Arial"/>
          <w:sz w:val="20"/>
          <w:szCs w:val="20"/>
        </w:rPr>
      </w:pPr>
    </w:p>
    <w:p w:rsidR="00D3481F" w:rsidRPr="004F0019" w:rsidRDefault="00D3481F" w:rsidP="00D3481F">
      <w:pPr>
        <w:jc w:val="both"/>
        <w:rPr>
          <w:rFonts w:ascii="Verdana" w:hAnsi="Verdana" w:cs="Arial"/>
          <w:sz w:val="20"/>
          <w:szCs w:val="20"/>
        </w:rPr>
      </w:pPr>
      <w:r>
        <w:rPr>
          <w:rFonts w:ascii="Verdana" w:hAnsi="Verdana" w:cs="Arial"/>
          <w:sz w:val="20"/>
          <w:szCs w:val="20"/>
        </w:rPr>
        <w:t xml:space="preserve">Analysis in the Football Money League covers the </w:t>
      </w:r>
      <w:r w:rsidRPr="004F0019">
        <w:rPr>
          <w:rFonts w:ascii="Verdana" w:hAnsi="Verdana" w:cs="Arial"/>
          <w:sz w:val="20"/>
          <w:szCs w:val="20"/>
        </w:rPr>
        <w:t>2009/10 season and is the most contemporary and reliable analysis of clubs’ relative financial performance.</w:t>
      </w:r>
    </w:p>
    <w:p w:rsidR="00C1306C" w:rsidRPr="004F0019" w:rsidRDefault="00C1306C" w:rsidP="00CF3AC9">
      <w:pPr>
        <w:jc w:val="both"/>
        <w:rPr>
          <w:rFonts w:ascii="Verdana" w:hAnsi="Verdana" w:cs="Arial"/>
          <w:sz w:val="20"/>
          <w:szCs w:val="20"/>
        </w:rPr>
      </w:pPr>
    </w:p>
    <w:p w:rsidR="00CF3AC9" w:rsidRPr="004F0019" w:rsidRDefault="00CF3AC9" w:rsidP="00CF3AC9">
      <w:pPr>
        <w:jc w:val="both"/>
        <w:rPr>
          <w:rFonts w:ascii="Verdana" w:hAnsi="Verdana" w:cs="Arial"/>
          <w:sz w:val="20"/>
          <w:szCs w:val="20"/>
        </w:rPr>
      </w:pPr>
      <w:r w:rsidRPr="004F0019">
        <w:rPr>
          <w:rFonts w:ascii="Verdana" w:hAnsi="Verdana" w:cs="Arial"/>
          <w:sz w:val="20"/>
          <w:szCs w:val="20"/>
        </w:rPr>
        <w:t>Dan Jones, Partner in the Sports Business Group at Deloitte, commented: “</w:t>
      </w:r>
      <w:r w:rsidR="00D3481F" w:rsidRPr="004F0019">
        <w:rPr>
          <w:rFonts w:ascii="Verdana" w:hAnsi="Verdana" w:cs="Arial"/>
          <w:sz w:val="20"/>
          <w:szCs w:val="20"/>
        </w:rPr>
        <w:t>All bar three of the top 20 clubs achieved revenue growth during 2009/10 demonstrating the</w:t>
      </w:r>
      <w:r w:rsidR="009625EE" w:rsidRPr="004F0019">
        <w:rPr>
          <w:rFonts w:ascii="Verdana" w:hAnsi="Verdana" w:cs="Arial"/>
          <w:sz w:val="20"/>
          <w:szCs w:val="20"/>
        </w:rPr>
        <w:t xml:space="preserve"> </w:t>
      </w:r>
      <w:r w:rsidR="00D3481F" w:rsidRPr="004F0019">
        <w:rPr>
          <w:rFonts w:ascii="Verdana" w:hAnsi="Verdana" w:cs="Arial"/>
          <w:sz w:val="20"/>
          <w:szCs w:val="20"/>
        </w:rPr>
        <w:t xml:space="preserve">continued resilience of </w:t>
      </w:r>
      <w:r w:rsidR="00106D63" w:rsidRPr="004F0019">
        <w:rPr>
          <w:rFonts w:ascii="Verdana" w:hAnsi="Verdana" w:cs="Arial"/>
          <w:sz w:val="20"/>
          <w:szCs w:val="20"/>
        </w:rPr>
        <w:t xml:space="preserve">football’s </w:t>
      </w:r>
      <w:r w:rsidR="00D3481F" w:rsidRPr="004F0019">
        <w:rPr>
          <w:rFonts w:ascii="Verdana" w:hAnsi="Verdana" w:cs="Arial"/>
          <w:sz w:val="20"/>
          <w:szCs w:val="20"/>
        </w:rPr>
        <w:t>top clubs as the full impact of the global economic downturn took hold.</w:t>
      </w:r>
      <w:r w:rsidR="00EC36AD" w:rsidRPr="004F0019">
        <w:rPr>
          <w:rFonts w:ascii="Verdana" w:hAnsi="Verdana" w:cs="Arial"/>
          <w:sz w:val="20"/>
          <w:szCs w:val="20"/>
        </w:rPr>
        <w:t xml:space="preserve">  The game’s top clubs have proved themselves well-placed to meet these economic challenges given their large and loyal supporter bases, ability to drive broadcast audiences, and continuing attraction to corporate partners.</w:t>
      </w:r>
    </w:p>
    <w:p w:rsidR="00EC36AD" w:rsidRPr="004F0019" w:rsidRDefault="00EC36AD" w:rsidP="00CF3AC9">
      <w:pPr>
        <w:jc w:val="both"/>
        <w:rPr>
          <w:rFonts w:ascii="Verdana" w:hAnsi="Verdana" w:cs="Arial"/>
          <w:sz w:val="20"/>
          <w:szCs w:val="20"/>
        </w:rPr>
      </w:pPr>
    </w:p>
    <w:p w:rsidR="00EC36AD" w:rsidRPr="004F0019" w:rsidRDefault="00EC36AD" w:rsidP="00CF3AC9">
      <w:pPr>
        <w:jc w:val="both"/>
        <w:rPr>
          <w:rFonts w:ascii="Verdana" w:hAnsi="Verdana" w:cs="Arial"/>
          <w:sz w:val="20"/>
          <w:szCs w:val="20"/>
        </w:rPr>
      </w:pPr>
      <w:r w:rsidRPr="004F0019">
        <w:rPr>
          <w:rFonts w:ascii="Verdana" w:hAnsi="Verdana" w:cs="Arial"/>
          <w:sz w:val="20"/>
          <w:szCs w:val="20"/>
        </w:rPr>
        <w:t>“</w:t>
      </w:r>
      <w:r w:rsidR="009625EE" w:rsidRPr="004F0019">
        <w:rPr>
          <w:rFonts w:ascii="Verdana" w:hAnsi="Verdana" w:cs="Arial"/>
          <w:sz w:val="20"/>
          <w:szCs w:val="20"/>
        </w:rPr>
        <w:t xml:space="preserve">Despite its relatively modest on-pitch performance, by the club’s own high standards, </w:t>
      </w:r>
      <w:proofErr w:type="gramStart"/>
      <w:r w:rsidRPr="004F0019">
        <w:rPr>
          <w:rFonts w:ascii="Verdana" w:hAnsi="Verdana" w:cs="Arial"/>
          <w:sz w:val="20"/>
          <w:szCs w:val="20"/>
        </w:rPr>
        <w:t>Real</w:t>
      </w:r>
      <w:proofErr w:type="gramEnd"/>
      <w:r w:rsidRPr="004F0019">
        <w:rPr>
          <w:rFonts w:ascii="Verdana" w:hAnsi="Verdana" w:cs="Arial"/>
          <w:sz w:val="20"/>
          <w:szCs w:val="20"/>
        </w:rPr>
        <w:t xml:space="preserve"> held a €4</w:t>
      </w:r>
      <w:r w:rsidR="007110ED">
        <w:rPr>
          <w:rFonts w:ascii="Verdana" w:hAnsi="Verdana" w:cs="Arial"/>
          <w:sz w:val="20"/>
          <w:szCs w:val="20"/>
        </w:rPr>
        <w:t>1</w:t>
      </w:r>
      <w:r w:rsidRPr="004F0019">
        <w:rPr>
          <w:rFonts w:ascii="Verdana" w:hAnsi="Verdana" w:cs="Arial"/>
          <w:sz w:val="20"/>
          <w:szCs w:val="20"/>
        </w:rPr>
        <w:t xml:space="preserve">m revenue advantage over </w:t>
      </w:r>
      <w:r w:rsidR="009625EE" w:rsidRPr="004F0019">
        <w:rPr>
          <w:rFonts w:ascii="Verdana" w:hAnsi="Verdana" w:cs="Arial"/>
          <w:sz w:val="20"/>
          <w:szCs w:val="20"/>
        </w:rPr>
        <w:t xml:space="preserve">Barcelona in 2009/10.  However, </w:t>
      </w:r>
      <w:proofErr w:type="spellStart"/>
      <w:r w:rsidR="009625EE" w:rsidRPr="004F0019">
        <w:rPr>
          <w:rFonts w:ascii="Verdana" w:hAnsi="Verdana" w:cs="Arial"/>
          <w:sz w:val="20"/>
          <w:szCs w:val="20"/>
        </w:rPr>
        <w:t>Barca’s</w:t>
      </w:r>
      <w:proofErr w:type="spellEnd"/>
      <w:r w:rsidR="009625EE" w:rsidRPr="004F0019">
        <w:rPr>
          <w:rFonts w:ascii="Verdana" w:hAnsi="Verdana" w:cs="Arial"/>
          <w:sz w:val="20"/>
          <w:szCs w:val="20"/>
        </w:rPr>
        <w:t xml:space="preserve"> revenues should exceed €400m in the next edition of the Money League, only the second club</w:t>
      </w:r>
      <w:r w:rsidR="0022318D">
        <w:rPr>
          <w:rFonts w:ascii="Verdana" w:hAnsi="Verdana" w:cs="Arial"/>
          <w:sz w:val="20"/>
          <w:szCs w:val="20"/>
        </w:rPr>
        <w:t xml:space="preserve"> – along with their Spanish rivals -</w:t>
      </w:r>
      <w:r w:rsidR="009625EE" w:rsidRPr="004F0019">
        <w:rPr>
          <w:rFonts w:ascii="Verdana" w:hAnsi="Verdana" w:cs="Arial"/>
          <w:sz w:val="20"/>
          <w:szCs w:val="20"/>
        </w:rPr>
        <w:t xml:space="preserve"> </w:t>
      </w:r>
      <w:r w:rsidR="00D1054D" w:rsidRPr="004F0019">
        <w:rPr>
          <w:rFonts w:ascii="Verdana" w:hAnsi="Verdana" w:cs="Arial"/>
          <w:sz w:val="20"/>
          <w:szCs w:val="20"/>
        </w:rPr>
        <w:t>in</w:t>
      </w:r>
      <w:r w:rsidR="009625EE" w:rsidRPr="004F0019">
        <w:rPr>
          <w:rFonts w:ascii="Verdana" w:hAnsi="Verdana" w:cs="Arial"/>
          <w:sz w:val="20"/>
          <w:szCs w:val="20"/>
        </w:rPr>
        <w:t xml:space="preserve"> any sport to do so.  The </w:t>
      </w:r>
      <w:r w:rsidR="00117351" w:rsidRPr="004F0019">
        <w:rPr>
          <w:rFonts w:ascii="Verdana" w:hAnsi="Verdana" w:cs="Arial"/>
          <w:sz w:val="20"/>
          <w:szCs w:val="20"/>
        </w:rPr>
        <w:t xml:space="preserve">club </w:t>
      </w:r>
      <w:r w:rsidR="009067BD" w:rsidRPr="004F0019">
        <w:rPr>
          <w:rFonts w:ascii="Verdana" w:hAnsi="Verdana" w:cs="Arial"/>
          <w:sz w:val="20"/>
          <w:szCs w:val="20"/>
        </w:rPr>
        <w:t xml:space="preserve">has now </w:t>
      </w:r>
      <w:r w:rsidR="00117351" w:rsidRPr="004F0019">
        <w:rPr>
          <w:rFonts w:ascii="Verdana" w:hAnsi="Verdana" w:cs="Arial"/>
          <w:sz w:val="20"/>
          <w:szCs w:val="20"/>
        </w:rPr>
        <w:t xml:space="preserve">entered into </w:t>
      </w:r>
      <w:r w:rsidR="009067BD" w:rsidRPr="004F0019">
        <w:rPr>
          <w:rFonts w:ascii="Verdana" w:hAnsi="Verdana" w:cs="Arial"/>
          <w:sz w:val="20"/>
          <w:szCs w:val="20"/>
        </w:rPr>
        <w:t>its first paid</w:t>
      </w:r>
      <w:r w:rsidR="00117351" w:rsidRPr="004F0019">
        <w:rPr>
          <w:rFonts w:ascii="Verdana" w:hAnsi="Verdana" w:cs="Arial"/>
          <w:sz w:val="20"/>
          <w:szCs w:val="20"/>
        </w:rPr>
        <w:t xml:space="preserve"> multi-year </w:t>
      </w:r>
      <w:r w:rsidR="009067BD" w:rsidRPr="004F0019">
        <w:rPr>
          <w:rFonts w:ascii="Verdana" w:hAnsi="Verdana" w:cs="Arial"/>
          <w:sz w:val="20"/>
          <w:szCs w:val="20"/>
        </w:rPr>
        <w:t>sh</w:t>
      </w:r>
      <w:r w:rsidR="00117351" w:rsidRPr="004F0019">
        <w:rPr>
          <w:rFonts w:ascii="Verdana" w:hAnsi="Verdana" w:cs="Arial"/>
          <w:sz w:val="20"/>
          <w:szCs w:val="20"/>
        </w:rPr>
        <w:t>irtfront sponsorship deal</w:t>
      </w:r>
      <w:r w:rsidR="009067BD" w:rsidRPr="004F0019">
        <w:rPr>
          <w:rFonts w:ascii="Verdana" w:hAnsi="Verdana" w:cs="Arial"/>
          <w:sz w:val="20"/>
          <w:szCs w:val="20"/>
        </w:rPr>
        <w:t xml:space="preserve">, for a </w:t>
      </w:r>
      <w:r w:rsidR="00117351" w:rsidRPr="004F0019">
        <w:rPr>
          <w:rFonts w:ascii="Verdana" w:hAnsi="Verdana" w:cs="Arial"/>
          <w:sz w:val="20"/>
          <w:szCs w:val="20"/>
        </w:rPr>
        <w:t>guaranteed minimum of €165m</w:t>
      </w:r>
      <w:r w:rsidR="00D1054D" w:rsidRPr="004F0019">
        <w:rPr>
          <w:rFonts w:ascii="Verdana" w:hAnsi="Verdana" w:cs="Arial"/>
          <w:sz w:val="20"/>
          <w:szCs w:val="20"/>
        </w:rPr>
        <w:t xml:space="preserve"> over the duration of the contract</w:t>
      </w:r>
      <w:r w:rsidR="00117351" w:rsidRPr="004F0019">
        <w:rPr>
          <w:rFonts w:ascii="Verdana" w:hAnsi="Verdana" w:cs="Arial"/>
          <w:sz w:val="20"/>
          <w:szCs w:val="20"/>
        </w:rPr>
        <w:t xml:space="preserve">, </w:t>
      </w:r>
      <w:r w:rsidR="009067BD" w:rsidRPr="004F0019">
        <w:rPr>
          <w:rFonts w:ascii="Verdana" w:hAnsi="Verdana" w:cs="Arial"/>
          <w:sz w:val="20"/>
          <w:szCs w:val="20"/>
        </w:rPr>
        <w:t>a new world record.</w:t>
      </w:r>
      <w:r w:rsidR="00117351" w:rsidRPr="004F0019">
        <w:rPr>
          <w:rFonts w:ascii="Verdana" w:hAnsi="Verdana" w:cs="Arial"/>
          <w:sz w:val="20"/>
          <w:szCs w:val="20"/>
        </w:rPr>
        <w:t xml:space="preserve">  We expect </w:t>
      </w:r>
      <w:r w:rsidR="009924CA">
        <w:rPr>
          <w:rFonts w:ascii="Verdana" w:hAnsi="Verdana" w:cs="Arial"/>
          <w:sz w:val="20"/>
          <w:szCs w:val="20"/>
        </w:rPr>
        <w:t>the</w:t>
      </w:r>
      <w:r w:rsidR="00117351" w:rsidRPr="004F0019">
        <w:rPr>
          <w:rFonts w:ascii="Verdana" w:hAnsi="Verdana" w:cs="Arial"/>
          <w:sz w:val="20"/>
          <w:szCs w:val="20"/>
        </w:rPr>
        <w:t xml:space="preserve"> battle for top spot in the Money League</w:t>
      </w:r>
      <w:r w:rsidR="009924CA">
        <w:rPr>
          <w:rFonts w:ascii="Verdana" w:hAnsi="Verdana" w:cs="Arial"/>
          <w:sz w:val="20"/>
          <w:szCs w:val="20"/>
        </w:rPr>
        <w:t xml:space="preserve"> to be </w:t>
      </w:r>
      <w:r w:rsidR="009924CA" w:rsidRPr="004F0019">
        <w:rPr>
          <w:rFonts w:ascii="Verdana" w:hAnsi="Verdana" w:cs="Arial"/>
          <w:sz w:val="20"/>
          <w:szCs w:val="20"/>
        </w:rPr>
        <w:t xml:space="preserve">between Spain’s two </w:t>
      </w:r>
      <w:proofErr w:type="spellStart"/>
      <w:r w:rsidR="009924CA" w:rsidRPr="004F0019">
        <w:rPr>
          <w:rFonts w:ascii="Verdana" w:hAnsi="Verdana" w:cs="Arial"/>
          <w:sz w:val="20"/>
          <w:szCs w:val="20"/>
        </w:rPr>
        <w:t>superclubs</w:t>
      </w:r>
      <w:proofErr w:type="spellEnd"/>
      <w:r w:rsidR="00117351" w:rsidRPr="004F0019">
        <w:rPr>
          <w:rFonts w:ascii="Verdana" w:hAnsi="Verdana" w:cs="Arial"/>
          <w:sz w:val="20"/>
          <w:szCs w:val="20"/>
        </w:rPr>
        <w:t xml:space="preserve"> for the next few years at least.”</w:t>
      </w:r>
    </w:p>
    <w:p w:rsidR="0095010D" w:rsidRDefault="0095010D" w:rsidP="00CF3AC9">
      <w:pPr>
        <w:jc w:val="both"/>
        <w:rPr>
          <w:rFonts w:ascii="Verdana" w:hAnsi="Verdana" w:cs="Arial"/>
          <w:sz w:val="20"/>
          <w:szCs w:val="20"/>
        </w:rPr>
      </w:pPr>
    </w:p>
    <w:p w:rsidR="00630638" w:rsidRDefault="006648BC" w:rsidP="00CF3AC9">
      <w:pPr>
        <w:jc w:val="both"/>
        <w:rPr>
          <w:rFonts w:ascii="Verdana" w:hAnsi="Verdana" w:cs="Arial"/>
          <w:sz w:val="20"/>
          <w:szCs w:val="20"/>
        </w:rPr>
      </w:pPr>
      <w:r>
        <w:rPr>
          <w:rFonts w:ascii="Verdana" w:hAnsi="Verdana" w:cs="Arial"/>
          <w:sz w:val="20"/>
          <w:szCs w:val="20"/>
        </w:rPr>
        <w:t xml:space="preserve">Whilst Spanish clubs claim the top two </w:t>
      </w:r>
      <w:r w:rsidR="009924CA">
        <w:rPr>
          <w:rFonts w:ascii="Verdana" w:hAnsi="Verdana" w:cs="Arial"/>
          <w:sz w:val="20"/>
          <w:szCs w:val="20"/>
        </w:rPr>
        <w:t>positions</w:t>
      </w:r>
      <w:r>
        <w:rPr>
          <w:rFonts w:ascii="Verdana" w:hAnsi="Verdana" w:cs="Arial"/>
          <w:sz w:val="20"/>
          <w:szCs w:val="20"/>
        </w:rPr>
        <w:t xml:space="preserve"> in the Money League, England retains the largest representation from any single country, with seven clubs.  Manchester United, Arsenal and Chelsea all</w:t>
      </w:r>
      <w:r w:rsidR="00D1054D">
        <w:rPr>
          <w:rFonts w:ascii="Verdana" w:hAnsi="Verdana" w:cs="Arial"/>
          <w:sz w:val="20"/>
          <w:szCs w:val="20"/>
        </w:rPr>
        <w:t xml:space="preserve"> retained their previous years’ positions</w:t>
      </w:r>
      <w:r>
        <w:rPr>
          <w:rFonts w:ascii="Verdana" w:hAnsi="Verdana" w:cs="Arial"/>
          <w:sz w:val="20"/>
          <w:szCs w:val="20"/>
        </w:rPr>
        <w:t xml:space="preserve"> </w:t>
      </w:r>
      <w:r w:rsidR="00D1054D">
        <w:rPr>
          <w:rFonts w:ascii="Verdana" w:hAnsi="Verdana" w:cs="Arial"/>
          <w:sz w:val="20"/>
          <w:szCs w:val="20"/>
        </w:rPr>
        <w:t>of</w:t>
      </w:r>
      <w:r w:rsidR="006D099A">
        <w:rPr>
          <w:rFonts w:ascii="Verdana" w:hAnsi="Verdana" w:cs="Arial"/>
          <w:sz w:val="20"/>
          <w:szCs w:val="20"/>
        </w:rPr>
        <w:t xml:space="preserve"> third, fifth and sixth</w:t>
      </w:r>
      <w:r w:rsidR="00FE10BF">
        <w:rPr>
          <w:rFonts w:ascii="Verdana" w:hAnsi="Verdana" w:cs="Arial"/>
          <w:sz w:val="20"/>
          <w:szCs w:val="20"/>
        </w:rPr>
        <w:t>,</w:t>
      </w:r>
      <w:r>
        <w:rPr>
          <w:rFonts w:ascii="Verdana" w:hAnsi="Verdana" w:cs="Arial"/>
          <w:sz w:val="20"/>
          <w:szCs w:val="20"/>
        </w:rPr>
        <w:t xml:space="preserve"> respectively.  Liverpool slipped one place to eighth.  </w:t>
      </w:r>
    </w:p>
    <w:p w:rsidR="00630638" w:rsidRDefault="00630638" w:rsidP="00CF3AC9">
      <w:pPr>
        <w:jc w:val="both"/>
        <w:rPr>
          <w:rFonts w:ascii="Verdana" w:hAnsi="Verdana" w:cs="Arial"/>
          <w:sz w:val="20"/>
          <w:szCs w:val="20"/>
        </w:rPr>
      </w:pPr>
    </w:p>
    <w:p w:rsidR="006648BC" w:rsidRDefault="00630638" w:rsidP="00CF3AC9">
      <w:pPr>
        <w:jc w:val="both"/>
        <w:rPr>
          <w:rFonts w:ascii="Verdana" w:hAnsi="Verdana" w:cs="Arial"/>
          <w:sz w:val="20"/>
          <w:szCs w:val="20"/>
        </w:rPr>
      </w:pPr>
      <w:r>
        <w:rPr>
          <w:rFonts w:ascii="Verdana" w:hAnsi="Verdana" w:cs="Arial"/>
          <w:sz w:val="20"/>
          <w:szCs w:val="20"/>
        </w:rPr>
        <w:t xml:space="preserve">Manchester City </w:t>
      </w:r>
      <w:r w:rsidR="00AB04D5">
        <w:rPr>
          <w:rFonts w:ascii="Verdana" w:hAnsi="Verdana" w:cs="Arial"/>
          <w:sz w:val="20"/>
          <w:szCs w:val="20"/>
        </w:rPr>
        <w:t>is the biggest climber</w:t>
      </w:r>
      <w:r>
        <w:rPr>
          <w:rFonts w:ascii="Verdana" w:hAnsi="Verdana" w:cs="Arial"/>
          <w:sz w:val="20"/>
          <w:szCs w:val="20"/>
        </w:rPr>
        <w:t xml:space="preserve"> in this year’s Money League, moving up nine places from 20</w:t>
      </w:r>
      <w:r w:rsidRPr="00630638">
        <w:rPr>
          <w:rFonts w:ascii="Verdana" w:hAnsi="Verdana" w:cs="Arial"/>
          <w:sz w:val="20"/>
          <w:szCs w:val="20"/>
          <w:vertAlign w:val="superscript"/>
        </w:rPr>
        <w:t>th</w:t>
      </w:r>
      <w:r>
        <w:rPr>
          <w:rFonts w:ascii="Verdana" w:hAnsi="Verdana" w:cs="Arial"/>
          <w:sz w:val="20"/>
          <w:szCs w:val="20"/>
        </w:rPr>
        <w:t xml:space="preserve"> to 11</w:t>
      </w:r>
      <w:r w:rsidRPr="00630638">
        <w:rPr>
          <w:rFonts w:ascii="Verdana" w:hAnsi="Verdana" w:cs="Arial"/>
          <w:sz w:val="20"/>
          <w:szCs w:val="20"/>
          <w:vertAlign w:val="superscript"/>
        </w:rPr>
        <w:t>th</w:t>
      </w:r>
      <w:r>
        <w:rPr>
          <w:rFonts w:ascii="Verdana" w:hAnsi="Verdana" w:cs="Arial"/>
          <w:sz w:val="20"/>
          <w:szCs w:val="20"/>
        </w:rPr>
        <w:t xml:space="preserve">.  </w:t>
      </w:r>
      <w:r w:rsidR="009924CA">
        <w:rPr>
          <w:rFonts w:ascii="Verdana" w:hAnsi="Verdana" w:cs="Arial"/>
          <w:sz w:val="20"/>
          <w:szCs w:val="20"/>
        </w:rPr>
        <w:t>After</w:t>
      </w:r>
      <w:r w:rsidR="00916592">
        <w:rPr>
          <w:rFonts w:ascii="Verdana" w:hAnsi="Verdana" w:cs="Arial"/>
          <w:sz w:val="20"/>
          <w:szCs w:val="20"/>
        </w:rPr>
        <w:t xml:space="preserve"> </w:t>
      </w:r>
      <w:r>
        <w:rPr>
          <w:rFonts w:ascii="Verdana" w:hAnsi="Verdana" w:cs="Arial"/>
          <w:sz w:val="20"/>
          <w:szCs w:val="20"/>
        </w:rPr>
        <w:t xml:space="preserve">significant investment in the playing squad, the club finished fifth in the Premier League, its highest placing since the league began.  The club </w:t>
      </w:r>
      <w:r w:rsidR="00563A4A">
        <w:rPr>
          <w:rFonts w:ascii="Verdana" w:hAnsi="Verdana" w:cs="Arial"/>
          <w:sz w:val="20"/>
          <w:szCs w:val="20"/>
        </w:rPr>
        <w:t xml:space="preserve">also </w:t>
      </w:r>
      <w:r>
        <w:rPr>
          <w:rFonts w:ascii="Verdana" w:hAnsi="Verdana" w:cs="Arial"/>
          <w:sz w:val="20"/>
          <w:szCs w:val="20"/>
        </w:rPr>
        <w:t xml:space="preserve">recorded its highest ever revenues, with an increase of </w:t>
      </w:r>
      <w:r w:rsidR="00D1054D">
        <w:rPr>
          <w:rFonts w:ascii="Verdana" w:hAnsi="Verdana" w:cs="Arial"/>
          <w:sz w:val="20"/>
          <w:szCs w:val="20"/>
        </w:rPr>
        <w:t>£38m (</w:t>
      </w:r>
      <w:r>
        <w:rPr>
          <w:rFonts w:ascii="Verdana" w:hAnsi="Verdana" w:cs="Arial"/>
          <w:sz w:val="20"/>
          <w:szCs w:val="20"/>
        </w:rPr>
        <w:t>44%</w:t>
      </w:r>
      <w:r w:rsidR="00D1054D">
        <w:rPr>
          <w:rFonts w:ascii="Verdana" w:hAnsi="Verdana" w:cs="Arial"/>
          <w:sz w:val="20"/>
          <w:szCs w:val="20"/>
        </w:rPr>
        <w:t>)</w:t>
      </w:r>
      <w:r>
        <w:rPr>
          <w:rFonts w:ascii="Verdana" w:hAnsi="Verdana" w:cs="Arial"/>
          <w:sz w:val="20"/>
          <w:szCs w:val="20"/>
        </w:rPr>
        <w:t xml:space="preserve"> to</w:t>
      </w:r>
      <w:r w:rsidR="00D1054D">
        <w:rPr>
          <w:rFonts w:ascii="Verdana" w:hAnsi="Verdana" w:cs="Arial"/>
          <w:sz w:val="20"/>
          <w:szCs w:val="20"/>
        </w:rPr>
        <w:t xml:space="preserve"> £125m</w:t>
      </w:r>
      <w:r>
        <w:rPr>
          <w:rFonts w:ascii="Verdana" w:hAnsi="Verdana" w:cs="Arial"/>
          <w:sz w:val="20"/>
          <w:szCs w:val="20"/>
        </w:rPr>
        <w:t xml:space="preserve"> </w:t>
      </w:r>
      <w:r w:rsidR="00D1054D">
        <w:rPr>
          <w:rFonts w:ascii="Verdana" w:hAnsi="Verdana" w:cs="Arial"/>
          <w:sz w:val="20"/>
          <w:szCs w:val="20"/>
        </w:rPr>
        <w:t>(</w:t>
      </w:r>
      <w:r>
        <w:rPr>
          <w:rFonts w:ascii="Verdana" w:hAnsi="Verdana" w:cs="Arial"/>
          <w:sz w:val="20"/>
          <w:szCs w:val="20"/>
        </w:rPr>
        <w:t>€15</w:t>
      </w:r>
      <w:r w:rsidR="004F0019">
        <w:rPr>
          <w:rFonts w:ascii="Verdana" w:hAnsi="Verdana" w:cs="Arial"/>
          <w:sz w:val="20"/>
          <w:szCs w:val="20"/>
        </w:rPr>
        <w:t>3</w:t>
      </w:r>
      <w:r>
        <w:rPr>
          <w:rFonts w:ascii="Verdana" w:hAnsi="Verdana" w:cs="Arial"/>
          <w:sz w:val="20"/>
          <w:szCs w:val="20"/>
        </w:rPr>
        <w:t>m</w:t>
      </w:r>
      <w:r w:rsidR="00D1054D">
        <w:rPr>
          <w:rFonts w:ascii="Verdana" w:hAnsi="Verdana" w:cs="Arial"/>
          <w:sz w:val="20"/>
          <w:szCs w:val="20"/>
        </w:rPr>
        <w:t>), the largest absolute and relative growth of any Money League club</w:t>
      </w:r>
      <w:r w:rsidR="00563A4A">
        <w:rPr>
          <w:rFonts w:ascii="Verdana" w:hAnsi="Verdana" w:cs="Arial"/>
          <w:sz w:val="20"/>
          <w:szCs w:val="20"/>
        </w:rPr>
        <w:t xml:space="preserve"> this year</w:t>
      </w:r>
      <w:r>
        <w:rPr>
          <w:rFonts w:ascii="Verdana" w:hAnsi="Verdana" w:cs="Arial"/>
          <w:sz w:val="20"/>
          <w:szCs w:val="20"/>
        </w:rPr>
        <w:t xml:space="preserve">.  </w:t>
      </w:r>
      <w:r w:rsidR="009067BD">
        <w:rPr>
          <w:rFonts w:ascii="Verdana" w:hAnsi="Verdana" w:cs="Arial"/>
          <w:sz w:val="20"/>
          <w:szCs w:val="20"/>
        </w:rPr>
        <w:t>Meanwhile</w:t>
      </w:r>
      <w:r w:rsidR="00AE4473">
        <w:rPr>
          <w:rFonts w:ascii="Verdana" w:hAnsi="Verdana" w:cs="Arial"/>
          <w:sz w:val="20"/>
          <w:szCs w:val="20"/>
        </w:rPr>
        <w:t>,</w:t>
      </w:r>
      <w:r w:rsidR="0095010D">
        <w:rPr>
          <w:rFonts w:ascii="Verdana" w:hAnsi="Verdana" w:cs="Arial"/>
          <w:sz w:val="20"/>
          <w:szCs w:val="20"/>
        </w:rPr>
        <w:t xml:space="preserve"> Tottenham Hotspur</w:t>
      </w:r>
      <w:r w:rsidR="00D1054D">
        <w:rPr>
          <w:rFonts w:ascii="Verdana" w:hAnsi="Verdana" w:cs="Arial"/>
          <w:sz w:val="20"/>
          <w:szCs w:val="20"/>
        </w:rPr>
        <w:t xml:space="preserve"> are one place behind Manchester City</w:t>
      </w:r>
      <w:r>
        <w:rPr>
          <w:rFonts w:ascii="Verdana" w:hAnsi="Verdana" w:cs="Arial"/>
          <w:sz w:val="20"/>
          <w:szCs w:val="20"/>
        </w:rPr>
        <w:t xml:space="preserve">, </w:t>
      </w:r>
      <w:r w:rsidR="00D1054D">
        <w:rPr>
          <w:rFonts w:ascii="Verdana" w:hAnsi="Verdana" w:cs="Arial"/>
          <w:sz w:val="20"/>
          <w:szCs w:val="20"/>
        </w:rPr>
        <w:t>and having</w:t>
      </w:r>
      <w:r>
        <w:rPr>
          <w:rFonts w:ascii="Verdana" w:hAnsi="Verdana" w:cs="Arial"/>
          <w:sz w:val="20"/>
          <w:szCs w:val="20"/>
        </w:rPr>
        <w:t xml:space="preserve"> qualified for the UEFA Champions League</w:t>
      </w:r>
      <w:r w:rsidR="00D1054D">
        <w:rPr>
          <w:rFonts w:ascii="Verdana" w:hAnsi="Verdana" w:cs="Arial"/>
          <w:sz w:val="20"/>
          <w:szCs w:val="20"/>
        </w:rPr>
        <w:t xml:space="preserve"> in 2010/11</w:t>
      </w:r>
      <w:r>
        <w:rPr>
          <w:rFonts w:ascii="Verdana" w:hAnsi="Verdana" w:cs="Arial"/>
          <w:sz w:val="20"/>
          <w:szCs w:val="20"/>
        </w:rPr>
        <w:t xml:space="preserve"> for the first time, </w:t>
      </w:r>
      <w:r w:rsidR="00D1054D">
        <w:rPr>
          <w:rFonts w:ascii="Verdana" w:hAnsi="Verdana" w:cs="Arial"/>
          <w:sz w:val="20"/>
          <w:szCs w:val="20"/>
        </w:rPr>
        <w:t>will</w:t>
      </w:r>
      <w:r>
        <w:rPr>
          <w:rFonts w:ascii="Verdana" w:hAnsi="Verdana" w:cs="Arial"/>
          <w:sz w:val="20"/>
          <w:szCs w:val="20"/>
        </w:rPr>
        <w:t xml:space="preserve"> </w:t>
      </w:r>
      <w:r w:rsidR="009067BD">
        <w:rPr>
          <w:rFonts w:ascii="Verdana" w:hAnsi="Verdana" w:cs="Arial"/>
          <w:sz w:val="20"/>
          <w:szCs w:val="20"/>
        </w:rPr>
        <w:t>also</w:t>
      </w:r>
      <w:r>
        <w:rPr>
          <w:rFonts w:ascii="Verdana" w:hAnsi="Verdana" w:cs="Arial"/>
          <w:sz w:val="20"/>
          <w:szCs w:val="20"/>
        </w:rPr>
        <w:t xml:space="preserve"> </w:t>
      </w:r>
      <w:r w:rsidR="00D1054D">
        <w:rPr>
          <w:rFonts w:ascii="Verdana" w:hAnsi="Verdana" w:cs="Arial"/>
          <w:sz w:val="20"/>
          <w:szCs w:val="20"/>
        </w:rPr>
        <w:t>challenge</w:t>
      </w:r>
      <w:r w:rsidR="00F20B08">
        <w:rPr>
          <w:rFonts w:ascii="Verdana" w:hAnsi="Verdana" w:cs="Arial"/>
          <w:sz w:val="20"/>
          <w:szCs w:val="20"/>
        </w:rPr>
        <w:t xml:space="preserve"> Liverpool</w:t>
      </w:r>
      <w:r>
        <w:rPr>
          <w:rFonts w:ascii="Verdana" w:hAnsi="Verdana" w:cs="Arial"/>
          <w:sz w:val="20"/>
          <w:szCs w:val="20"/>
        </w:rPr>
        <w:t xml:space="preserve"> for </w:t>
      </w:r>
      <w:r w:rsidR="00F20B08">
        <w:rPr>
          <w:rFonts w:ascii="Verdana" w:hAnsi="Verdana" w:cs="Arial"/>
          <w:sz w:val="20"/>
          <w:szCs w:val="20"/>
        </w:rPr>
        <w:t>the mantle of</w:t>
      </w:r>
      <w:r>
        <w:rPr>
          <w:rFonts w:ascii="Verdana" w:hAnsi="Verdana" w:cs="Arial"/>
          <w:sz w:val="20"/>
          <w:szCs w:val="20"/>
        </w:rPr>
        <w:t xml:space="preserve"> </w:t>
      </w:r>
      <w:r w:rsidR="007110ED">
        <w:rPr>
          <w:rFonts w:ascii="Verdana" w:hAnsi="Verdana" w:cs="Arial"/>
          <w:sz w:val="20"/>
          <w:szCs w:val="20"/>
        </w:rPr>
        <w:t xml:space="preserve">the </w:t>
      </w:r>
      <w:r>
        <w:rPr>
          <w:rFonts w:ascii="Verdana" w:hAnsi="Verdana" w:cs="Arial"/>
          <w:sz w:val="20"/>
          <w:szCs w:val="20"/>
        </w:rPr>
        <w:t>four</w:t>
      </w:r>
      <w:r w:rsidR="00F20B08">
        <w:rPr>
          <w:rFonts w:ascii="Verdana" w:hAnsi="Verdana" w:cs="Arial"/>
          <w:sz w:val="20"/>
          <w:szCs w:val="20"/>
        </w:rPr>
        <w:t>th</w:t>
      </w:r>
      <w:r>
        <w:rPr>
          <w:rFonts w:ascii="Verdana" w:hAnsi="Verdana" w:cs="Arial"/>
          <w:sz w:val="20"/>
          <w:szCs w:val="20"/>
        </w:rPr>
        <w:t xml:space="preserve"> </w:t>
      </w:r>
      <w:r w:rsidR="00F20B08">
        <w:rPr>
          <w:rFonts w:ascii="Verdana" w:hAnsi="Verdana" w:cs="Arial"/>
          <w:sz w:val="20"/>
          <w:szCs w:val="20"/>
        </w:rPr>
        <w:t>highest earning</w:t>
      </w:r>
      <w:r>
        <w:rPr>
          <w:rFonts w:ascii="Verdana" w:hAnsi="Verdana" w:cs="Arial"/>
          <w:sz w:val="20"/>
          <w:szCs w:val="20"/>
        </w:rPr>
        <w:t xml:space="preserve"> English club</w:t>
      </w:r>
      <w:r w:rsidR="009067BD">
        <w:rPr>
          <w:rFonts w:ascii="Verdana" w:hAnsi="Verdana" w:cs="Arial"/>
          <w:sz w:val="20"/>
          <w:szCs w:val="20"/>
        </w:rPr>
        <w:t xml:space="preserve"> and a top 10 position overall</w:t>
      </w:r>
      <w:r>
        <w:rPr>
          <w:rFonts w:ascii="Verdana" w:hAnsi="Verdana" w:cs="Arial"/>
          <w:sz w:val="20"/>
          <w:szCs w:val="20"/>
        </w:rPr>
        <w:t xml:space="preserve"> in the Money League.  </w:t>
      </w:r>
      <w:r w:rsidR="006648BC">
        <w:rPr>
          <w:rFonts w:ascii="Verdana" w:hAnsi="Verdana" w:cs="Arial"/>
          <w:sz w:val="20"/>
          <w:szCs w:val="20"/>
        </w:rPr>
        <w:t>Aston Villa returns to the top 20 after a five year absence</w:t>
      </w:r>
      <w:r w:rsidR="0095010D">
        <w:rPr>
          <w:rFonts w:ascii="Verdana" w:hAnsi="Verdana" w:cs="Arial"/>
          <w:sz w:val="20"/>
          <w:szCs w:val="20"/>
        </w:rPr>
        <w:t xml:space="preserve"> following </w:t>
      </w:r>
      <w:r w:rsidR="0022318D">
        <w:rPr>
          <w:rFonts w:ascii="Verdana" w:hAnsi="Verdana" w:cs="Arial"/>
          <w:sz w:val="20"/>
          <w:szCs w:val="20"/>
        </w:rPr>
        <w:t>Wembley</w:t>
      </w:r>
      <w:r w:rsidR="0095010D">
        <w:rPr>
          <w:rFonts w:ascii="Verdana" w:hAnsi="Verdana" w:cs="Arial"/>
          <w:sz w:val="20"/>
          <w:szCs w:val="20"/>
        </w:rPr>
        <w:t xml:space="preserve"> appearance</w:t>
      </w:r>
      <w:r w:rsidR="0022318D">
        <w:rPr>
          <w:rFonts w:ascii="Verdana" w:hAnsi="Verdana" w:cs="Arial"/>
          <w:sz w:val="20"/>
          <w:szCs w:val="20"/>
        </w:rPr>
        <w:t>s</w:t>
      </w:r>
      <w:r w:rsidR="0095010D">
        <w:rPr>
          <w:rFonts w:ascii="Verdana" w:hAnsi="Verdana" w:cs="Arial"/>
          <w:sz w:val="20"/>
          <w:szCs w:val="20"/>
        </w:rPr>
        <w:t xml:space="preserve"> in both domestic cup </w:t>
      </w:r>
      <w:r w:rsidR="0022318D">
        <w:rPr>
          <w:rFonts w:ascii="Verdana" w:hAnsi="Verdana" w:cs="Arial"/>
          <w:sz w:val="20"/>
          <w:szCs w:val="20"/>
        </w:rPr>
        <w:t>competitions</w:t>
      </w:r>
      <w:r w:rsidR="0095010D">
        <w:rPr>
          <w:rFonts w:ascii="Verdana" w:hAnsi="Verdana" w:cs="Arial"/>
          <w:sz w:val="20"/>
          <w:szCs w:val="20"/>
        </w:rPr>
        <w:t xml:space="preserve"> in 2009/10</w:t>
      </w:r>
      <w:r w:rsidR="006648BC">
        <w:rPr>
          <w:rFonts w:ascii="Verdana" w:hAnsi="Verdana" w:cs="Arial"/>
          <w:sz w:val="20"/>
          <w:szCs w:val="20"/>
        </w:rPr>
        <w:t>.</w:t>
      </w:r>
    </w:p>
    <w:p w:rsidR="00842580" w:rsidRDefault="00842580" w:rsidP="00CF3AC9">
      <w:pPr>
        <w:jc w:val="both"/>
        <w:rPr>
          <w:rFonts w:ascii="Verdana" w:hAnsi="Verdana" w:cs="Arial"/>
          <w:sz w:val="20"/>
          <w:szCs w:val="20"/>
        </w:rPr>
      </w:pPr>
    </w:p>
    <w:p w:rsidR="009018BA" w:rsidRDefault="00AB04D5" w:rsidP="00CF3AC9">
      <w:pPr>
        <w:jc w:val="both"/>
        <w:rPr>
          <w:rFonts w:ascii="Verdana" w:hAnsi="Verdana" w:cs="Arial"/>
          <w:sz w:val="20"/>
          <w:szCs w:val="20"/>
        </w:rPr>
      </w:pPr>
      <w:r>
        <w:rPr>
          <w:rFonts w:ascii="Verdana" w:hAnsi="Verdana" w:cs="Arial"/>
          <w:sz w:val="20"/>
          <w:szCs w:val="20"/>
        </w:rPr>
        <w:t>All of this year’s top 20 clubs are from the ‘big five’ European leagues with England contributing seven, Germany and Italy four clubs each, Spain three clubs and France two.</w:t>
      </w:r>
      <w:r w:rsidR="009018BA">
        <w:rPr>
          <w:rFonts w:ascii="Verdana" w:hAnsi="Verdana" w:cs="Arial"/>
          <w:sz w:val="20"/>
          <w:szCs w:val="20"/>
        </w:rPr>
        <w:t xml:space="preserve">  </w:t>
      </w:r>
    </w:p>
    <w:p w:rsidR="00563A4A" w:rsidRDefault="00563A4A" w:rsidP="00CF3AC9">
      <w:pPr>
        <w:jc w:val="both"/>
        <w:rPr>
          <w:rFonts w:ascii="Verdana" w:hAnsi="Verdana" w:cs="Arial"/>
          <w:sz w:val="20"/>
          <w:szCs w:val="20"/>
        </w:rPr>
      </w:pPr>
    </w:p>
    <w:p w:rsidR="006D099A" w:rsidRDefault="009018BA" w:rsidP="00CF3AC9">
      <w:pPr>
        <w:jc w:val="both"/>
        <w:rPr>
          <w:rFonts w:ascii="Verdana" w:hAnsi="Verdana" w:cs="Arial"/>
          <w:sz w:val="20"/>
          <w:szCs w:val="20"/>
        </w:rPr>
      </w:pPr>
      <w:r w:rsidRPr="006D099A">
        <w:rPr>
          <w:rFonts w:ascii="Verdana" w:hAnsi="Verdana"/>
          <w:sz w:val="20"/>
          <w:szCs w:val="20"/>
        </w:rPr>
        <w:t>Alan Switzer, Director in the Sports Business Group, said:</w:t>
      </w:r>
      <w:r>
        <w:rPr>
          <w:rFonts w:ascii="Verdana" w:hAnsi="Verdana"/>
          <w:sz w:val="20"/>
          <w:szCs w:val="20"/>
        </w:rPr>
        <w:t xml:space="preserve"> “Consistent on-pitch performance and participation in the UEFA Champions League have proved essential in maintaining a top spot in the Money League.  F</w:t>
      </w:r>
      <w:r w:rsidR="006D099A">
        <w:rPr>
          <w:rFonts w:ascii="Verdana" w:hAnsi="Verdana" w:cs="Arial"/>
          <w:sz w:val="20"/>
          <w:szCs w:val="20"/>
        </w:rPr>
        <w:t xml:space="preserve">ourteen of the top 20 clubs participated in the Champions League in 2009/10, </w:t>
      </w:r>
      <w:r w:rsidR="00916592">
        <w:rPr>
          <w:rFonts w:ascii="Verdana" w:hAnsi="Verdana" w:cs="Arial"/>
          <w:sz w:val="20"/>
          <w:szCs w:val="20"/>
        </w:rPr>
        <w:t xml:space="preserve">and </w:t>
      </w:r>
      <w:r w:rsidR="006D099A">
        <w:rPr>
          <w:rFonts w:ascii="Verdana" w:hAnsi="Verdana" w:cs="Arial"/>
          <w:sz w:val="20"/>
          <w:szCs w:val="20"/>
        </w:rPr>
        <w:t xml:space="preserve">six clubs in the reformatted and renamed UEFA </w:t>
      </w:r>
      <w:proofErr w:type="spellStart"/>
      <w:r w:rsidR="006D099A">
        <w:rPr>
          <w:rFonts w:ascii="Verdana" w:hAnsi="Verdana" w:cs="Arial"/>
          <w:sz w:val="20"/>
          <w:szCs w:val="20"/>
        </w:rPr>
        <w:t>Europa</w:t>
      </w:r>
      <w:proofErr w:type="spellEnd"/>
      <w:r w:rsidR="006D099A">
        <w:rPr>
          <w:rFonts w:ascii="Verdana" w:hAnsi="Verdana" w:cs="Arial"/>
          <w:sz w:val="20"/>
          <w:szCs w:val="20"/>
        </w:rPr>
        <w:t xml:space="preserve"> League from the Group phases onwards.</w:t>
      </w:r>
    </w:p>
    <w:p w:rsidR="006D099A" w:rsidRDefault="006D099A" w:rsidP="00CF3AC9">
      <w:pPr>
        <w:jc w:val="both"/>
        <w:rPr>
          <w:rFonts w:ascii="Verdana" w:hAnsi="Verdana" w:cs="Arial"/>
          <w:sz w:val="20"/>
          <w:szCs w:val="20"/>
        </w:rPr>
      </w:pPr>
    </w:p>
    <w:p w:rsidR="006D099A" w:rsidRDefault="009018BA" w:rsidP="00CF3AC9">
      <w:pPr>
        <w:jc w:val="both"/>
        <w:rPr>
          <w:rFonts w:ascii="Verdana" w:hAnsi="Verdana" w:cs="Arial"/>
          <w:sz w:val="20"/>
          <w:szCs w:val="20"/>
        </w:rPr>
      </w:pPr>
      <w:r>
        <w:rPr>
          <w:rFonts w:ascii="Verdana" w:hAnsi="Verdana" w:cs="Arial"/>
          <w:sz w:val="20"/>
          <w:szCs w:val="20"/>
        </w:rPr>
        <w:t>“</w:t>
      </w:r>
      <w:r w:rsidR="006D099A">
        <w:rPr>
          <w:rFonts w:ascii="Verdana" w:hAnsi="Verdana" w:cs="Arial"/>
          <w:sz w:val="20"/>
          <w:szCs w:val="20"/>
        </w:rPr>
        <w:t>Whilst Manchester City has rocketed up the Money League this year from 20</w:t>
      </w:r>
      <w:r w:rsidR="006D099A" w:rsidRPr="006D099A">
        <w:rPr>
          <w:rFonts w:ascii="Verdana" w:hAnsi="Verdana" w:cs="Arial"/>
          <w:sz w:val="20"/>
          <w:szCs w:val="20"/>
          <w:vertAlign w:val="superscript"/>
        </w:rPr>
        <w:t>th</w:t>
      </w:r>
      <w:r w:rsidR="006D099A">
        <w:rPr>
          <w:rFonts w:ascii="Verdana" w:hAnsi="Verdana" w:cs="Arial"/>
          <w:sz w:val="20"/>
          <w:szCs w:val="20"/>
        </w:rPr>
        <w:t xml:space="preserve"> to 11</w:t>
      </w:r>
      <w:r w:rsidR="006D099A" w:rsidRPr="006D099A">
        <w:rPr>
          <w:rFonts w:ascii="Verdana" w:hAnsi="Verdana" w:cs="Arial"/>
          <w:sz w:val="20"/>
          <w:szCs w:val="20"/>
          <w:vertAlign w:val="superscript"/>
        </w:rPr>
        <w:t>th</w:t>
      </w:r>
      <w:r>
        <w:rPr>
          <w:rFonts w:ascii="Verdana" w:hAnsi="Verdana" w:cs="Arial"/>
          <w:sz w:val="20"/>
          <w:szCs w:val="20"/>
        </w:rPr>
        <w:t xml:space="preserve">, the revenue that Spurs will receive from participating in Europe’s top clubs’ competition in 2010/11 will provide a substantial boost.  </w:t>
      </w:r>
      <w:r w:rsidR="006A449F">
        <w:rPr>
          <w:rFonts w:ascii="Verdana" w:hAnsi="Verdana" w:cs="Arial"/>
          <w:sz w:val="20"/>
          <w:szCs w:val="20"/>
        </w:rPr>
        <w:t>The club’s progression to the knock-out stages of the Champions League and continued on-pitch success in the Premier League this season,</w:t>
      </w:r>
      <w:r>
        <w:rPr>
          <w:rFonts w:ascii="Verdana" w:hAnsi="Verdana" w:cs="Arial"/>
          <w:sz w:val="20"/>
          <w:szCs w:val="20"/>
        </w:rPr>
        <w:t xml:space="preserve"> coupled with </w:t>
      </w:r>
      <w:proofErr w:type="spellStart"/>
      <w:r>
        <w:rPr>
          <w:rFonts w:ascii="Verdana" w:hAnsi="Verdana" w:cs="Arial"/>
          <w:sz w:val="20"/>
          <w:szCs w:val="20"/>
        </w:rPr>
        <w:t>Juve’s</w:t>
      </w:r>
      <w:proofErr w:type="spellEnd"/>
      <w:r>
        <w:rPr>
          <w:rFonts w:ascii="Verdana" w:hAnsi="Verdana" w:cs="Arial"/>
          <w:sz w:val="20"/>
          <w:szCs w:val="20"/>
        </w:rPr>
        <w:t xml:space="preserve"> failure to qu</w:t>
      </w:r>
      <w:r w:rsidR="006A449F">
        <w:rPr>
          <w:rFonts w:ascii="Verdana" w:hAnsi="Verdana" w:cs="Arial"/>
          <w:sz w:val="20"/>
          <w:szCs w:val="20"/>
        </w:rPr>
        <w:t xml:space="preserve">alify for the Champions League </w:t>
      </w:r>
      <w:r>
        <w:rPr>
          <w:rFonts w:ascii="Verdana" w:hAnsi="Verdana" w:cs="Arial"/>
          <w:sz w:val="20"/>
          <w:szCs w:val="20"/>
        </w:rPr>
        <w:t>in 2010/11</w:t>
      </w:r>
      <w:r w:rsidR="006A449F">
        <w:rPr>
          <w:rFonts w:ascii="Verdana" w:hAnsi="Verdana" w:cs="Arial"/>
          <w:sz w:val="20"/>
          <w:szCs w:val="20"/>
        </w:rPr>
        <w:t>,</w:t>
      </w:r>
      <w:r>
        <w:rPr>
          <w:rFonts w:ascii="Verdana" w:hAnsi="Verdana" w:cs="Arial"/>
          <w:sz w:val="20"/>
          <w:szCs w:val="20"/>
        </w:rPr>
        <w:t xml:space="preserve"> will likely see the London side usurp the Italian club for 10</w:t>
      </w:r>
      <w:r w:rsidRPr="009018BA">
        <w:rPr>
          <w:rFonts w:ascii="Verdana" w:hAnsi="Verdana" w:cs="Arial"/>
          <w:sz w:val="20"/>
          <w:szCs w:val="20"/>
          <w:vertAlign w:val="superscript"/>
        </w:rPr>
        <w:t>th</w:t>
      </w:r>
      <w:r>
        <w:rPr>
          <w:rFonts w:ascii="Verdana" w:hAnsi="Verdana" w:cs="Arial"/>
          <w:sz w:val="20"/>
          <w:szCs w:val="20"/>
        </w:rPr>
        <w:t xml:space="preserve"> spot in the Money League</w:t>
      </w:r>
      <w:r w:rsidR="006A449F">
        <w:rPr>
          <w:rFonts w:ascii="Verdana" w:hAnsi="Verdana" w:cs="Arial"/>
          <w:sz w:val="20"/>
          <w:szCs w:val="20"/>
        </w:rPr>
        <w:t xml:space="preserve"> next year</w:t>
      </w:r>
      <w:r>
        <w:rPr>
          <w:rFonts w:ascii="Verdana" w:hAnsi="Verdana" w:cs="Arial"/>
          <w:sz w:val="20"/>
          <w:szCs w:val="20"/>
        </w:rPr>
        <w:t>.</w:t>
      </w:r>
      <w:r w:rsidR="006A449F">
        <w:rPr>
          <w:rFonts w:ascii="Verdana" w:hAnsi="Verdana" w:cs="Arial"/>
          <w:sz w:val="20"/>
          <w:szCs w:val="20"/>
        </w:rPr>
        <w:t>”</w:t>
      </w:r>
    </w:p>
    <w:p w:rsidR="006D099A" w:rsidRDefault="006D099A" w:rsidP="00CF3AC9">
      <w:pPr>
        <w:jc w:val="both"/>
        <w:rPr>
          <w:rFonts w:ascii="Verdana" w:hAnsi="Verdana" w:cs="Arial"/>
          <w:sz w:val="20"/>
          <w:szCs w:val="20"/>
        </w:rPr>
      </w:pPr>
    </w:p>
    <w:p w:rsidR="00FE10BF" w:rsidRPr="00FE10BF" w:rsidRDefault="00FE10BF" w:rsidP="00FE10BF">
      <w:pPr>
        <w:jc w:val="both"/>
        <w:rPr>
          <w:rFonts w:ascii="Verdana" w:hAnsi="Verdana" w:cs="Arial"/>
          <w:sz w:val="20"/>
          <w:szCs w:val="20"/>
        </w:rPr>
      </w:pPr>
      <w:r w:rsidRPr="00FE10BF">
        <w:rPr>
          <w:rFonts w:ascii="Verdana" w:hAnsi="Verdana" w:cs="Verdana"/>
          <w:sz w:val="20"/>
          <w:szCs w:val="20"/>
        </w:rPr>
        <w:t xml:space="preserve">Paul Rawnsley, </w:t>
      </w:r>
      <w:r w:rsidRPr="00FE10BF">
        <w:rPr>
          <w:rFonts w:ascii="Verdana" w:hAnsi="Verdana"/>
          <w:sz w:val="20"/>
          <w:szCs w:val="20"/>
        </w:rPr>
        <w:t>Director in the Sports Business Group</w:t>
      </w:r>
      <w:r w:rsidRPr="00FE10BF">
        <w:rPr>
          <w:rFonts w:ascii="Verdana" w:hAnsi="Verdana" w:cs="Verdana"/>
          <w:sz w:val="20"/>
          <w:szCs w:val="20"/>
        </w:rPr>
        <w:t>, added: “Despite the difficult economic times we would not be surprised to report that revenues have grown again when we cover the current season in next year’s report, as</w:t>
      </w:r>
      <w:r w:rsidRPr="00FE10BF">
        <w:rPr>
          <w:rFonts w:ascii="Verdana" w:hAnsi="Verdana" w:cs="Arial"/>
          <w:sz w:val="20"/>
          <w:szCs w:val="20"/>
        </w:rPr>
        <w:t xml:space="preserve"> bigger central overseas broadcast deals and some strong sponsorship deals strengthen English clubs’ revenue position further.”</w:t>
      </w:r>
    </w:p>
    <w:p w:rsidR="00FE10BF" w:rsidRPr="00FE10BF" w:rsidRDefault="00FE10BF" w:rsidP="00FE10BF">
      <w:pPr>
        <w:jc w:val="both"/>
        <w:rPr>
          <w:rFonts w:ascii="Verdana" w:hAnsi="Verdana" w:cs="Arial"/>
          <w:sz w:val="20"/>
          <w:szCs w:val="20"/>
        </w:rPr>
      </w:pPr>
    </w:p>
    <w:p w:rsidR="00FE10BF" w:rsidRPr="00FE10BF" w:rsidRDefault="00FE10BF" w:rsidP="00FE10BF">
      <w:pPr>
        <w:jc w:val="both"/>
        <w:rPr>
          <w:rFonts w:ascii="Calibri" w:hAnsi="Calibri"/>
          <w:sz w:val="20"/>
          <w:szCs w:val="20"/>
        </w:rPr>
      </w:pPr>
      <w:r w:rsidRPr="00FE10BF">
        <w:rPr>
          <w:rFonts w:ascii="Verdana" w:hAnsi="Verdana"/>
          <w:sz w:val="20"/>
          <w:szCs w:val="20"/>
        </w:rPr>
        <w:t xml:space="preserve">Commenting on the potential implications of UEFA’s Financial Fair Play (FFP) rules, Rawnsley added: “Outside exceptional circumstances, such as investment in stadia or the arrival of new owners, FFP will require football clubs to balance their </w:t>
      </w:r>
      <w:proofErr w:type="gramStart"/>
      <w:r w:rsidRPr="00FE10BF">
        <w:rPr>
          <w:rFonts w:ascii="Verdana" w:hAnsi="Verdana"/>
          <w:sz w:val="20"/>
          <w:szCs w:val="20"/>
        </w:rPr>
        <w:t>books,</w:t>
      </w:r>
      <w:proofErr w:type="gramEnd"/>
      <w:r w:rsidRPr="00FE10BF">
        <w:rPr>
          <w:rFonts w:ascii="Verdana" w:hAnsi="Verdana"/>
          <w:sz w:val="20"/>
          <w:szCs w:val="20"/>
        </w:rPr>
        <w:t xml:space="preserve"> ensuring expenditure does not significantly exceed revenue over time.  Therefore, the strong showing of English clubs in the Money League provides encouragement about the future competitive health of English football.  Whilst the two Spanish giants will take some catching, English clubs will continue to compete for leading transfer targets and offer attractive salaries in comparison to the vast majority of their European rivals.”  </w:t>
      </w:r>
    </w:p>
    <w:p w:rsidR="00C1306C" w:rsidRDefault="00C1306C" w:rsidP="00CF3AC9">
      <w:pPr>
        <w:jc w:val="both"/>
        <w:rPr>
          <w:rFonts w:ascii="Verdana" w:hAnsi="Verdana" w:cs="Arial"/>
          <w:sz w:val="20"/>
          <w:szCs w:val="20"/>
        </w:rPr>
      </w:pPr>
    </w:p>
    <w:p w:rsidR="00842580" w:rsidRPr="00CF3AC9" w:rsidRDefault="00842580" w:rsidP="00842580">
      <w:pPr>
        <w:tabs>
          <w:tab w:val="left" w:pos="1260"/>
          <w:tab w:val="left" w:pos="3600"/>
          <w:tab w:val="left" w:pos="8100"/>
        </w:tabs>
        <w:jc w:val="center"/>
        <w:rPr>
          <w:rFonts w:ascii="Verdana" w:hAnsi="Verdana"/>
          <w:color w:val="000000"/>
          <w:sz w:val="20"/>
          <w:szCs w:val="20"/>
        </w:rPr>
      </w:pPr>
      <w:r w:rsidRPr="00CF3AC9">
        <w:rPr>
          <w:rFonts w:ascii="Verdana" w:hAnsi="Verdana"/>
          <w:color w:val="000000"/>
          <w:sz w:val="20"/>
          <w:szCs w:val="20"/>
        </w:rPr>
        <w:t>- Ends -</w:t>
      </w:r>
    </w:p>
    <w:p w:rsidR="00842580" w:rsidRPr="00CF3AC9" w:rsidRDefault="00842580" w:rsidP="00842580">
      <w:pPr>
        <w:jc w:val="both"/>
        <w:rPr>
          <w:rFonts w:ascii="Verdana" w:hAnsi="Verdana" w:cs="Arial"/>
          <w:b/>
          <w:sz w:val="20"/>
          <w:szCs w:val="20"/>
        </w:rPr>
      </w:pPr>
    </w:p>
    <w:p w:rsidR="00842580" w:rsidRPr="00CF3AC9" w:rsidRDefault="00842580" w:rsidP="00842580">
      <w:pPr>
        <w:jc w:val="both"/>
        <w:rPr>
          <w:rFonts w:ascii="Verdana" w:hAnsi="Verdana" w:cs="Arial"/>
          <w:b/>
          <w:sz w:val="20"/>
          <w:szCs w:val="20"/>
        </w:rPr>
      </w:pPr>
      <w:r w:rsidRPr="00CF3AC9">
        <w:rPr>
          <w:rFonts w:ascii="Verdana" w:hAnsi="Verdana" w:cs="Arial"/>
          <w:b/>
          <w:sz w:val="20"/>
          <w:szCs w:val="20"/>
        </w:rPr>
        <w:t>Notes to editors</w:t>
      </w:r>
      <w:r>
        <w:rPr>
          <w:rFonts w:ascii="Verdana" w:hAnsi="Verdana" w:cs="Arial"/>
          <w:b/>
          <w:sz w:val="20"/>
          <w:szCs w:val="20"/>
        </w:rPr>
        <w:t>:</w:t>
      </w:r>
    </w:p>
    <w:p w:rsidR="00842580" w:rsidRDefault="00842580" w:rsidP="00CF3AC9">
      <w:pPr>
        <w:jc w:val="both"/>
        <w:rPr>
          <w:rFonts w:ascii="Verdana" w:hAnsi="Verdana" w:cs="Arial"/>
          <w:sz w:val="20"/>
          <w:szCs w:val="20"/>
        </w:rPr>
      </w:pPr>
      <w:r>
        <w:rPr>
          <w:rFonts w:ascii="Verdana" w:hAnsi="Verdana" w:cs="Arial"/>
          <w:sz w:val="20"/>
          <w:szCs w:val="20"/>
        </w:rPr>
        <w:t xml:space="preserve">To review the full findings of the </w:t>
      </w:r>
      <w:r w:rsidRPr="00842580">
        <w:rPr>
          <w:rFonts w:ascii="Verdana" w:hAnsi="Verdana" w:cs="Arial"/>
          <w:i/>
          <w:sz w:val="20"/>
          <w:szCs w:val="20"/>
        </w:rPr>
        <w:t>Deloitte Football Money League</w:t>
      </w:r>
      <w:r>
        <w:rPr>
          <w:rFonts w:ascii="Verdana" w:hAnsi="Verdana" w:cs="Arial"/>
          <w:sz w:val="20"/>
          <w:szCs w:val="20"/>
        </w:rPr>
        <w:t xml:space="preserve">, please visit: </w:t>
      </w:r>
      <w:hyperlink r:id="rId11" w:history="1">
        <w:r w:rsidRPr="009C5536">
          <w:rPr>
            <w:rStyle w:val="Hyperlink"/>
            <w:rFonts w:ascii="Verdana" w:hAnsi="Verdana" w:cs="Arial"/>
            <w:sz w:val="20"/>
            <w:szCs w:val="20"/>
          </w:rPr>
          <w:t>www.deloitte.co.uk/sportsbusinessgroup</w:t>
        </w:r>
      </w:hyperlink>
      <w:r w:rsidR="00FB0698">
        <w:rPr>
          <w:rFonts w:ascii="Verdana" w:hAnsi="Verdana" w:cs="Arial"/>
          <w:sz w:val="20"/>
          <w:szCs w:val="20"/>
        </w:rPr>
        <w:t>.</w:t>
      </w:r>
    </w:p>
    <w:p w:rsidR="00CF3AC9" w:rsidRDefault="00CF3AC9" w:rsidP="00CF3AC9">
      <w:pPr>
        <w:jc w:val="both"/>
        <w:rPr>
          <w:rFonts w:ascii="Verdana" w:hAnsi="Verdana" w:cs="Arial"/>
          <w:sz w:val="20"/>
          <w:szCs w:val="20"/>
        </w:rPr>
      </w:pPr>
    </w:p>
    <w:p w:rsidR="00842580" w:rsidRDefault="00842580" w:rsidP="00CF3AC9">
      <w:pPr>
        <w:jc w:val="both"/>
        <w:rPr>
          <w:rFonts w:ascii="Verdana" w:hAnsi="Verdana" w:cs="Arial"/>
          <w:b/>
          <w:sz w:val="20"/>
          <w:szCs w:val="20"/>
        </w:rPr>
      </w:pPr>
      <w:r w:rsidRPr="00842580">
        <w:rPr>
          <w:rFonts w:ascii="Verdana" w:hAnsi="Verdana" w:cs="Arial"/>
          <w:b/>
          <w:sz w:val="20"/>
          <w:szCs w:val="20"/>
        </w:rPr>
        <w:t xml:space="preserve">The Deloitte Football Money League – </w:t>
      </w:r>
      <w:proofErr w:type="gramStart"/>
      <w:r w:rsidRPr="00842580">
        <w:rPr>
          <w:rFonts w:ascii="Verdana" w:hAnsi="Verdana" w:cs="Arial"/>
          <w:b/>
          <w:sz w:val="20"/>
          <w:szCs w:val="20"/>
        </w:rPr>
        <w:t>2009/10 revenue</w:t>
      </w:r>
      <w:proofErr w:type="gramEnd"/>
    </w:p>
    <w:p w:rsidR="00842580" w:rsidRPr="00842580" w:rsidRDefault="00842580" w:rsidP="00CF3AC9">
      <w:pPr>
        <w:jc w:val="both"/>
        <w:rPr>
          <w:rFonts w:ascii="Verdana" w:hAnsi="Verdana" w:cs="Arial"/>
          <w:b/>
          <w:sz w:val="20"/>
          <w:szCs w:val="20"/>
        </w:rPr>
      </w:pPr>
    </w:p>
    <w:tbl>
      <w:tblPr>
        <w:tblW w:w="8902" w:type="dxa"/>
        <w:jc w:val="center"/>
        <w:tblInd w:w="93" w:type="dxa"/>
        <w:tblLook w:val="04A0"/>
      </w:tblPr>
      <w:tblGrid>
        <w:gridCol w:w="1540"/>
        <w:gridCol w:w="2600"/>
        <w:gridCol w:w="2381"/>
        <w:gridCol w:w="2381"/>
      </w:tblGrid>
      <w:tr w:rsidR="00192DC8" w:rsidRPr="00192DC8" w:rsidTr="00842580">
        <w:trPr>
          <w:trHeight w:val="619"/>
          <w:jc w:val="center"/>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192DC8" w:rsidRPr="00192DC8" w:rsidRDefault="00842580" w:rsidP="00192DC8">
            <w:pPr>
              <w:rPr>
                <w:rFonts w:ascii="Calibri" w:hAnsi="Calibri"/>
                <w:b/>
                <w:bCs/>
                <w:color w:val="000000"/>
                <w:sz w:val="22"/>
                <w:szCs w:val="22"/>
              </w:rPr>
            </w:pPr>
            <w:r>
              <w:rPr>
                <w:rFonts w:ascii="Calibri" w:hAnsi="Calibri"/>
                <w:b/>
                <w:bCs/>
                <w:color w:val="000000"/>
                <w:sz w:val="22"/>
                <w:szCs w:val="22"/>
              </w:rPr>
              <w:t>Pos</w:t>
            </w:r>
            <w:r w:rsidR="00192DC8" w:rsidRPr="00192DC8">
              <w:rPr>
                <w:rFonts w:ascii="Calibri" w:hAnsi="Calibri"/>
                <w:b/>
                <w:bCs/>
                <w:color w:val="000000"/>
                <w:sz w:val="22"/>
                <w:szCs w:val="22"/>
              </w:rPr>
              <w:t>ition (prior</w:t>
            </w:r>
            <w:r w:rsidR="00192DC8" w:rsidRPr="00192DC8">
              <w:rPr>
                <w:rFonts w:ascii="Calibri" w:hAnsi="Calibri"/>
                <w:b/>
                <w:bCs/>
                <w:color w:val="000000"/>
                <w:sz w:val="22"/>
                <w:szCs w:val="22"/>
              </w:rPr>
              <w:br/>
              <w:t>year position)</w:t>
            </w:r>
          </w:p>
        </w:tc>
        <w:tc>
          <w:tcPr>
            <w:tcW w:w="2600" w:type="dxa"/>
            <w:tcBorders>
              <w:top w:val="single" w:sz="4" w:space="0" w:color="auto"/>
              <w:left w:val="nil"/>
              <w:bottom w:val="single" w:sz="4" w:space="0" w:color="auto"/>
              <w:right w:val="single" w:sz="4" w:space="0" w:color="auto"/>
            </w:tcBorders>
            <w:shd w:val="clear" w:color="auto" w:fill="auto"/>
            <w:hideMark/>
          </w:tcPr>
          <w:p w:rsidR="00192DC8" w:rsidRPr="00192DC8" w:rsidRDefault="00192DC8" w:rsidP="00192DC8">
            <w:pPr>
              <w:rPr>
                <w:rFonts w:ascii="Calibri" w:hAnsi="Calibri"/>
                <w:b/>
                <w:bCs/>
                <w:color w:val="000000"/>
                <w:sz w:val="22"/>
                <w:szCs w:val="22"/>
              </w:rPr>
            </w:pPr>
            <w:r w:rsidRPr="00192DC8">
              <w:rPr>
                <w:rFonts w:ascii="Calibri" w:hAnsi="Calibri"/>
                <w:b/>
                <w:bCs/>
                <w:color w:val="000000"/>
                <w:sz w:val="22"/>
                <w:szCs w:val="22"/>
              </w:rPr>
              <w:t>Club</w:t>
            </w:r>
          </w:p>
        </w:tc>
        <w:tc>
          <w:tcPr>
            <w:tcW w:w="2381" w:type="dxa"/>
            <w:tcBorders>
              <w:top w:val="single" w:sz="4" w:space="0" w:color="auto"/>
              <w:left w:val="nil"/>
              <w:bottom w:val="single" w:sz="4" w:space="0" w:color="auto"/>
              <w:right w:val="single" w:sz="4" w:space="0" w:color="auto"/>
            </w:tcBorders>
            <w:shd w:val="clear" w:color="auto" w:fill="auto"/>
            <w:hideMark/>
          </w:tcPr>
          <w:p w:rsidR="00192DC8" w:rsidRPr="00192DC8" w:rsidRDefault="00192DC8" w:rsidP="00192DC8">
            <w:pPr>
              <w:jc w:val="center"/>
              <w:rPr>
                <w:rFonts w:ascii="Calibri" w:hAnsi="Calibri"/>
                <w:b/>
                <w:bCs/>
                <w:color w:val="000000"/>
                <w:sz w:val="22"/>
                <w:szCs w:val="22"/>
              </w:rPr>
            </w:pPr>
            <w:r w:rsidRPr="00192DC8">
              <w:rPr>
                <w:rFonts w:ascii="Calibri" w:hAnsi="Calibri"/>
                <w:b/>
                <w:bCs/>
                <w:color w:val="000000"/>
                <w:sz w:val="22"/>
                <w:szCs w:val="22"/>
              </w:rPr>
              <w:t>2009/10 Revenue (£m)</w:t>
            </w:r>
          </w:p>
        </w:tc>
        <w:tc>
          <w:tcPr>
            <w:tcW w:w="2381" w:type="dxa"/>
            <w:tcBorders>
              <w:top w:val="single" w:sz="4" w:space="0" w:color="auto"/>
              <w:left w:val="nil"/>
              <w:bottom w:val="single" w:sz="4" w:space="0" w:color="auto"/>
              <w:right w:val="single" w:sz="4" w:space="0" w:color="auto"/>
            </w:tcBorders>
            <w:shd w:val="clear" w:color="auto" w:fill="auto"/>
            <w:hideMark/>
          </w:tcPr>
          <w:p w:rsidR="00192DC8" w:rsidRPr="00192DC8" w:rsidRDefault="00192DC8" w:rsidP="00842580">
            <w:pPr>
              <w:jc w:val="center"/>
              <w:rPr>
                <w:rFonts w:ascii="Calibri" w:hAnsi="Calibri"/>
                <w:b/>
                <w:bCs/>
                <w:color w:val="000000"/>
                <w:sz w:val="22"/>
                <w:szCs w:val="22"/>
              </w:rPr>
            </w:pPr>
            <w:r w:rsidRPr="00192DC8">
              <w:rPr>
                <w:rFonts w:ascii="Calibri" w:hAnsi="Calibri"/>
                <w:b/>
                <w:bCs/>
                <w:color w:val="000000"/>
                <w:sz w:val="22"/>
                <w:szCs w:val="22"/>
              </w:rPr>
              <w:t xml:space="preserve">2009/10 Revenue </w:t>
            </w:r>
            <w:r w:rsidR="00842580">
              <w:rPr>
                <w:rFonts w:ascii="Calibri" w:hAnsi="Calibri"/>
                <w:b/>
                <w:bCs/>
                <w:color w:val="000000"/>
                <w:sz w:val="22"/>
                <w:szCs w:val="22"/>
              </w:rPr>
              <w:t>(</w:t>
            </w:r>
            <w:r w:rsidRPr="00192DC8">
              <w:rPr>
                <w:rFonts w:ascii="Calibri" w:hAnsi="Calibri"/>
                <w:b/>
                <w:bCs/>
                <w:color w:val="000000"/>
                <w:sz w:val="22"/>
                <w:szCs w:val="22"/>
              </w:rPr>
              <w:t xml:space="preserve">€m) </w:t>
            </w:r>
            <w:r w:rsidRPr="00192DC8">
              <w:rPr>
                <w:rFonts w:ascii="Calibri" w:hAnsi="Calibri"/>
                <w:b/>
                <w:bCs/>
                <w:color w:val="000000"/>
                <w:sz w:val="22"/>
                <w:szCs w:val="22"/>
              </w:rPr>
              <w:br/>
              <w:t>(2008/09 Revenue)</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 (1)</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Real Madrid</w:t>
            </w:r>
          </w:p>
        </w:tc>
        <w:tc>
          <w:tcPr>
            <w:tcW w:w="2381" w:type="dxa"/>
            <w:tcBorders>
              <w:top w:val="nil"/>
              <w:left w:val="nil"/>
              <w:bottom w:val="single" w:sz="4" w:space="0" w:color="auto"/>
              <w:right w:val="single" w:sz="4" w:space="0" w:color="auto"/>
            </w:tcBorders>
            <w:shd w:val="clear" w:color="auto" w:fill="auto"/>
            <w:vAlign w:val="bottom"/>
            <w:hideMark/>
          </w:tcPr>
          <w:p w:rsidR="009625EE" w:rsidRPr="00192DC8" w:rsidRDefault="00192DC8" w:rsidP="009625EE">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359.1</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438.6 (401.4)</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2 (2)</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FC Barcelona</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325.9</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398.1 (365.9)</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3 (3)</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Manchester United</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286.4</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349.8 (327.0)</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4 (4)</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Bayern Munich</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264.5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323.0 (289.5)</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5 (5)</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Arsenal</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224.4</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274.1 (263.0)</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6 (6)</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Chelsea</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209.5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255.9 (242.3)</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7 (10)</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AC Milan</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193.1</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235.8 (196.5)</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8 (7)</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Liverpool</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9625EE">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184.5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225.3 (217.0)</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9 (9)</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Internazionale</w:t>
            </w:r>
            <w:proofErr w:type="spellEnd"/>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184.1</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224.8 (196.5)</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10 (8)</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Juventus</w:t>
            </w:r>
            <w:proofErr w:type="spellEnd"/>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167.8</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205.0 (203.2)</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11 (20)</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Manchester City</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125.1</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152.8 (102.2)</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12 (15)</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Tottenham Hotspur</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119.8</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146.3 (132.7)</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13 (11)</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Hamburger SV</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119.7</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146.2 (146.7)</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14 (13)</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Olympique</w:t>
            </w:r>
            <w:proofErr w:type="spellEnd"/>
            <w:r w:rsidRPr="00192DC8">
              <w:rPr>
                <w:rFonts w:ascii="Calibri" w:hAnsi="Calibri"/>
                <w:color w:val="000000"/>
                <w:sz w:val="22"/>
                <w:szCs w:val="22"/>
              </w:rPr>
              <w:t xml:space="preserve"> Lyonnais</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119.6</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146.1 (139.6)</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15 (14)</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Olympique</w:t>
            </w:r>
            <w:proofErr w:type="spellEnd"/>
            <w:r w:rsidRPr="00192DC8">
              <w:rPr>
                <w:rFonts w:ascii="Calibri" w:hAnsi="Calibri"/>
                <w:color w:val="000000"/>
                <w:sz w:val="22"/>
                <w:szCs w:val="22"/>
              </w:rPr>
              <w:t xml:space="preserve"> de Marseille</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115.5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141.1 (133.2)</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16 (16)</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Schalke</w:t>
            </w:r>
            <w:proofErr w:type="spellEnd"/>
            <w:r w:rsidRPr="00192DC8">
              <w:rPr>
                <w:rFonts w:ascii="Calibri" w:hAnsi="Calibri"/>
                <w:color w:val="000000"/>
                <w:sz w:val="22"/>
                <w:szCs w:val="22"/>
              </w:rPr>
              <w:t xml:space="preserve"> 04</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114.5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139.8 (124.5)</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17 (18)</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Atlético</w:t>
            </w:r>
            <w:proofErr w:type="spellEnd"/>
            <w:r w:rsidRPr="00192DC8">
              <w:rPr>
                <w:rFonts w:ascii="Calibri" w:hAnsi="Calibri"/>
                <w:color w:val="000000"/>
                <w:sz w:val="22"/>
                <w:szCs w:val="22"/>
              </w:rPr>
              <w:t xml:space="preserve"> de Madrid</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101.9</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124.5 (105.0)</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18 (12)</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AS Roma</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100.5</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122.7 (146.4)</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19 (n/a)</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proofErr w:type="spellStart"/>
            <w:r w:rsidRPr="00192DC8">
              <w:rPr>
                <w:rFonts w:ascii="Calibri" w:hAnsi="Calibri"/>
                <w:color w:val="000000"/>
                <w:sz w:val="22"/>
                <w:szCs w:val="22"/>
              </w:rPr>
              <w:t>Vfb</w:t>
            </w:r>
            <w:proofErr w:type="spellEnd"/>
            <w:r w:rsidRPr="00192DC8">
              <w:rPr>
                <w:rFonts w:ascii="Calibri" w:hAnsi="Calibri"/>
                <w:color w:val="000000"/>
                <w:sz w:val="22"/>
                <w:szCs w:val="22"/>
              </w:rPr>
              <w:t xml:space="preserve"> Stuttgart</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94.0</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95010D">
            <w:pPr>
              <w:jc w:val="center"/>
              <w:rPr>
                <w:rFonts w:ascii="Calibri" w:hAnsi="Calibri"/>
                <w:color w:val="000000"/>
                <w:sz w:val="22"/>
                <w:szCs w:val="22"/>
              </w:rPr>
            </w:pPr>
            <w:r w:rsidRPr="00192DC8">
              <w:rPr>
                <w:rFonts w:ascii="Calibri" w:hAnsi="Calibri"/>
                <w:color w:val="000000"/>
                <w:sz w:val="22"/>
                <w:szCs w:val="22"/>
              </w:rPr>
              <w:t>114.8 (</w:t>
            </w:r>
            <w:r w:rsidR="0095010D">
              <w:rPr>
                <w:rFonts w:ascii="Calibri" w:hAnsi="Calibri"/>
                <w:color w:val="000000"/>
                <w:sz w:val="22"/>
                <w:szCs w:val="22"/>
              </w:rPr>
              <w:t>99.8</w:t>
            </w:r>
            <w:r w:rsidRPr="00192DC8">
              <w:rPr>
                <w:rFonts w:ascii="Calibri" w:hAnsi="Calibri"/>
                <w:color w:val="000000"/>
                <w:sz w:val="22"/>
                <w:szCs w:val="22"/>
              </w:rPr>
              <w:t>)</w:t>
            </w:r>
          </w:p>
        </w:tc>
      </w:tr>
      <w:tr w:rsidR="00192DC8" w:rsidRPr="00192DC8" w:rsidTr="00842580">
        <w:trPr>
          <w:trHeight w:val="300"/>
          <w:jc w:val="center"/>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20 (n/a)</w:t>
            </w:r>
          </w:p>
        </w:tc>
        <w:tc>
          <w:tcPr>
            <w:tcW w:w="2600"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rPr>
                <w:rFonts w:ascii="Calibri" w:hAnsi="Calibri"/>
                <w:color w:val="000000"/>
                <w:sz w:val="22"/>
                <w:szCs w:val="22"/>
              </w:rPr>
            </w:pPr>
            <w:r w:rsidRPr="00192DC8">
              <w:rPr>
                <w:rFonts w:ascii="Calibri" w:hAnsi="Calibri"/>
                <w:color w:val="000000"/>
                <w:sz w:val="22"/>
                <w:szCs w:val="22"/>
              </w:rPr>
              <w:t>Aston Villa</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192DC8">
            <w:pPr>
              <w:jc w:val="center"/>
              <w:rPr>
                <w:rFonts w:ascii="Calibri" w:hAnsi="Calibri"/>
                <w:color w:val="000000"/>
                <w:sz w:val="22"/>
                <w:szCs w:val="22"/>
              </w:rPr>
            </w:pPr>
            <w:r w:rsidRPr="00192DC8">
              <w:rPr>
                <w:rFonts w:ascii="Calibri" w:hAnsi="Calibri"/>
                <w:color w:val="000000"/>
                <w:sz w:val="22"/>
                <w:szCs w:val="22"/>
              </w:rPr>
              <w:t> </w:t>
            </w:r>
            <w:r w:rsidR="009625EE">
              <w:rPr>
                <w:rFonts w:ascii="Calibri" w:hAnsi="Calibri"/>
                <w:color w:val="000000"/>
                <w:sz w:val="22"/>
                <w:szCs w:val="22"/>
              </w:rPr>
              <w:t>89.6</w:t>
            </w:r>
          </w:p>
        </w:tc>
        <w:tc>
          <w:tcPr>
            <w:tcW w:w="2381" w:type="dxa"/>
            <w:tcBorders>
              <w:top w:val="nil"/>
              <w:left w:val="nil"/>
              <w:bottom w:val="single" w:sz="4" w:space="0" w:color="auto"/>
              <w:right w:val="single" w:sz="4" w:space="0" w:color="auto"/>
            </w:tcBorders>
            <w:shd w:val="clear" w:color="auto" w:fill="auto"/>
            <w:vAlign w:val="bottom"/>
            <w:hideMark/>
          </w:tcPr>
          <w:p w:rsidR="00192DC8" w:rsidRPr="00192DC8" w:rsidRDefault="00192DC8" w:rsidP="0095010D">
            <w:pPr>
              <w:jc w:val="center"/>
              <w:rPr>
                <w:rFonts w:ascii="Calibri" w:hAnsi="Calibri"/>
                <w:color w:val="000000"/>
                <w:sz w:val="22"/>
                <w:szCs w:val="22"/>
              </w:rPr>
            </w:pPr>
            <w:r w:rsidRPr="00192DC8">
              <w:rPr>
                <w:rFonts w:ascii="Calibri" w:hAnsi="Calibri"/>
                <w:color w:val="000000"/>
                <w:sz w:val="22"/>
                <w:szCs w:val="22"/>
              </w:rPr>
              <w:t>109.4 (</w:t>
            </w:r>
            <w:r w:rsidR="0095010D">
              <w:rPr>
                <w:rFonts w:ascii="Calibri" w:hAnsi="Calibri"/>
                <w:color w:val="000000"/>
                <w:sz w:val="22"/>
                <w:szCs w:val="22"/>
              </w:rPr>
              <w:t>9</w:t>
            </w:r>
            <w:r w:rsidR="0022318D">
              <w:rPr>
                <w:rFonts w:ascii="Calibri" w:hAnsi="Calibri"/>
                <w:color w:val="000000"/>
                <w:sz w:val="22"/>
                <w:szCs w:val="22"/>
              </w:rPr>
              <w:t>9</w:t>
            </w:r>
            <w:r w:rsidR="0095010D">
              <w:rPr>
                <w:rFonts w:ascii="Calibri" w:hAnsi="Calibri"/>
                <w:color w:val="000000"/>
                <w:sz w:val="22"/>
                <w:szCs w:val="22"/>
              </w:rPr>
              <w:t>.</w:t>
            </w:r>
            <w:r w:rsidR="0022318D">
              <w:rPr>
                <w:rFonts w:ascii="Calibri" w:hAnsi="Calibri"/>
                <w:color w:val="000000"/>
                <w:sz w:val="22"/>
                <w:szCs w:val="22"/>
              </w:rPr>
              <w:t>0</w:t>
            </w:r>
            <w:r w:rsidRPr="00192DC8">
              <w:rPr>
                <w:rFonts w:ascii="Calibri" w:hAnsi="Calibri"/>
                <w:color w:val="000000"/>
                <w:sz w:val="22"/>
                <w:szCs w:val="22"/>
              </w:rPr>
              <w:t>)</w:t>
            </w:r>
          </w:p>
        </w:tc>
      </w:tr>
    </w:tbl>
    <w:p w:rsidR="00CF3AC9" w:rsidRPr="00842580" w:rsidRDefault="00842580" w:rsidP="00CF3AC9">
      <w:pPr>
        <w:tabs>
          <w:tab w:val="left" w:pos="1260"/>
          <w:tab w:val="left" w:pos="3600"/>
          <w:tab w:val="left" w:pos="8100"/>
        </w:tabs>
        <w:jc w:val="both"/>
        <w:rPr>
          <w:rFonts w:ascii="Verdana" w:hAnsi="Verdana"/>
          <w:b/>
          <w:color w:val="000000"/>
          <w:sz w:val="20"/>
          <w:szCs w:val="20"/>
        </w:rPr>
      </w:pPr>
      <w:r w:rsidRPr="00842580">
        <w:rPr>
          <w:rFonts w:ascii="Verdana" w:hAnsi="Verdana" w:cs="Arial"/>
          <w:sz w:val="20"/>
          <w:szCs w:val="20"/>
        </w:rPr>
        <w:t>Source: Deloitte Football Money League 201</w:t>
      </w:r>
      <w:r>
        <w:rPr>
          <w:rFonts w:ascii="Verdana" w:hAnsi="Verdana" w:cs="Arial"/>
          <w:sz w:val="20"/>
          <w:szCs w:val="20"/>
        </w:rPr>
        <w:t>1</w:t>
      </w:r>
    </w:p>
    <w:p w:rsidR="00CF3AC9" w:rsidRPr="00842580" w:rsidRDefault="00CF3AC9" w:rsidP="00CF3AC9">
      <w:pPr>
        <w:jc w:val="both"/>
        <w:rPr>
          <w:rFonts w:ascii="Verdana" w:hAnsi="Verdana"/>
          <w:b/>
          <w:bCs/>
          <w:sz w:val="20"/>
          <w:szCs w:val="20"/>
        </w:rPr>
      </w:pPr>
    </w:p>
    <w:p w:rsidR="00842580" w:rsidRPr="00842580" w:rsidRDefault="00842580" w:rsidP="00842580">
      <w:pPr>
        <w:jc w:val="both"/>
        <w:rPr>
          <w:rFonts w:ascii="Verdana" w:hAnsi="Verdana"/>
          <w:sz w:val="20"/>
          <w:szCs w:val="20"/>
        </w:rPr>
      </w:pPr>
      <w:r w:rsidRPr="00842580">
        <w:rPr>
          <w:rFonts w:ascii="Verdana" w:hAnsi="Verdana"/>
          <w:sz w:val="20"/>
          <w:szCs w:val="20"/>
        </w:rPr>
        <w:t xml:space="preserve">This press release is based on the </w:t>
      </w:r>
      <w:r w:rsidRPr="00842580">
        <w:rPr>
          <w:rFonts w:ascii="Verdana" w:hAnsi="Verdana"/>
          <w:i/>
          <w:sz w:val="20"/>
          <w:szCs w:val="20"/>
        </w:rPr>
        <w:t>Deloitte Football Money League</w:t>
      </w:r>
      <w:r w:rsidRPr="00842580">
        <w:rPr>
          <w:rFonts w:ascii="Verdana" w:hAnsi="Verdana"/>
          <w:sz w:val="20"/>
          <w:szCs w:val="20"/>
        </w:rPr>
        <w:t xml:space="preserve"> published in </w:t>
      </w:r>
      <w:r>
        <w:rPr>
          <w:rFonts w:ascii="Verdana" w:hAnsi="Verdana"/>
          <w:sz w:val="20"/>
          <w:szCs w:val="20"/>
        </w:rPr>
        <w:t>February 2011</w:t>
      </w:r>
      <w:r w:rsidRPr="00842580">
        <w:rPr>
          <w:rFonts w:ascii="Verdana" w:hAnsi="Verdana"/>
          <w:sz w:val="20"/>
          <w:szCs w:val="20"/>
        </w:rPr>
        <w:t>.  As explained more fully in the publication, the revenue figures are extracted from each club’s annual financial statements, or other direct sources, for the 200</w:t>
      </w:r>
      <w:r>
        <w:rPr>
          <w:rFonts w:ascii="Verdana" w:hAnsi="Verdana"/>
          <w:sz w:val="20"/>
          <w:szCs w:val="20"/>
        </w:rPr>
        <w:t>9</w:t>
      </w:r>
      <w:r w:rsidRPr="00842580">
        <w:rPr>
          <w:rFonts w:ascii="Verdana" w:hAnsi="Verdana"/>
          <w:sz w:val="20"/>
          <w:szCs w:val="20"/>
        </w:rPr>
        <w:t>/</w:t>
      </w:r>
      <w:r>
        <w:rPr>
          <w:rFonts w:ascii="Verdana" w:hAnsi="Verdana"/>
          <w:sz w:val="20"/>
          <w:szCs w:val="20"/>
        </w:rPr>
        <w:t>1</w:t>
      </w:r>
      <w:r w:rsidRPr="00842580">
        <w:rPr>
          <w:rFonts w:ascii="Verdana" w:hAnsi="Verdana"/>
          <w:sz w:val="20"/>
          <w:szCs w:val="20"/>
        </w:rPr>
        <w:t xml:space="preserve">0 season. </w:t>
      </w:r>
    </w:p>
    <w:p w:rsidR="00842580" w:rsidRPr="00842580" w:rsidRDefault="00842580" w:rsidP="00842580">
      <w:pPr>
        <w:jc w:val="both"/>
        <w:rPr>
          <w:rFonts w:ascii="Verdana" w:hAnsi="Verdana"/>
          <w:sz w:val="20"/>
          <w:szCs w:val="20"/>
        </w:rPr>
      </w:pPr>
    </w:p>
    <w:p w:rsidR="00842580" w:rsidRPr="00842580" w:rsidRDefault="00842580" w:rsidP="00842580">
      <w:pPr>
        <w:jc w:val="both"/>
        <w:rPr>
          <w:rFonts w:ascii="Verdana" w:hAnsi="Verdana" w:cs="Arial"/>
          <w:sz w:val="20"/>
          <w:szCs w:val="20"/>
        </w:rPr>
      </w:pPr>
      <w:r w:rsidRPr="00842580">
        <w:rPr>
          <w:rFonts w:ascii="Verdana" w:hAnsi="Verdana" w:cs="Arial"/>
          <w:sz w:val="20"/>
          <w:szCs w:val="20"/>
        </w:rPr>
        <w:t>The two clubs that have dropped out of the Money League for 200</w:t>
      </w:r>
      <w:r>
        <w:rPr>
          <w:rFonts w:ascii="Verdana" w:hAnsi="Verdana" w:cs="Arial"/>
          <w:sz w:val="20"/>
          <w:szCs w:val="20"/>
        </w:rPr>
        <w:t>9</w:t>
      </w:r>
      <w:r w:rsidRPr="00842580">
        <w:rPr>
          <w:rFonts w:ascii="Verdana" w:hAnsi="Verdana" w:cs="Arial"/>
          <w:sz w:val="20"/>
          <w:szCs w:val="20"/>
        </w:rPr>
        <w:t>/</w:t>
      </w:r>
      <w:r>
        <w:rPr>
          <w:rFonts w:ascii="Verdana" w:hAnsi="Verdana" w:cs="Arial"/>
          <w:sz w:val="20"/>
          <w:szCs w:val="20"/>
        </w:rPr>
        <w:t>10</w:t>
      </w:r>
      <w:r w:rsidRPr="00842580">
        <w:rPr>
          <w:rFonts w:ascii="Verdana" w:hAnsi="Verdana" w:cs="Arial"/>
          <w:sz w:val="20"/>
          <w:szCs w:val="20"/>
        </w:rPr>
        <w:t xml:space="preserve"> (compared to the top 20 clubs based on 200</w:t>
      </w:r>
      <w:r>
        <w:rPr>
          <w:rFonts w:ascii="Verdana" w:hAnsi="Verdana" w:cs="Arial"/>
          <w:sz w:val="20"/>
          <w:szCs w:val="20"/>
        </w:rPr>
        <w:t>8</w:t>
      </w:r>
      <w:r w:rsidRPr="00842580">
        <w:rPr>
          <w:rFonts w:ascii="Verdana" w:hAnsi="Verdana" w:cs="Arial"/>
          <w:sz w:val="20"/>
          <w:szCs w:val="20"/>
        </w:rPr>
        <w:t>/0</w:t>
      </w:r>
      <w:r>
        <w:rPr>
          <w:rFonts w:ascii="Verdana" w:hAnsi="Verdana" w:cs="Arial"/>
          <w:sz w:val="20"/>
          <w:szCs w:val="20"/>
        </w:rPr>
        <w:t>9</w:t>
      </w:r>
      <w:r w:rsidRPr="00842580">
        <w:rPr>
          <w:rFonts w:ascii="Verdana" w:hAnsi="Verdana" w:cs="Arial"/>
          <w:sz w:val="20"/>
          <w:szCs w:val="20"/>
        </w:rPr>
        <w:t xml:space="preserve"> revenue) are </w:t>
      </w:r>
      <w:proofErr w:type="spellStart"/>
      <w:r>
        <w:rPr>
          <w:rFonts w:ascii="Verdana" w:hAnsi="Verdana" w:cs="Arial"/>
          <w:sz w:val="20"/>
          <w:szCs w:val="20"/>
        </w:rPr>
        <w:t>Werder</w:t>
      </w:r>
      <w:proofErr w:type="spellEnd"/>
      <w:r>
        <w:rPr>
          <w:rFonts w:ascii="Verdana" w:hAnsi="Verdana" w:cs="Arial"/>
          <w:sz w:val="20"/>
          <w:szCs w:val="20"/>
        </w:rPr>
        <w:t xml:space="preserve"> Bremen and </w:t>
      </w:r>
      <w:proofErr w:type="spellStart"/>
      <w:r>
        <w:rPr>
          <w:rFonts w:ascii="Verdana" w:hAnsi="Verdana" w:cs="Arial"/>
          <w:sz w:val="20"/>
          <w:szCs w:val="20"/>
        </w:rPr>
        <w:t>Borussia</w:t>
      </w:r>
      <w:proofErr w:type="spellEnd"/>
      <w:r>
        <w:rPr>
          <w:rFonts w:ascii="Verdana" w:hAnsi="Verdana" w:cs="Arial"/>
          <w:sz w:val="20"/>
          <w:szCs w:val="20"/>
        </w:rPr>
        <w:t xml:space="preserve"> Dortmund</w:t>
      </w:r>
      <w:r w:rsidRPr="00842580">
        <w:rPr>
          <w:rFonts w:ascii="Verdana" w:hAnsi="Verdana" w:cs="Arial"/>
          <w:sz w:val="20"/>
          <w:szCs w:val="20"/>
        </w:rPr>
        <w:t>.</w:t>
      </w:r>
    </w:p>
    <w:p w:rsidR="00842580" w:rsidRPr="00842580" w:rsidRDefault="00842580" w:rsidP="00842580">
      <w:pPr>
        <w:jc w:val="both"/>
        <w:rPr>
          <w:rFonts w:ascii="Verdana" w:hAnsi="Verdana"/>
          <w:color w:val="FF0000"/>
          <w:sz w:val="20"/>
          <w:szCs w:val="20"/>
        </w:rPr>
      </w:pPr>
    </w:p>
    <w:p w:rsidR="00842580" w:rsidRPr="00842580" w:rsidRDefault="00842580" w:rsidP="00842580">
      <w:pPr>
        <w:jc w:val="both"/>
        <w:rPr>
          <w:rFonts w:ascii="Verdana" w:hAnsi="Verdana"/>
          <w:sz w:val="20"/>
          <w:szCs w:val="20"/>
        </w:rPr>
      </w:pPr>
      <w:r w:rsidRPr="00842580">
        <w:rPr>
          <w:rFonts w:ascii="Verdana" w:hAnsi="Verdana"/>
          <w:sz w:val="20"/>
          <w:szCs w:val="20"/>
        </w:rPr>
        <w:t xml:space="preserve">There are many ways of examining the relative size, wealth or value of football clubs.  For the Money League, revenue has been used as the most easily available and comparable measure of financial performance.  </w:t>
      </w:r>
    </w:p>
    <w:p w:rsidR="00842580" w:rsidRPr="00842580" w:rsidRDefault="00842580" w:rsidP="00842580">
      <w:pPr>
        <w:jc w:val="both"/>
        <w:rPr>
          <w:rFonts w:ascii="Verdana" w:hAnsi="Verdana"/>
          <w:sz w:val="20"/>
          <w:szCs w:val="20"/>
        </w:rPr>
      </w:pPr>
    </w:p>
    <w:p w:rsidR="00842580" w:rsidRPr="00842580" w:rsidRDefault="00842580" w:rsidP="00842580">
      <w:pPr>
        <w:jc w:val="both"/>
        <w:rPr>
          <w:rFonts w:ascii="Verdana" w:hAnsi="Verdana" w:cs="Arial"/>
          <w:sz w:val="20"/>
          <w:szCs w:val="20"/>
        </w:rPr>
      </w:pPr>
      <w:r w:rsidRPr="00842580">
        <w:rPr>
          <w:rFonts w:ascii="Verdana" w:hAnsi="Verdana"/>
          <w:sz w:val="20"/>
          <w:szCs w:val="20"/>
        </w:rPr>
        <w:t xml:space="preserve">Revenue excludes player transfer </w:t>
      </w:r>
      <w:proofErr w:type="gramStart"/>
      <w:r w:rsidRPr="00842580">
        <w:rPr>
          <w:rFonts w:ascii="Verdana" w:hAnsi="Verdana"/>
          <w:sz w:val="20"/>
          <w:szCs w:val="20"/>
        </w:rPr>
        <w:t>fees,</w:t>
      </w:r>
      <w:proofErr w:type="gramEnd"/>
      <w:r w:rsidRPr="00842580">
        <w:rPr>
          <w:rFonts w:ascii="Verdana" w:hAnsi="Verdana"/>
          <w:sz w:val="20"/>
          <w:szCs w:val="20"/>
        </w:rPr>
        <w:t xml:space="preserve"> value added tax and other sales related taxes.  In a few cases adjustments have been made to total revenue figures to enable, in our view, a more meaningful comparison of the football business on a club by club basis.  For instance, where information was available to us, significant non-football activities or capital transactions have been excluded from revenue.  Some revenue differences between clubs, or over time, will arise due to different commercial arrangements and how the transactions are recorded in clubs’ financial statements; or due to different ways in which accounting practice is applied such that the same type of transaction might be recorded in different ways.</w:t>
      </w:r>
    </w:p>
    <w:p w:rsidR="00842580" w:rsidRPr="00842580" w:rsidRDefault="00842580" w:rsidP="00842580">
      <w:pPr>
        <w:jc w:val="both"/>
        <w:rPr>
          <w:rFonts w:ascii="Verdana" w:hAnsi="Verdana"/>
          <w:sz w:val="20"/>
          <w:szCs w:val="20"/>
        </w:rPr>
      </w:pPr>
    </w:p>
    <w:p w:rsidR="00842580" w:rsidRPr="00842580" w:rsidRDefault="00842580" w:rsidP="00842580">
      <w:pPr>
        <w:jc w:val="both"/>
        <w:rPr>
          <w:rFonts w:ascii="Verdana" w:hAnsi="Verdana"/>
          <w:sz w:val="20"/>
          <w:szCs w:val="20"/>
        </w:rPr>
      </w:pPr>
      <w:r w:rsidRPr="00842580">
        <w:rPr>
          <w:rFonts w:ascii="Verdana" w:hAnsi="Verdana"/>
          <w:sz w:val="20"/>
          <w:szCs w:val="20"/>
        </w:rPr>
        <w:t>We have not performed any verification work or audited any of the information contained in the clubs’ financial statements or other sources for the purpose of the publication.</w:t>
      </w:r>
    </w:p>
    <w:p w:rsidR="00842580" w:rsidRPr="00842580" w:rsidRDefault="00842580" w:rsidP="00842580">
      <w:pPr>
        <w:jc w:val="both"/>
        <w:rPr>
          <w:rFonts w:ascii="Verdana" w:hAnsi="Verdana"/>
          <w:sz w:val="20"/>
          <w:szCs w:val="20"/>
        </w:rPr>
      </w:pPr>
    </w:p>
    <w:p w:rsidR="00842580" w:rsidRPr="00842580" w:rsidRDefault="00842580" w:rsidP="00842580">
      <w:pPr>
        <w:jc w:val="both"/>
        <w:rPr>
          <w:rFonts w:ascii="Verdana" w:hAnsi="Verdana"/>
          <w:i/>
          <w:sz w:val="20"/>
          <w:szCs w:val="20"/>
        </w:rPr>
      </w:pPr>
      <w:r w:rsidRPr="00117351">
        <w:rPr>
          <w:rFonts w:ascii="Verdana" w:hAnsi="Verdana"/>
          <w:sz w:val="20"/>
          <w:szCs w:val="20"/>
        </w:rPr>
        <w:lastRenderedPageBreak/>
        <w:t>For the purpose of the international comparisons, all figures for the 2009</w:t>
      </w:r>
      <w:r w:rsidR="009625EE" w:rsidRPr="00117351">
        <w:rPr>
          <w:rFonts w:ascii="Verdana" w:hAnsi="Verdana"/>
          <w:sz w:val="20"/>
          <w:szCs w:val="20"/>
        </w:rPr>
        <w:t>/10</w:t>
      </w:r>
      <w:r w:rsidRPr="00117351">
        <w:rPr>
          <w:rFonts w:ascii="Verdana" w:hAnsi="Verdana"/>
          <w:sz w:val="20"/>
          <w:szCs w:val="20"/>
        </w:rPr>
        <w:t xml:space="preserve"> season have</w:t>
      </w:r>
      <w:r w:rsidR="009625EE" w:rsidRPr="00117351">
        <w:rPr>
          <w:rFonts w:ascii="Verdana" w:hAnsi="Verdana"/>
          <w:sz w:val="20"/>
          <w:szCs w:val="20"/>
        </w:rPr>
        <w:t xml:space="preserve"> been translated at 30 June 2010</w:t>
      </w:r>
      <w:r w:rsidRPr="00117351">
        <w:rPr>
          <w:rFonts w:ascii="Verdana" w:hAnsi="Verdana"/>
          <w:sz w:val="20"/>
          <w:szCs w:val="20"/>
        </w:rPr>
        <w:t xml:space="preserve"> exchange rates (£1 = €1.</w:t>
      </w:r>
      <w:r w:rsidR="009625EE" w:rsidRPr="00117351">
        <w:rPr>
          <w:rFonts w:ascii="Verdana" w:hAnsi="Verdana"/>
          <w:sz w:val="20"/>
          <w:szCs w:val="20"/>
        </w:rPr>
        <w:t>2214</w:t>
      </w:r>
      <w:r w:rsidRPr="00117351">
        <w:rPr>
          <w:rFonts w:ascii="Verdana" w:hAnsi="Verdana"/>
          <w:sz w:val="20"/>
          <w:szCs w:val="20"/>
        </w:rPr>
        <w:t xml:space="preserve">).  </w:t>
      </w:r>
      <w:r w:rsidRPr="0095010D">
        <w:rPr>
          <w:rFonts w:ascii="Verdana" w:hAnsi="Verdana"/>
          <w:sz w:val="20"/>
          <w:szCs w:val="20"/>
        </w:rPr>
        <w:t>Comparative figures have been extracted from previous editions of the Money League</w:t>
      </w:r>
      <w:r w:rsidRPr="0095010D">
        <w:rPr>
          <w:rFonts w:ascii="Verdana" w:hAnsi="Verdana"/>
          <w:i/>
          <w:sz w:val="20"/>
          <w:szCs w:val="20"/>
        </w:rPr>
        <w:t>.</w:t>
      </w:r>
    </w:p>
    <w:p w:rsidR="00842580" w:rsidRPr="00842580" w:rsidRDefault="00842580" w:rsidP="00842580">
      <w:pPr>
        <w:jc w:val="both"/>
        <w:rPr>
          <w:rFonts w:ascii="Verdana" w:hAnsi="Verdana"/>
          <w:sz w:val="20"/>
          <w:szCs w:val="20"/>
        </w:rPr>
      </w:pPr>
    </w:p>
    <w:p w:rsidR="00842580" w:rsidRPr="00842580" w:rsidRDefault="00842580" w:rsidP="00842580">
      <w:pPr>
        <w:jc w:val="both"/>
        <w:rPr>
          <w:rFonts w:ascii="Verdana" w:hAnsi="Verdana" w:cs="Arial"/>
          <w:sz w:val="20"/>
          <w:szCs w:val="20"/>
        </w:rPr>
      </w:pPr>
      <w:r w:rsidRPr="00842580">
        <w:rPr>
          <w:rFonts w:ascii="Verdana" w:hAnsi="Verdana" w:cs="Arial"/>
          <w:sz w:val="20"/>
          <w:szCs w:val="20"/>
        </w:rPr>
        <w:t xml:space="preserve">Later this year the </w:t>
      </w:r>
      <w:r w:rsidRPr="00842580">
        <w:rPr>
          <w:rFonts w:ascii="Verdana" w:hAnsi="Verdana" w:cs="Arial"/>
          <w:i/>
          <w:sz w:val="20"/>
          <w:szCs w:val="20"/>
        </w:rPr>
        <w:t>Deloitte Annual Review of Football Finance</w:t>
      </w:r>
      <w:r w:rsidRPr="00842580">
        <w:rPr>
          <w:rFonts w:ascii="Verdana" w:hAnsi="Verdana" w:cs="Arial"/>
          <w:sz w:val="20"/>
          <w:szCs w:val="20"/>
        </w:rPr>
        <w:t xml:space="preserve"> will be published, providing a more detailed analysis of the English and European football finance landscape.</w:t>
      </w:r>
    </w:p>
    <w:p w:rsidR="00842580" w:rsidRPr="00CF3AC9" w:rsidRDefault="00842580" w:rsidP="00CF3AC9">
      <w:pPr>
        <w:jc w:val="both"/>
        <w:rPr>
          <w:rFonts w:ascii="Verdana" w:hAnsi="Verdana"/>
          <w:b/>
          <w:bCs/>
          <w:sz w:val="20"/>
          <w:szCs w:val="20"/>
        </w:rPr>
      </w:pPr>
    </w:p>
    <w:p w:rsidR="00CF3AC9" w:rsidRPr="00CF3AC9" w:rsidRDefault="00CF3AC9" w:rsidP="00CF3AC9">
      <w:pPr>
        <w:jc w:val="both"/>
        <w:rPr>
          <w:rFonts w:ascii="Verdana" w:hAnsi="Verdana"/>
          <w:b/>
          <w:bCs/>
          <w:sz w:val="20"/>
          <w:szCs w:val="20"/>
        </w:rPr>
      </w:pPr>
      <w:r w:rsidRPr="00CF3AC9">
        <w:rPr>
          <w:rFonts w:ascii="Verdana" w:hAnsi="Verdana"/>
          <w:b/>
          <w:bCs/>
          <w:sz w:val="20"/>
          <w:szCs w:val="20"/>
        </w:rPr>
        <w:t>About the Sports Business Group at Deloitte</w:t>
      </w:r>
    </w:p>
    <w:p w:rsidR="00CF3AC9" w:rsidRPr="00CF3AC9" w:rsidRDefault="00CF3AC9" w:rsidP="00CF3AC9">
      <w:pPr>
        <w:jc w:val="both"/>
        <w:rPr>
          <w:rFonts w:ascii="Verdana" w:hAnsi="Verdana"/>
          <w:sz w:val="20"/>
          <w:szCs w:val="20"/>
        </w:rPr>
      </w:pPr>
      <w:r w:rsidRPr="00CF3AC9">
        <w:rPr>
          <w:rFonts w:ascii="Verdana" w:hAnsi="Verdana"/>
          <w:sz w:val="20"/>
          <w:szCs w:val="20"/>
        </w:rPr>
        <w:t>Over the last 15 years Deloitte has developed a unique focus on the business of sport. Our specialist Sports Business Group offers a multi-disciplined expert service with dedicated people and skills capable of adding significant value to the business of sport. Whether it is benchmarking or strategic business reviews, operational turnarounds, revenue enhancement strategies or stadium/venue development plans, business planning, market and demand analysis, acquisitions, due diligence, expert witness, audits or tax planning; we have worked with more clubs, leagues, governing bodies, stadia developers, event organisers, commercial partners, financiers and investors than any other adviser.</w:t>
      </w:r>
    </w:p>
    <w:p w:rsidR="00CF3AC9" w:rsidRPr="00CF3AC9" w:rsidRDefault="00CF3AC9" w:rsidP="00CF3AC9">
      <w:pPr>
        <w:jc w:val="both"/>
        <w:rPr>
          <w:rFonts w:ascii="Verdana" w:hAnsi="Verdana"/>
          <w:sz w:val="20"/>
          <w:szCs w:val="20"/>
        </w:rPr>
      </w:pPr>
    </w:p>
    <w:p w:rsidR="00CF3AC9" w:rsidRPr="00CF3AC9" w:rsidRDefault="00CF3AC9" w:rsidP="00CF3AC9">
      <w:pPr>
        <w:jc w:val="both"/>
        <w:rPr>
          <w:rFonts w:ascii="Verdana" w:hAnsi="Verdana"/>
          <w:sz w:val="20"/>
          <w:szCs w:val="20"/>
        </w:rPr>
      </w:pPr>
      <w:r w:rsidRPr="00CF3AC9">
        <w:rPr>
          <w:rFonts w:ascii="Verdana" w:hAnsi="Verdana"/>
          <w:sz w:val="20"/>
          <w:szCs w:val="20"/>
        </w:rPr>
        <w:t xml:space="preserve">For further information on our services you can access our website at </w:t>
      </w:r>
      <w:hyperlink r:id="rId12" w:history="1">
        <w:r w:rsidRPr="00CF3AC9">
          <w:rPr>
            <w:rFonts w:ascii="Verdana" w:hAnsi="Verdana" w:cs="Verdana"/>
            <w:color w:val="0000FF"/>
            <w:sz w:val="20"/>
            <w:szCs w:val="20"/>
            <w:u w:val="single"/>
          </w:rPr>
          <w:t>www.deloitte.co.uk/sportsbusinessgroup</w:t>
        </w:r>
      </w:hyperlink>
    </w:p>
    <w:p w:rsidR="00CF3AC9" w:rsidRPr="00CF3AC9" w:rsidRDefault="00CF3AC9" w:rsidP="00CF3AC9">
      <w:pPr>
        <w:jc w:val="both"/>
        <w:rPr>
          <w:rFonts w:ascii="Verdana" w:hAnsi="Verdana" w:cs="Arial"/>
          <w:sz w:val="20"/>
          <w:szCs w:val="20"/>
        </w:rPr>
      </w:pPr>
    </w:p>
    <w:p w:rsidR="00CF3AC9" w:rsidRPr="00CF3AC9" w:rsidRDefault="00CF3AC9" w:rsidP="00CF3AC9">
      <w:pPr>
        <w:jc w:val="both"/>
        <w:rPr>
          <w:rFonts w:ascii="Verdana" w:hAnsi="Verdana"/>
          <w:b/>
          <w:sz w:val="20"/>
          <w:szCs w:val="20"/>
        </w:rPr>
      </w:pPr>
      <w:r w:rsidRPr="00CF3AC9">
        <w:rPr>
          <w:rFonts w:ascii="Verdana" w:hAnsi="Verdana"/>
          <w:b/>
          <w:sz w:val="20"/>
          <w:szCs w:val="20"/>
        </w:rPr>
        <w:t>About Deloitte</w:t>
      </w:r>
    </w:p>
    <w:p w:rsidR="009502AE" w:rsidRPr="00FA1949" w:rsidRDefault="009502AE" w:rsidP="009502AE">
      <w:pPr>
        <w:jc w:val="both"/>
        <w:rPr>
          <w:rFonts w:ascii="Verdana" w:hAnsi="Verdana"/>
          <w:sz w:val="20"/>
          <w:szCs w:val="20"/>
        </w:rPr>
      </w:pPr>
      <w:r w:rsidRPr="00FA1949">
        <w:rPr>
          <w:rFonts w:ascii="Verdana" w:hAnsi="Verdana"/>
          <w:sz w:val="20"/>
          <w:szCs w:val="20"/>
        </w:rPr>
        <w:t xml:space="preserve">In this press release references to Deloitte are references to Deloitte LLP, which </w:t>
      </w:r>
      <w:proofErr w:type="gramStart"/>
      <w:r w:rsidRPr="00FA1949">
        <w:rPr>
          <w:rFonts w:ascii="Verdana" w:hAnsi="Verdana"/>
          <w:sz w:val="20"/>
          <w:szCs w:val="20"/>
        </w:rPr>
        <w:t>is among the country's leading professional services firms</w:t>
      </w:r>
      <w:proofErr w:type="gramEnd"/>
      <w:r w:rsidRPr="00FA1949">
        <w:rPr>
          <w:rFonts w:ascii="Verdana" w:hAnsi="Verdana"/>
          <w:sz w:val="20"/>
          <w:szCs w:val="20"/>
        </w:rPr>
        <w:t>.</w:t>
      </w:r>
    </w:p>
    <w:p w:rsidR="009502AE" w:rsidRPr="00FA1949" w:rsidRDefault="009502AE" w:rsidP="009502AE">
      <w:pPr>
        <w:jc w:val="both"/>
        <w:rPr>
          <w:rFonts w:ascii="Verdana" w:hAnsi="Verdana"/>
          <w:sz w:val="20"/>
          <w:szCs w:val="20"/>
        </w:rPr>
      </w:pPr>
    </w:p>
    <w:p w:rsidR="009502AE" w:rsidRPr="00FA1949" w:rsidRDefault="009502AE" w:rsidP="009502AE">
      <w:pPr>
        <w:jc w:val="both"/>
        <w:rPr>
          <w:rFonts w:ascii="Verdana" w:hAnsi="Verdana"/>
          <w:sz w:val="20"/>
          <w:szCs w:val="20"/>
        </w:rPr>
      </w:pPr>
      <w:r w:rsidRPr="00FA1949">
        <w:rPr>
          <w:rFonts w:ascii="Verdana" w:hAnsi="Verdana"/>
          <w:sz w:val="20"/>
          <w:szCs w:val="20"/>
        </w:rPr>
        <w:t xml:space="preserve">Deloitte LLP is the United Kingdom member firm of Deloitte Touche Tohmatsu Limited (“DTTL”), a UK private company limited by guarantee, whose member firms are legally separate and independent entities. Please see </w:t>
      </w:r>
      <w:hyperlink r:id="rId13" w:tooltip="http://www.deloitte.co.uk/about" w:history="1">
        <w:r w:rsidRPr="00FA1949">
          <w:rPr>
            <w:rStyle w:val="Hyperlink"/>
            <w:rFonts w:ascii="Verdana" w:hAnsi="Verdana"/>
            <w:sz w:val="20"/>
            <w:szCs w:val="20"/>
          </w:rPr>
          <w:t>www.deloitte.co.uk/about</w:t>
        </w:r>
      </w:hyperlink>
      <w:r w:rsidRPr="00FA1949">
        <w:rPr>
          <w:rFonts w:ascii="Verdana" w:hAnsi="Verdana"/>
          <w:sz w:val="20"/>
          <w:szCs w:val="20"/>
        </w:rPr>
        <w:t xml:space="preserve"> for a detailed description of the legal structure of DTTL and its member firms.</w:t>
      </w:r>
    </w:p>
    <w:p w:rsidR="009502AE" w:rsidRPr="00FA1949" w:rsidRDefault="009502AE" w:rsidP="009502AE">
      <w:pPr>
        <w:jc w:val="both"/>
        <w:rPr>
          <w:rFonts w:ascii="Verdana" w:hAnsi="Verdana"/>
          <w:sz w:val="20"/>
          <w:szCs w:val="20"/>
        </w:rPr>
      </w:pPr>
    </w:p>
    <w:p w:rsidR="009502AE" w:rsidRPr="00FA1949" w:rsidRDefault="009502AE" w:rsidP="009502AE">
      <w:pPr>
        <w:jc w:val="both"/>
        <w:rPr>
          <w:rFonts w:ascii="Verdana" w:hAnsi="Verdana"/>
          <w:sz w:val="20"/>
          <w:szCs w:val="20"/>
        </w:rPr>
      </w:pPr>
      <w:r w:rsidRPr="00FA1949">
        <w:rPr>
          <w:rFonts w:ascii="Verdana" w:hAnsi="Verdana"/>
          <w:sz w:val="20"/>
          <w:szCs w:val="20"/>
        </w:rPr>
        <w:t>The information contained in this press release is correct at the time of going to press.</w:t>
      </w:r>
    </w:p>
    <w:p w:rsidR="009502AE" w:rsidRPr="00FA1949" w:rsidRDefault="009502AE" w:rsidP="009502AE">
      <w:pPr>
        <w:jc w:val="both"/>
        <w:rPr>
          <w:rFonts w:ascii="Verdana" w:hAnsi="Verdana"/>
          <w:sz w:val="20"/>
          <w:szCs w:val="20"/>
        </w:rPr>
      </w:pPr>
    </w:p>
    <w:p w:rsidR="009502AE" w:rsidRPr="00FA1949" w:rsidRDefault="009502AE" w:rsidP="009502AE">
      <w:pPr>
        <w:jc w:val="both"/>
        <w:rPr>
          <w:rFonts w:ascii="Verdana" w:hAnsi="Verdana"/>
          <w:sz w:val="20"/>
          <w:szCs w:val="20"/>
        </w:rPr>
      </w:pPr>
      <w:r w:rsidRPr="00FA1949">
        <w:rPr>
          <w:rFonts w:ascii="Verdana" w:hAnsi="Verdana"/>
          <w:sz w:val="20"/>
          <w:szCs w:val="20"/>
        </w:rPr>
        <w:t xml:space="preserve">For more information, please visit </w:t>
      </w:r>
      <w:hyperlink r:id="rId14" w:tooltip="http://www.deloitte.co.uk/" w:history="1">
        <w:r w:rsidRPr="00FA1949">
          <w:rPr>
            <w:rStyle w:val="Hyperlink"/>
            <w:rFonts w:ascii="Verdana" w:hAnsi="Verdana"/>
            <w:sz w:val="20"/>
            <w:szCs w:val="20"/>
          </w:rPr>
          <w:t>www.deloitte.co.uk</w:t>
        </w:r>
      </w:hyperlink>
      <w:r w:rsidRPr="00FA1949">
        <w:rPr>
          <w:rFonts w:ascii="Verdana" w:hAnsi="Verdana"/>
          <w:sz w:val="20"/>
          <w:szCs w:val="20"/>
        </w:rPr>
        <w:t>.</w:t>
      </w:r>
    </w:p>
    <w:p w:rsidR="009502AE" w:rsidRPr="00FA1949" w:rsidRDefault="009502AE" w:rsidP="009502AE">
      <w:pPr>
        <w:jc w:val="both"/>
        <w:rPr>
          <w:rFonts w:ascii="Verdana" w:hAnsi="Verdana"/>
          <w:sz w:val="20"/>
          <w:szCs w:val="20"/>
        </w:rPr>
      </w:pPr>
    </w:p>
    <w:p w:rsidR="009502AE" w:rsidRPr="00FA1949" w:rsidRDefault="009502AE" w:rsidP="009502AE">
      <w:pPr>
        <w:jc w:val="both"/>
        <w:rPr>
          <w:rFonts w:ascii="Verdana" w:hAnsi="Verdana"/>
          <w:b/>
          <w:sz w:val="20"/>
          <w:szCs w:val="20"/>
        </w:rPr>
      </w:pPr>
      <w:r w:rsidRPr="00FA1949">
        <w:rPr>
          <w:rFonts w:ascii="Verdana" w:hAnsi="Verdana"/>
          <w:b/>
          <w:sz w:val="20"/>
          <w:szCs w:val="20"/>
        </w:rPr>
        <w:t>Member of Deloitte Touche Tohmatsu Limited.</w:t>
      </w:r>
    </w:p>
    <w:p w:rsidR="00CB0E1C" w:rsidRPr="008E1E46" w:rsidRDefault="00CB0E1C" w:rsidP="00CF3AC9">
      <w:pPr>
        <w:tabs>
          <w:tab w:val="left" w:pos="1260"/>
          <w:tab w:val="left" w:pos="1701"/>
          <w:tab w:val="left" w:pos="2127"/>
          <w:tab w:val="left" w:pos="5580"/>
        </w:tabs>
        <w:outlineLvl w:val="0"/>
        <w:rPr>
          <w:rFonts w:ascii="Verdana" w:hAnsi="Verdana"/>
          <w:b/>
          <w:sz w:val="22"/>
          <w:szCs w:val="22"/>
        </w:rPr>
      </w:pPr>
    </w:p>
    <w:sectPr w:rsidR="00CB0E1C" w:rsidRPr="008E1E46" w:rsidSect="00CB0E1C">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39" w:rsidRDefault="00002539">
      <w:r>
        <w:separator/>
      </w:r>
    </w:p>
  </w:endnote>
  <w:endnote w:type="continuationSeparator" w:id="0">
    <w:p w:rsidR="00002539" w:rsidRDefault="00002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39" w:rsidRDefault="00002539">
      <w:r>
        <w:separator/>
      </w:r>
    </w:p>
  </w:footnote>
  <w:footnote w:type="continuationSeparator" w:id="0">
    <w:p w:rsidR="00002539" w:rsidRDefault="00002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90CDAC"/>
    <w:lvl w:ilvl="0">
      <w:numFmt w:val="bullet"/>
      <w:lvlText w:val="*"/>
      <w:lvlJc w:val="left"/>
    </w:lvl>
  </w:abstractNum>
  <w:abstractNum w:abstractNumId="1">
    <w:nsid w:val="00667EC9"/>
    <w:multiLevelType w:val="hybridMultilevel"/>
    <w:tmpl w:val="8B1AF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0D5DA8"/>
    <w:multiLevelType w:val="hybridMultilevel"/>
    <w:tmpl w:val="A544A4E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69F4233"/>
    <w:multiLevelType w:val="hybridMultilevel"/>
    <w:tmpl w:val="DFF2D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6C574D"/>
    <w:multiLevelType w:val="hybridMultilevel"/>
    <w:tmpl w:val="E5F466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79380B"/>
    <w:multiLevelType w:val="hybridMultilevel"/>
    <w:tmpl w:val="5DA03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A111C2"/>
    <w:multiLevelType w:val="hybridMultilevel"/>
    <w:tmpl w:val="01103EFC"/>
    <w:lvl w:ilvl="0" w:tplc="3B3CE6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nsid w:val="13543574"/>
    <w:multiLevelType w:val="hybridMultilevel"/>
    <w:tmpl w:val="BE3EDE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337737"/>
    <w:multiLevelType w:val="hybridMultilevel"/>
    <w:tmpl w:val="817005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FD1A05"/>
    <w:multiLevelType w:val="hybridMultilevel"/>
    <w:tmpl w:val="AEE63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92C587A"/>
    <w:multiLevelType w:val="hybridMultilevel"/>
    <w:tmpl w:val="0652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CB0410"/>
    <w:multiLevelType w:val="multilevel"/>
    <w:tmpl w:val="FFB6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810B1"/>
    <w:multiLevelType w:val="hybridMultilevel"/>
    <w:tmpl w:val="599A00EE"/>
    <w:lvl w:ilvl="0" w:tplc="3B3CE672">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3">
    <w:nsid w:val="2ABF0C41"/>
    <w:multiLevelType w:val="hybridMultilevel"/>
    <w:tmpl w:val="8EBA23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0125699"/>
    <w:multiLevelType w:val="hybridMultilevel"/>
    <w:tmpl w:val="C56E7EB2"/>
    <w:lvl w:ilvl="0" w:tplc="3DBCDA20">
      <w:start w:val="1"/>
      <w:numFmt w:val="bullet"/>
      <w:lvlText w:val=""/>
      <w:lvlJc w:val="left"/>
      <w:pPr>
        <w:tabs>
          <w:tab w:val="num" w:pos="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E8752E"/>
    <w:multiLevelType w:val="hybridMultilevel"/>
    <w:tmpl w:val="4C32A038"/>
    <w:lvl w:ilvl="0" w:tplc="3DBCDA20">
      <w:start w:val="1"/>
      <w:numFmt w:val="bullet"/>
      <w:lvlText w:val=""/>
      <w:lvlJc w:val="left"/>
      <w:pPr>
        <w:tabs>
          <w:tab w:val="num" w:pos="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006A94"/>
    <w:multiLevelType w:val="hybridMultilevel"/>
    <w:tmpl w:val="072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A544E6"/>
    <w:multiLevelType w:val="multilevel"/>
    <w:tmpl w:val="527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A3ECA"/>
    <w:multiLevelType w:val="hybridMultilevel"/>
    <w:tmpl w:val="35B4A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6025FB1"/>
    <w:multiLevelType w:val="hybridMultilevel"/>
    <w:tmpl w:val="DC7AB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DF7B59"/>
    <w:multiLevelType w:val="hybridMultilevel"/>
    <w:tmpl w:val="B0EE43AE"/>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5DB61C3"/>
    <w:multiLevelType w:val="hybridMultilevel"/>
    <w:tmpl w:val="7C9A8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6E52F04"/>
    <w:multiLevelType w:val="hybridMultilevel"/>
    <w:tmpl w:val="E74CF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68D048B7"/>
    <w:multiLevelType w:val="hybridMultilevel"/>
    <w:tmpl w:val="A5926AE4"/>
    <w:lvl w:ilvl="0" w:tplc="08090001">
      <w:start w:val="1"/>
      <w:numFmt w:val="bullet"/>
      <w:lvlText w:val=""/>
      <w:lvlJc w:val="left"/>
      <w:pPr>
        <w:tabs>
          <w:tab w:val="num" w:pos="1095"/>
        </w:tabs>
        <w:ind w:left="1095" w:hanging="360"/>
      </w:pPr>
      <w:rPr>
        <w:rFonts w:ascii="Symbol" w:hAnsi="Symbol" w:hint="default"/>
      </w:rPr>
    </w:lvl>
    <w:lvl w:ilvl="1" w:tplc="08090003" w:tentative="1">
      <w:start w:val="1"/>
      <w:numFmt w:val="bullet"/>
      <w:lvlText w:val="o"/>
      <w:lvlJc w:val="left"/>
      <w:pPr>
        <w:tabs>
          <w:tab w:val="num" w:pos="1815"/>
        </w:tabs>
        <w:ind w:left="1815" w:hanging="360"/>
      </w:pPr>
      <w:rPr>
        <w:rFonts w:ascii="Courier New" w:hAnsi="Courier New" w:cs="Courier New" w:hint="default"/>
      </w:rPr>
    </w:lvl>
    <w:lvl w:ilvl="2" w:tplc="08090005" w:tentative="1">
      <w:start w:val="1"/>
      <w:numFmt w:val="bullet"/>
      <w:lvlText w:val=""/>
      <w:lvlJc w:val="left"/>
      <w:pPr>
        <w:tabs>
          <w:tab w:val="num" w:pos="2535"/>
        </w:tabs>
        <w:ind w:left="2535" w:hanging="360"/>
      </w:pPr>
      <w:rPr>
        <w:rFonts w:ascii="Wingdings" w:hAnsi="Wingdings" w:hint="default"/>
      </w:rPr>
    </w:lvl>
    <w:lvl w:ilvl="3" w:tplc="08090001" w:tentative="1">
      <w:start w:val="1"/>
      <w:numFmt w:val="bullet"/>
      <w:lvlText w:val=""/>
      <w:lvlJc w:val="left"/>
      <w:pPr>
        <w:tabs>
          <w:tab w:val="num" w:pos="3255"/>
        </w:tabs>
        <w:ind w:left="3255" w:hanging="360"/>
      </w:pPr>
      <w:rPr>
        <w:rFonts w:ascii="Symbol" w:hAnsi="Symbol" w:hint="default"/>
      </w:rPr>
    </w:lvl>
    <w:lvl w:ilvl="4" w:tplc="08090003" w:tentative="1">
      <w:start w:val="1"/>
      <w:numFmt w:val="bullet"/>
      <w:lvlText w:val="o"/>
      <w:lvlJc w:val="left"/>
      <w:pPr>
        <w:tabs>
          <w:tab w:val="num" w:pos="3975"/>
        </w:tabs>
        <w:ind w:left="3975" w:hanging="360"/>
      </w:pPr>
      <w:rPr>
        <w:rFonts w:ascii="Courier New" w:hAnsi="Courier New" w:cs="Courier New" w:hint="default"/>
      </w:rPr>
    </w:lvl>
    <w:lvl w:ilvl="5" w:tplc="08090005" w:tentative="1">
      <w:start w:val="1"/>
      <w:numFmt w:val="bullet"/>
      <w:lvlText w:val=""/>
      <w:lvlJc w:val="left"/>
      <w:pPr>
        <w:tabs>
          <w:tab w:val="num" w:pos="4695"/>
        </w:tabs>
        <w:ind w:left="4695" w:hanging="360"/>
      </w:pPr>
      <w:rPr>
        <w:rFonts w:ascii="Wingdings" w:hAnsi="Wingdings" w:hint="default"/>
      </w:rPr>
    </w:lvl>
    <w:lvl w:ilvl="6" w:tplc="08090001" w:tentative="1">
      <w:start w:val="1"/>
      <w:numFmt w:val="bullet"/>
      <w:lvlText w:val=""/>
      <w:lvlJc w:val="left"/>
      <w:pPr>
        <w:tabs>
          <w:tab w:val="num" w:pos="5415"/>
        </w:tabs>
        <w:ind w:left="5415" w:hanging="360"/>
      </w:pPr>
      <w:rPr>
        <w:rFonts w:ascii="Symbol" w:hAnsi="Symbol" w:hint="default"/>
      </w:rPr>
    </w:lvl>
    <w:lvl w:ilvl="7" w:tplc="08090003" w:tentative="1">
      <w:start w:val="1"/>
      <w:numFmt w:val="bullet"/>
      <w:lvlText w:val="o"/>
      <w:lvlJc w:val="left"/>
      <w:pPr>
        <w:tabs>
          <w:tab w:val="num" w:pos="6135"/>
        </w:tabs>
        <w:ind w:left="6135" w:hanging="360"/>
      </w:pPr>
      <w:rPr>
        <w:rFonts w:ascii="Courier New" w:hAnsi="Courier New" w:cs="Courier New" w:hint="default"/>
      </w:rPr>
    </w:lvl>
    <w:lvl w:ilvl="8" w:tplc="08090005" w:tentative="1">
      <w:start w:val="1"/>
      <w:numFmt w:val="bullet"/>
      <w:lvlText w:val=""/>
      <w:lvlJc w:val="left"/>
      <w:pPr>
        <w:tabs>
          <w:tab w:val="num" w:pos="6855"/>
        </w:tabs>
        <w:ind w:left="6855" w:hanging="360"/>
      </w:pPr>
      <w:rPr>
        <w:rFonts w:ascii="Wingdings" w:hAnsi="Wingdings" w:hint="default"/>
      </w:rPr>
    </w:lvl>
  </w:abstractNum>
  <w:abstractNum w:abstractNumId="24">
    <w:nsid w:val="69D736C1"/>
    <w:multiLevelType w:val="hybridMultilevel"/>
    <w:tmpl w:val="95D23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0A3481"/>
    <w:multiLevelType w:val="hybridMultilevel"/>
    <w:tmpl w:val="2348C516"/>
    <w:lvl w:ilvl="0" w:tplc="C1487370">
      <w:numFmt w:val="bullet"/>
      <w:lvlText w:val="•"/>
      <w:lvlJc w:val="left"/>
      <w:pPr>
        <w:ind w:left="1005" w:hanging="645"/>
      </w:pPr>
      <w:rPr>
        <w:rFonts w:ascii="Verdana" w:eastAsia="Times New Roman" w:hAnsi="Verdana"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BD5D62"/>
    <w:multiLevelType w:val="hybridMultilevel"/>
    <w:tmpl w:val="6EB4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5F1A6A"/>
    <w:multiLevelType w:val="hybridMultilevel"/>
    <w:tmpl w:val="FE8E5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2"/>
  </w:num>
  <w:num w:numId="4">
    <w:abstractNumId w:val="6"/>
  </w:num>
  <w:num w:numId="5">
    <w:abstractNumId w:val="8"/>
  </w:num>
  <w:num w:numId="6">
    <w:abstractNumId w:val="13"/>
  </w:num>
  <w:num w:numId="7">
    <w:abstractNumId w:val="11"/>
  </w:num>
  <w:num w:numId="8">
    <w:abstractNumId w:val="23"/>
  </w:num>
  <w:num w:numId="9">
    <w:abstractNumId w:val="1"/>
  </w:num>
  <w:num w:numId="10">
    <w:abstractNumId w:val="3"/>
  </w:num>
  <w:num w:numId="11">
    <w:abstractNumId w:val="19"/>
  </w:num>
  <w:num w:numId="12">
    <w:abstractNumId w:val="7"/>
  </w:num>
  <w:num w:numId="13">
    <w:abstractNumId w:val="9"/>
  </w:num>
  <w:num w:numId="14">
    <w:abstractNumId w:val="5"/>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8"/>
  </w:num>
  <w:num w:numId="17">
    <w:abstractNumId w:val="15"/>
  </w:num>
  <w:num w:numId="18">
    <w:abstractNumId w:val="14"/>
  </w:num>
  <w:num w:numId="19">
    <w:abstractNumId w:val="24"/>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2"/>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0"/>
  </w:num>
  <w:num w:numId="25">
    <w:abstractNumId w:val="25"/>
  </w:num>
  <w:num w:numId="26">
    <w:abstractNumId w:val="17"/>
  </w:num>
  <w:num w:numId="27">
    <w:abstractNumId w:val="27"/>
  </w:num>
  <w:num w:numId="28">
    <w:abstractNumId w:val="1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2777C6"/>
    <w:rsid w:val="00002539"/>
    <w:rsid w:val="00003347"/>
    <w:rsid w:val="000060A9"/>
    <w:rsid w:val="00007CFF"/>
    <w:rsid w:val="000103E3"/>
    <w:rsid w:val="00010A5A"/>
    <w:rsid w:val="00012B4E"/>
    <w:rsid w:val="0001386E"/>
    <w:rsid w:val="00023419"/>
    <w:rsid w:val="0002478C"/>
    <w:rsid w:val="000248DE"/>
    <w:rsid w:val="00025FE8"/>
    <w:rsid w:val="000262A9"/>
    <w:rsid w:val="000269AC"/>
    <w:rsid w:val="000329C9"/>
    <w:rsid w:val="00041C11"/>
    <w:rsid w:val="0004650B"/>
    <w:rsid w:val="00046937"/>
    <w:rsid w:val="00046960"/>
    <w:rsid w:val="00047F48"/>
    <w:rsid w:val="000515B8"/>
    <w:rsid w:val="00051C5D"/>
    <w:rsid w:val="00051F04"/>
    <w:rsid w:val="00051FEA"/>
    <w:rsid w:val="00052753"/>
    <w:rsid w:val="00053AFC"/>
    <w:rsid w:val="000555C3"/>
    <w:rsid w:val="00066655"/>
    <w:rsid w:val="00071E8E"/>
    <w:rsid w:val="00076ECB"/>
    <w:rsid w:val="0008319E"/>
    <w:rsid w:val="00087218"/>
    <w:rsid w:val="00087345"/>
    <w:rsid w:val="00090E46"/>
    <w:rsid w:val="000B0FBC"/>
    <w:rsid w:val="000B2908"/>
    <w:rsid w:val="000C0280"/>
    <w:rsid w:val="000C255A"/>
    <w:rsid w:val="000C44C9"/>
    <w:rsid w:val="000C610A"/>
    <w:rsid w:val="000D03AC"/>
    <w:rsid w:val="000D2E87"/>
    <w:rsid w:val="000F0E6B"/>
    <w:rsid w:val="000F2911"/>
    <w:rsid w:val="000F7D57"/>
    <w:rsid w:val="001023E3"/>
    <w:rsid w:val="001046E1"/>
    <w:rsid w:val="00104D37"/>
    <w:rsid w:val="00106B58"/>
    <w:rsid w:val="00106D63"/>
    <w:rsid w:val="00107C2E"/>
    <w:rsid w:val="00111BED"/>
    <w:rsid w:val="0011415D"/>
    <w:rsid w:val="00117351"/>
    <w:rsid w:val="00117CE8"/>
    <w:rsid w:val="00120508"/>
    <w:rsid w:val="001223CF"/>
    <w:rsid w:val="00124CC9"/>
    <w:rsid w:val="001258AE"/>
    <w:rsid w:val="001305D9"/>
    <w:rsid w:val="00130F19"/>
    <w:rsid w:val="001325CE"/>
    <w:rsid w:val="00132A3E"/>
    <w:rsid w:val="00134A9E"/>
    <w:rsid w:val="00155898"/>
    <w:rsid w:val="00155D2C"/>
    <w:rsid w:val="0015670A"/>
    <w:rsid w:val="00157B11"/>
    <w:rsid w:val="0017369B"/>
    <w:rsid w:val="00177551"/>
    <w:rsid w:val="00185346"/>
    <w:rsid w:val="00186ED6"/>
    <w:rsid w:val="00187839"/>
    <w:rsid w:val="00192DC8"/>
    <w:rsid w:val="00193F05"/>
    <w:rsid w:val="001963A3"/>
    <w:rsid w:val="001A7790"/>
    <w:rsid w:val="001C1BCF"/>
    <w:rsid w:val="001D2FF3"/>
    <w:rsid w:val="001E1CC1"/>
    <w:rsid w:val="001E1DA9"/>
    <w:rsid w:val="001E3B20"/>
    <w:rsid w:val="001E5178"/>
    <w:rsid w:val="001F1994"/>
    <w:rsid w:val="001F1C79"/>
    <w:rsid w:val="001F2300"/>
    <w:rsid w:val="002015E5"/>
    <w:rsid w:val="00205498"/>
    <w:rsid w:val="00210BD3"/>
    <w:rsid w:val="00211C53"/>
    <w:rsid w:val="0022150B"/>
    <w:rsid w:val="0022318D"/>
    <w:rsid w:val="002238C6"/>
    <w:rsid w:val="00226B37"/>
    <w:rsid w:val="00256DA3"/>
    <w:rsid w:val="00257EB8"/>
    <w:rsid w:val="00260299"/>
    <w:rsid w:val="00271483"/>
    <w:rsid w:val="002777C6"/>
    <w:rsid w:val="0028753E"/>
    <w:rsid w:val="00287E51"/>
    <w:rsid w:val="002920AF"/>
    <w:rsid w:val="002A2A8C"/>
    <w:rsid w:val="002B4090"/>
    <w:rsid w:val="002B5D28"/>
    <w:rsid w:val="002C29B6"/>
    <w:rsid w:val="002D0926"/>
    <w:rsid w:val="002D24B7"/>
    <w:rsid w:val="002D7B67"/>
    <w:rsid w:val="002F0B0A"/>
    <w:rsid w:val="002F6668"/>
    <w:rsid w:val="002F7914"/>
    <w:rsid w:val="002F7D9B"/>
    <w:rsid w:val="0030170D"/>
    <w:rsid w:val="00303C40"/>
    <w:rsid w:val="00304D51"/>
    <w:rsid w:val="00320959"/>
    <w:rsid w:val="00325EBB"/>
    <w:rsid w:val="00332247"/>
    <w:rsid w:val="00333FC0"/>
    <w:rsid w:val="003379A5"/>
    <w:rsid w:val="00342183"/>
    <w:rsid w:val="00354C1D"/>
    <w:rsid w:val="00356FEC"/>
    <w:rsid w:val="00381627"/>
    <w:rsid w:val="00392218"/>
    <w:rsid w:val="003947A9"/>
    <w:rsid w:val="003A3B57"/>
    <w:rsid w:val="003A5522"/>
    <w:rsid w:val="003A69F2"/>
    <w:rsid w:val="003B09D2"/>
    <w:rsid w:val="003B610F"/>
    <w:rsid w:val="003C3D16"/>
    <w:rsid w:val="003C48E4"/>
    <w:rsid w:val="003C6054"/>
    <w:rsid w:val="003D0420"/>
    <w:rsid w:val="003D2A83"/>
    <w:rsid w:val="003D6699"/>
    <w:rsid w:val="003D7712"/>
    <w:rsid w:val="003E4B9F"/>
    <w:rsid w:val="00404E5C"/>
    <w:rsid w:val="0041450B"/>
    <w:rsid w:val="004270C6"/>
    <w:rsid w:val="00430319"/>
    <w:rsid w:val="004415E2"/>
    <w:rsid w:val="00451D20"/>
    <w:rsid w:val="00454BAE"/>
    <w:rsid w:val="00465A33"/>
    <w:rsid w:val="00465A88"/>
    <w:rsid w:val="00466A7D"/>
    <w:rsid w:val="00466F24"/>
    <w:rsid w:val="00476462"/>
    <w:rsid w:val="0049116A"/>
    <w:rsid w:val="0049420D"/>
    <w:rsid w:val="00494414"/>
    <w:rsid w:val="0049767C"/>
    <w:rsid w:val="004A1ABC"/>
    <w:rsid w:val="004A5B4B"/>
    <w:rsid w:val="004B7BF4"/>
    <w:rsid w:val="004C1E84"/>
    <w:rsid w:val="004C56AA"/>
    <w:rsid w:val="004D1931"/>
    <w:rsid w:val="004D377E"/>
    <w:rsid w:val="004F0019"/>
    <w:rsid w:val="004F0AC8"/>
    <w:rsid w:val="004F1B22"/>
    <w:rsid w:val="004F23F3"/>
    <w:rsid w:val="0050377D"/>
    <w:rsid w:val="00504339"/>
    <w:rsid w:val="00506279"/>
    <w:rsid w:val="0051212E"/>
    <w:rsid w:val="00514CE9"/>
    <w:rsid w:val="00520AB8"/>
    <w:rsid w:val="00523D8F"/>
    <w:rsid w:val="00526061"/>
    <w:rsid w:val="00532428"/>
    <w:rsid w:val="005477EF"/>
    <w:rsid w:val="00547976"/>
    <w:rsid w:val="00552591"/>
    <w:rsid w:val="005526C9"/>
    <w:rsid w:val="00555C2B"/>
    <w:rsid w:val="00563A4A"/>
    <w:rsid w:val="005805A0"/>
    <w:rsid w:val="00587EF8"/>
    <w:rsid w:val="00594B06"/>
    <w:rsid w:val="005A21E4"/>
    <w:rsid w:val="005A4F11"/>
    <w:rsid w:val="005C14B0"/>
    <w:rsid w:val="005C184E"/>
    <w:rsid w:val="005C2B98"/>
    <w:rsid w:val="005D1C24"/>
    <w:rsid w:val="005D503B"/>
    <w:rsid w:val="005E770D"/>
    <w:rsid w:val="005F0167"/>
    <w:rsid w:val="005F21DE"/>
    <w:rsid w:val="005F24AF"/>
    <w:rsid w:val="005F2EC4"/>
    <w:rsid w:val="005F53EA"/>
    <w:rsid w:val="00600836"/>
    <w:rsid w:val="00600E73"/>
    <w:rsid w:val="00601D7C"/>
    <w:rsid w:val="006072F7"/>
    <w:rsid w:val="006076F7"/>
    <w:rsid w:val="006107FE"/>
    <w:rsid w:val="00614135"/>
    <w:rsid w:val="00614E70"/>
    <w:rsid w:val="00630638"/>
    <w:rsid w:val="00630F20"/>
    <w:rsid w:val="00633A0D"/>
    <w:rsid w:val="0063432D"/>
    <w:rsid w:val="006409C6"/>
    <w:rsid w:val="00652B7B"/>
    <w:rsid w:val="00655659"/>
    <w:rsid w:val="006648BC"/>
    <w:rsid w:val="00666CE2"/>
    <w:rsid w:val="00670476"/>
    <w:rsid w:val="00671E9E"/>
    <w:rsid w:val="006777F2"/>
    <w:rsid w:val="006854C0"/>
    <w:rsid w:val="00687BD5"/>
    <w:rsid w:val="00690893"/>
    <w:rsid w:val="00691E7C"/>
    <w:rsid w:val="006A3CED"/>
    <w:rsid w:val="006A449F"/>
    <w:rsid w:val="006A6613"/>
    <w:rsid w:val="006B7B67"/>
    <w:rsid w:val="006C0F33"/>
    <w:rsid w:val="006C3A4C"/>
    <w:rsid w:val="006D099A"/>
    <w:rsid w:val="006D4876"/>
    <w:rsid w:val="006E2061"/>
    <w:rsid w:val="006F31F1"/>
    <w:rsid w:val="006F3E71"/>
    <w:rsid w:val="00702383"/>
    <w:rsid w:val="00704A1E"/>
    <w:rsid w:val="00704BE0"/>
    <w:rsid w:val="007110ED"/>
    <w:rsid w:val="007112EF"/>
    <w:rsid w:val="00712226"/>
    <w:rsid w:val="00713335"/>
    <w:rsid w:val="00713771"/>
    <w:rsid w:val="00730865"/>
    <w:rsid w:val="00731449"/>
    <w:rsid w:val="00736E68"/>
    <w:rsid w:val="0074524F"/>
    <w:rsid w:val="00747FB8"/>
    <w:rsid w:val="00756487"/>
    <w:rsid w:val="00762231"/>
    <w:rsid w:val="00763B8A"/>
    <w:rsid w:val="00767F25"/>
    <w:rsid w:val="00772489"/>
    <w:rsid w:val="0078235C"/>
    <w:rsid w:val="00785347"/>
    <w:rsid w:val="00790F7C"/>
    <w:rsid w:val="00795AEA"/>
    <w:rsid w:val="00795F19"/>
    <w:rsid w:val="007966D9"/>
    <w:rsid w:val="00796FE5"/>
    <w:rsid w:val="007A07E1"/>
    <w:rsid w:val="007B2095"/>
    <w:rsid w:val="007B3E0C"/>
    <w:rsid w:val="007C2348"/>
    <w:rsid w:val="007C451D"/>
    <w:rsid w:val="007C55B8"/>
    <w:rsid w:val="007C5E72"/>
    <w:rsid w:val="007C6B29"/>
    <w:rsid w:val="007C7759"/>
    <w:rsid w:val="007D2AC1"/>
    <w:rsid w:val="007D428E"/>
    <w:rsid w:val="007D5E7A"/>
    <w:rsid w:val="007D6593"/>
    <w:rsid w:val="007D681B"/>
    <w:rsid w:val="007E0153"/>
    <w:rsid w:val="007E4066"/>
    <w:rsid w:val="007E4C24"/>
    <w:rsid w:val="007E7949"/>
    <w:rsid w:val="007F209D"/>
    <w:rsid w:val="007F2CEA"/>
    <w:rsid w:val="007F4677"/>
    <w:rsid w:val="007F7A0E"/>
    <w:rsid w:val="00810CF7"/>
    <w:rsid w:val="00817315"/>
    <w:rsid w:val="00827E5C"/>
    <w:rsid w:val="00831F04"/>
    <w:rsid w:val="008329D1"/>
    <w:rsid w:val="00833ECE"/>
    <w:rsid w:val="00835530"/>
    <w:rsid w:val="00842580"/>
    <w:rsid w:val="00845189"/>
    <w:rsid w:val="00852B8F"/>
    <w:rsid w:val="00857962"/>
    <w:rsid w:val="008654EA"/>
    <w:rsid w:val="00870534"/>
    <w:rsid w:val="00877BD7"/>
    <w:rsid w:val="008802DD"/>
    <w:rsid w:val="00882418"/>
    <w:rsid w:val="008B2C26"/>
    <w:rsid w:val="008B4693"/>
    <w:rsid w:val="008B5AAF"/>
    <w:rsid w:val="008B6EED"/>
    <w:rsid w:val="008C2DE3"/>
    <w:rsid w:val="008C36F1"/>
    <w:rsid w:val="008C6C45"/>
    <w:rsid w:val="008D1603"/>
    <w:rsid w:val="008D3B1D"/>
    <w:rsid w:val="008D4AF5"/>
    <w:rsid w:val="008D6C85"/>
    <w:rsid w:val="008D753A"/>
    <w:rsid w:val="008E1E46"/>
    <w:rsid w:val="008E5BE3"/>
    <w:rsid w:val="008F1FDF"/>
    <w:rsid w:val="008F2F0A"/>
    <w:rsid w:val="009018BA"/>
    <w:rsid w:val="009067BD"/>
    <w:rsid w:val="009152A3"/>
    <w:rsid w:val="00916592"/>
    <w:rsid w:val="00926992"/>
    <w:rsid w:val="00926AE0"/>
    <w:rsid w:val="009307C4"/>
    <w:rsid w:val="00931DF9"/>
    <w:rsid w:val="00937DBE"/>
    <w:rsid w:val="0095010D"/>
    <w:rsid w:val="009502AE"/>
    <w:rsid w:val="00952787"/>
    <w:rsid w:val="009625EE"/>
    <w:rsid w:val="00964072"/>
    <w:rsid w:val="00974E05"/>
    <w:rsid w:val="00976218"/>
    <w:rsid w:val="00976F86"/>
    <w:rsid w:val="0097707E"/>
    <w:rsid w:val="00981189"/>
    <w:rsid w:val="00982BCC"/>
    <w:rsid w:val="009924CA"/>
    <w:rsid w:val="00992F09"/>
    <w:rsid w:val="009935BD"/>
    <w:rsid w:val="009965C4"/>
    <w:rsid w:val="00996C7C"/>
    <w:rsid w:val="009A2A0B"/>
    <w:rsid w:val="009A3142"/>
    <w:rsid w:val="009A468B"/>
    <w:rsid w:val="009A56F2"/>
    <w:rsid w:val="009A5928"/>
    <w:rsid w:val="009B0DAC"/>
    <w:rsid w:val="009B4D29"/>
    <w:rsid w:val="009D380F"/>
    <w:rsid w:val="009D49FF"/>
    <w:rsid w:val="009E0E39"/>
    <w:rsid w:val="009F23A9"/>
    <w:rsid w:val="009F2BCD"/>
    <w:rsid w:val="00A00361"/>
    <w:rsid w:val="00A01211"/>
    <w:rsid w:val="00A23A52"/>
    <w:rsid w:val="00A2646C"/>
    <w:rsid w:val="00A2747A"/>
    <w:rsid w:val="00A55583"/>
    <w:rsid w:val="00A5614A"/>
    <w:rsid w:val="00A67BC2"/>
    <w:rsid w:val="00A72D04"/>
    <w:rsid w:val="00A77506"/>
    <w:rsid w:val="00A82855"/>
    <w:rsid w:val="00A85BA4"/>
    <w:rsid w:val="00A93709"/>
    <w:rsid w:val="00A9389C"/>
    <w:rsid w:val="00A94C3A"/>
    <w:rsid w:val="00A950C3"/>
    <w:rsid w:val="00A96AB2"/>
    <w:rsid w:val="00AA3AA4"/>
    <w:rsid w:val="00AA41D5"/>
    <w:rsid w:val="00AB04D5"/>
    <w:rsid w:val="00AB5E40"/>
    <w:rsid w:val="00AC5E94"/>
    <w:rsid w:val="00AC68F5"/>
    <w:rsid w:val="00AC72F4"/>
    <w:rsid w:val="00AD1EFA"/>
    <w:rsid w:val="00AD4960"/>
    <w:rsid w:val="00AE4473"/>
    <w:rsid w:val="00AE5FC7"/>
    <w:rsid w:val="00AE77C2"/>
    <w:rsid w:val="00AF35E7"/>
    <w:rsid w:val="00B1185D"/>
    <w:rsid w:val="00B14DF0"/>
    <w:rsid w:val="00B25B82"/>
    <w:rsid w:val="00B315B7"/>
    <w:rsid w:val="00B3363D"/>
    <w:rsid w:val="00B33F4A"/>
    <w:rsid w:val="00B370C2"/>
    <w:rsid w:val="00B40329"/>
    <w:rsid w:val="00B41BB3"/>
    <w:rsid w:val="00B462EC"/>
    <w:rsid w:val="00B46D95"/>
    <w:rsid w:val="00B66127"/>
    <w:rsid w:val="00B67B7E"/>
    <w:rsid w:val="00B91C7C"/>
    <w:rsid w:val="00B93C03"/>
    <w:rsid w:val="00BA0445"/>
    <w:rsid w:val="00BB5A58"/>
    <w:rsid w:val="00BC0554"/>
    <w:rsid w:val="00BC7F6C"/>
    <w:rsid w:val="00BD369E"/>
    <w:rsid w:val="00BD3B25"/>
    <w:rsid w:val="00BD40AD"/>
    <w:rsid w:val="00BE318A"/>
    <w:rsid w:val="00BE3808"/>
    <w:rsid w:val="00BF0EBE"/>
    <w:rsid w:val="00BF29B3"/>
    <w:rsid w:val="00C00378"/>
    <w:rsid w:val="00C048B6"/>
    <w:rsid w:val="00C1306C"/>
    <w:rsid w:val="00C17D84"/>
    <w:rsid w:val="00C20DBF"/>
    <w:rsid w:val="00C25D1F"/>
    <w:rsid w:val="00C400A1"/>
    <w:rsid w:val="00C411DF"/>
    <w:rsid w:val="00C441F3"/>
    <w:rsid w:val="00C61044"/>
    <w:rsid w:val="00C65653"/>
    <w:rsid w:val="00C66B2D"/>
    <w:rsid w:val="00C670D4"/>
    <w:rsid w:val="00C9286C"/>
    <w:rsid w:val="00C97398"/>
    <w:rsid w:val="00CA0039"/>
    <w:rsid w:val="00CA2133"/>
    <w:rsid w:val="00CA3878"/>
    <w:rsid w:val="00CA6C8E"/>
    <w:rsid w:val="00CB0C08"/>
    <w:rsid w:val="00CB0E1C"/>
    <w:rsid w:val="00CB10D4"/>
    <w:rsid w:val="00CD56ED"/>
    <w:rsid w:val="00CE5122"/>
    <w:rsid w:val="00CF3AC9"/>
    <w:rsid w:val="00D1054D"/>
    <w:rsid w:val="00D13E55"/>
    <w:rsid w:val="00D15B6F"/>
    <w:rsid w:val="00D21AE4"/>
    <w:rsid w:val="00D23133"/>
    <w:rsid w:val="00D23B81"/>
    <w:rsid w:val="00D23FAE"/>
    <w:rsid w:val="00D2655E"/>
    <w:rsid w:val="00D335B5"/>
    <w:rsid w:val="00D3481F"/>
    <w:rsid w:val="00D34FD8"/>
    <w:rsid w:val="00D35743"/>
    <w:rsid w:val="00D361DB"/>
    <w:rsid w:val="00D40602"/>
    <w:rsid w:val="00D447D0"/>
    <w:rsid w:val="00D562E9"/>
    <w:rsid w:val="00D608CC"/>
    <w:rsid w:val="00D64F3B"/>
    <w:rsid w:val="00D65D19"/>
    <w:rsid w:val="00D67EF4"/>
    <w:rsid w:val="00D72B1C"/>
    <w:rsid w:val="00D7304C"/>
    <w:rsid w:val="00D96540"/>
    <w:rsid w:val="00DA17B8"/>
    <w:rsid w:val="00DA4BDF"/>
    <w:rsid w:val="00DB0671"/>
    <w:rsid w:val="00DB211D"/>
    <w:rsid w:val="00DB6152"/>
    <w:rsid w:val="00DB7191"/>
    <w:rsid w:val="00DC4BC7"/>
    <w:rsid w:val="00DC566E"/>
    <w:rsid w:val="00DD00AE"/>
    <w:rsid w:val="00DD5AD6"/>
    <w:rsid w:val="00DE3850"/>
    <w:rsid w:val="00DE4A22"/>
    <w:rsid w:val="00DE4CB0"/>
    <w:rsid w:val="00DF12C1"/>
    <w:rsid w:val="00DF26D4"/>
    <w:rsid w:val="00E033F0"/>
    <w:rsid w:val="00E05073"/>
    <w:rsid w:val="00E054B2"/>
    <w:rsid w:val="00E07524"/>
    <w:rsid w:val="00E101E6"/>
    <w:rsid w:val="00E1318A"/>
    <w:rsid w:val="00E209BE"/>
    <w:rsid w:val="00E37EEC"/>
    <w:rsid w:val="00E42C87"/>
    <w:rsid w:val="00E431AA"/>
    <w:rsid w:val="00E45223"/>
    <w:rsid w:val="00E46277"/>
    <w:rsid w:val="00E47DF0"/>
    <w:rsid w:val="00E53697"/>
    <w:rsid w:val="00E57961"/>
    <w:rsid w:val="00E67407"/>
    <w:rsid w:val="00E67F71"/>
    <w:rsid w:val="00E702CE"/>
    <w:rsid w:val="00E7104C"/>
    <w:rsid w:val="00E7422B"/>
    <w:rsid w:val="00E77D25"/>
    <w:rsid w:val="00E825CE"/>
    <w:rsid w:val="00E82DE1"/>
    <w:rsid w:val="00E82EAF"/>
    <w:rsid w:val="00E9110D"/>
    <w:rsid w:val="00E949F9"/>
    <w:rsid w:val="00EA38C3"/>
    <w:rsid w:val="00EA439F"/>
    <w:rsid w:val="00EC36AD"/>
    <w:rsid w:val="00EC4AE2"/>
    <w:rsid w:val="00EE0A01"/>
    <w:rsid w:val="00EE5419"/>
    <w:rsid w:val="00EF0784"/>
    <w:rsid w:val="00EF18BB"/>
    <w:rsid w:val="00EF52B1"/>
    <w:rsid w:val="00EF5B1C"/>
    <w:rsid w:val="00F034B6"/>
    <w:rsid w:val="00F071AA"/>
    <w:rsid w:val="00F1194B"/>
    <w:rsid w:val="00F17302"/>
    <w:rsid w:val="00F20B08"/>
    <w:rsid w:val="00F23BF7"/>
    <w:rsid w:val="00F25972"/>
    <w:rsid w:val="00F31A97"/>
    <w:rsid w:val="00F36EEB"/>
    <w:rsid w:val="00F466C5"/>
    <w:rsid w:val="00F473E3"/>
    <w:rsid w:val="00F54510"/>
    <w:rsid w:val="00F54638"/>
    <w:rsid w:val="00F5600D"/>
    <w:rsid w:val="00F57855"/>
    <w:rsid w:val="00F64E75"/>
    <w:rsid w:val="00F70A47"/>
    <w:rsid w:val="00F70A74"/>
    <w:rsid w:val="00F74908"/>
    <w:rsid w:val="00F82B9D"/>
    <w:rsid w:val="00F85083"/>
    <w:rsid w:val="00F908B9"/>
    <w:rsid w:val="00F92FF1"/>
    <w:rsid w:val="00F94C8D"/>
    <w:rsid w:val="00F97A06"/>
    <w:rsid w:val="00FA4C12"/>
    <w:rsid w:val="00FB0698"/>
    <w:rsid w:val="00FB4AD2"/>
    <w:rsid w:val="00FC491F"/>
    <w:rsid w:val="00FC6A03"/>
    <w:rsid w:val="00FC7339"/>
    <w:rsid w:val="00FD0635"/>
    <w:rsid w:val="00FD109C"/>
    <w:rsid w:val="00FD47AA"/>
    <w:rsid w:val="00FE10BF"/>
    <w:rsid w:val="00FE6A54"/>
    <w:rsid w:val="00FE7849"/>
    <w:rsid w:val="00FE7B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4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235C"/>
    <w:pPr>
      <w:spacing w:line="640" w:lineRule="atLeast"/>
      <w:jc w:val="both"/>
    </w:pPr>
    <w:rPr>
      <w:b/>
      <w:sz w:val="56"/>
      <w:szCs w:val="20"/>
    </w:rPr>
  </w:style>
  <w:style w:type="character" w:styleId="Hyperlink">
    <w:name w:val="Hyperlink"/>
    <w:basedOn w:val="DefaultParagraphFont"/>
    <w:rsid w:val="00A5614A"/>
    <w:rPr>
      <w:color w:val="0000FF"/>
      <w:u w:val="single"/>
    </w:rPr>
  </w:style>
  <w:style w:type="paragraph" w:styleId="BalloonText">
    <w:name w:val="Balloon Text"/>
    <w:basedOn w:val="Normal"/>
    <w:semiHidden/>
    <w:rsid w:val="00E45223"/>
    <w:rPr>
      <w:rFonts w:ascii="Tahoma" w:hAnsi="Tahoma" w:cs="Tahoma"/>
      <w:sz w:val="16"/>
      <w:szCs w:val="16"/>
    </w:rPr>
  </w:style>
  <w:style w:type="paragraph" w:styleId="FootnoteText">
    <w:name w:val="footnote text"/>
    <w:basedOn w:val="Normal"/>
    <w:semiHidden/>
    <w:rsid w:val="00EE5419"/>
    <w:rPr>
      <w:sz w:val="20"/>
      <w:szCs w:val="20"/>
    </w:rPr>
  </w:style>
  <w:style w:type="character" w:styleId="FootnoteReference">
    <w:name w:val="footnote reference"/>
    <w:basedOn w:val="DefaultParagraphFont"/>
    <w:semiHidden/>
    <w:rsid w:val="00EE5419"/>
    <w:rPr>
      <w:vertAlign w:val="superscript"/>
    </w:rPr>
  </w:style>
  <w:style w:type="character" w:styleId="Strong">
    <w:name w:val="Strong"/>
    <w:basedOn w:val="DefaultParagraphFont"/>
    <w:qFormat/>
    <w:rsid w:val="007F2CEA"/>
    <w:rPr>
      <w:b/>
      <w:bCs/>
    </w:rPr>
  </w:style>
  <w:style w:type="paragraph" w:styleId="Header">
    <w:name w:val="header"/>
    <w:basedOn w:val="Normal"/>
    <w:rsid w:val="00303C40"/>
    <w:pPr>
      <w:tabs>
        <w:tab w:val="center" w:pos="4153"/>
        <w:tab w:val="right" w:pos="8306"/>
      </w:tabs>
    </w:pPr>
  </w:style>
  <w:style w:type="paragraph" w:styleId="Footer">
    <w:name w:val="footer"/>
    <w:basedOn w:val="Normal"/>
    <w:rsid w:val="00303C40"/>
    <w:pPr>
      <w:tabs>
        <w:tab w:val="center" w:pos="4153"/>
        <w:tab w:val="right" w:pos="8306"/>
      </w:tabs>
    </w:pPr>
  </w:style>
  <w:style w:type="paragraph" w:styleId="DocumentMap">
    <w:name w:val="Document Map"/>
    <w:basedOn w:val="Normal"/>
    <w:semiHidden/>
    <w:rsid w:val="00587EF8"/>
    <w:pPr>
      <w:shd w:val="clear" w:color="auto" w:fill="000080"/>
    </w:pPr>
    <w:rPr>
      <w:rFonts w:ascii="Tahoma" w:hAnsi="Tahoma" w:cs="Tahoma"/>
      <w:sz w:val="20"/>
      <w:szCs w:val="20"/>
    </w:rPr>
  </w:style>
  <w:style w:type="paragraph" w:styleId="NormalWeb">
    <w:name w:val="Normal (Web)"/>
    <w:basedOn w:val="Normal"/>
    <w:uiPriority w:val="99"/>
    <w:rsid w:val="00691E7C"/>
    <w:pPr>
      <w:spacing w:line="240" w:lineRule="atLeast"/>
    </w:pPr>
  </w:style>
  <w:style w:type="character" w:styleId="CommentReference">
    <w:name w:val="annotation reference"/>
    <w:basedOn w:val="DefaultParagraphFont"/>
    <w:uiPriority w:val="99"/>
    <w:semiHidden/>
    <w:rsid w:val="00F466C5"/>
    <w:rPr>
      <w:sz w:val="16"/>
      <w:szCs w:val="16"/>
    </w:rPr>
  </w:style>
  <w:style w:type="paragraph" w:styleId="CommentText">
    <w:name w:val="annotation text"/>
    <w:basedOn w:val="Normal"/>
    <w:link w:val="CommentTextChar"/>
    <w:uiPriority w:val="99"/>
    <w:semiHidden/>
    <w:rsid w:val="00F466C5"/>
    <w:rPr>
      <w:sz w:val="20"/>
      <w:szCs w:val="20"/>
    </w:rPr>
  </w:style>
  <w:style w:type="paragraph" w:styleId="CommentSubject">
    <w:name w:val="annotation subject"/>
    <w:basedOn w:val="CommentText"/>
    <w:next w:val="CommentText"/>
    <w:semiHidden/>
    <w:rsid w:val="00F466C5"/>
    <w:rPr>
      <w:b/>
      <w:bCs/>
    </w:rPr>
  </w:style>
  <w:style w:type="character" w:styleId="FollowedHyperlink">
    <w:name w:val="FollowedHyperlink"/>
    <w:basedOn w:val="DefaultParagraphFont"/>
    <w:rsid w:val="006076F7"/>
    <w:rPr>
      <w:color w:val="800080"/>
      <w:u w:val="single"/>
    </w:rPr>
  </w:style>
  <w:style w:type="paragraph" w:styleId="ListParagraph">
    <w:name w:val="List Paragraph"/>
    <w:basedOn w:val="Normal"/>
    <w:uiPriority w:val="34"/>
    <w:qFormat/>
    <w:rsid w:val="00404E5C"/>
    <w:pPr>
      <w:ind w:left="720"/>
    </w:pPr>
    <w:rPr>
      <w:rFonts w:ascii="Calibri" w:hAnsi="Calibri"/>
      <w:sz w:val="22"/>
      <w:szCs w:val="22"/>
    </w:rPr>
  </w:style>
  <w:style w:type="character" w:customStyle="1" w:styleId="CommentTextChar">
    <w:name w:val="Comment Text Char"/>
    <w:basedOn w:val="DefaultParagraphFont"/>
    <w:link w:val="CommentText"/>
    <w:uiPriority w:val="99"/>
    <w:semiHidden/>
    <w:rsid w:val="00404E5C"/>
  </w:style>
</w:styles>
</file>

<file path=word/webSettings.xml><?xml version="1.0" encoding="utf-8"?>
<w:webSettings xmlns:r="http://schemas.openxmlformats.org/officeDocument/2006/relationships" xmlns:w="http://schemas.openxmlformats.org/wordprocessingml/2006/main">
  <w:divs>
    <w:div w:id="87239764">
      <w:bodyDiv w:val="1"/>
      <w:marLeft w:val="0"/>
      <w:marRight w:val="0"/>
      <w:marTop w:val="0"/>
      <w:marBottom w:val="0"/>
      <w:divBdr>
        <w:top w:val="none" w:sz="0" w:space="0" w:color="auto"/>
        <w:left w:val="none" w:sz="0" w:space="0" w:color="auto"/>
        <w:bottom w:val="none" w:sz="0" w:space="0" w:color="auto"/>
        <w:right w:val="none" w:sz="0" w:space="0" w:color="auto"/>
      </w:divBdr>
      <w:divsChild>
        <w:div w:id="517082639">
          <w:marLeft w:val="0"/>
          <w:marRight w:val="0"/>
          <w:marTop w:val="0"/>
          <w:marBottom w:val="0"/>
          <w:divBdr>
            <w:top w:val="none" w:sz="0" w:space="0" w:color="auto"/>
            <w:left w:val="none" w:sz="0" w:space="0" w:color="auto"/>
            <w:bottom w:val="none" w:sz="0" w:space="0" w:color="auto"/>
            <w:right w:val="none" w:sz="0" w:space="0" w:color="auto"/>
          </w:divBdr>
        </w:div>
        <w:div w:id="633102139">
          <w:marLeft w:val="0"/>
          <w:marRight w:val="0"/>
          <w:marTop w:val="0"/>
          <w:marBottom w:val="0"/>
          <w:divBdr>
            <w:top w:val="none" w:sz="0" w:space="0" w:color="auto"/>
            <w:left w:val="none" w:sz="0" w:space="0" w:color="auto"/>
            <w:bottom w:val="none" w:sz="0" w:space="0" w:color="auto"/>
            <w:right w:val="none" w:sz="0" w:space="0" w:color="auto"/>
          </w:divBdr>
        </w:div>
        <w:div w:id="1205286917">
          <w:marLeft w:val="0"/>
          <w:marRight w:val="0"/>
          <w:marTop w:val="0"/>
          <w:marBottom w:val="0"/>
          <w:divBdr>
            <w:top w:val="none" w:sz="0" w:space="0" w:color="auto"/>
            <w:left w:val="none" w:sz="0" w:space="0" w:color="auto"/>
            <w:bottom w:val="none" w:sz="0" w:space="0" w:color="auto"/>
            <w:right w:val="none" w:sz="0" w:space="0" w:color="auto"/>
          </w:divBdr>
        </w:div>
        <w:div w:id="1949392754">
          <w:marLeft w:val="0"/>
          <w:marRight w:val="0"/>
          <w:marTop w:val="0"/>
          <w:marBottom w:val="0"/>
          <w:divBdr>
            <w:top w:val="none" w:sz="0" w:space="0" w:color="auto"/>
            <w:left w:val="none" w:sz="0" w:space="0" w:color="auto"/>
            <w:bottom w:val="none" w:sz="0" w:space="0" w:color="auto"/>
            <w:right w:val="none" w:sz="0" w:space="0" w:color="auto"/>
          </w:divBdr>
        </w:div>
      </w:divsChild>
    </w:div>
    <w:div w:id="304745978">
      <w:bodyDiv w:val="1"/>
      <w:marLeft w:val="0"/>
      <w:marRight w:val="0"/>
      <w:marTop w:val="0"/>
      <w:marBottom w:val="0"/>
      <w:divBdr>
        <w:top w:val="none" w:sz="0" w:space="0" w:color="auto"/>
        <w:left w:val="none" w:sz="0" w:space="0" w:color="auto"/>
        <w:bottom w:val="none" w:sz="0" w:space="0" w:color="auto"/>
        <w:right w:val="none" w:sz="0" w:space="0" w:color="auto"/>
      </w:divBdr>
    </w:div>
    <w:div w:id="648747582">
      <w:bodyDiv w:val="1"/>
      <w:marLeft w:val="0"/>
      <w:marRight w:val="0"/>
      <w:marTop w:val="0"/>
      <w:marBottom w:val="0"/>
      <w:divBdr>
        <w:top w:val="none" w:sz="0" w:space="0" w:color="auto"/>
        <w:left w:val="none" w:sz="0" w:space="0" w:color="auto"/>
        <w:bottom w:val="none" w:sz="0" w:space="0" w:color="auto"/>
        <w:right w:val="none" w:sz="0" w:space="0" w:color="auto"/>
      </w:divBdr>
    </w:div>
    <w:div w:id="781149957">
      <w:bodyDiv w:val="1"/>
      <w:marLeft w:val="0"/>
      <w:marRight w:val="0"/>
      <w:marTop w:val="0"/>
      <w:marBottom w:val="0"/>
      <w:divBdr>
        <w:top w:val="none" w:sz="0" w:space="0" w:color="auto"/>
        <w:left w:val="none" w:sz="0" w:space="0" w:color="auto"/>
        <w:bottom w:val="none" w:sz="0" w:space="0" w:color="auto"/>
        <w:right w:val="none" w:sz="0" w:space="0" w:color="auto"/>
      </w:divBdr>
      <w:divsChild>
        <w:div w:id="656765004">
          <w:marLeft w:val="0"/>
          <w:marRight w:val="0"/>
          <w:marTop w:val="0"/>
          <w:marBottom w:val="0"/>
          <w:divBdr>
            <w:top w:val="none" w:sz="0" w:space="0" w:color="auto"/>
            <w:left w:val="none" w:sz="0" w:space="0" w:color="auto"/>
            <w:bottom w:val="none" w:sz="0" w:space="0" w:color="auto"/>
            <w:right w:val="none" w:sz="0" w:space="0" w:color="auto"/>
          </w:divBdr>
          <w:divsChild>
            <w:div w:id="2088183208">
              <w:marLeft w:val="0"/>
              <w:marRight w:val="0"/>
              <w:marTop w:val="0"/>
              <w:marBottom w:val="0"/>
              <w:divBdr>
                <w:top w:val="none" w:sz="0" w:space="0" w:color="auto"/>
                <w:left w:val="none" w:sz="0" w:space="0" w:color="auto"/>
                <w:bottom w:val="none" w:sz="0" w:space="0" w:color="auto"/>
                <w:right w:val="none" w:sz="0" w:space="0" w:color="auto"/>
              </w:divBdr>
              <w:divsChild>
                <w:div w:id="1140345808">
                  <w:marLeft w:val="0"/>
                  <w:marRight w:val="0"/>
                  <w:marTop w:val="0"/>
                  <w:marBottom w:val="0"/>
                  <w:divBdr>
                    <w:top w:val="none" w:sz="0" w:space="0" w:color="auto"/>
                    <w:left w:val="none" w:sz="0" w:space="0" w:color="auto"/>
                    <w:bottom w:val="none" w:sz="0" w:space="0" w:color="auto"/>
                    <w:right w:val="none" w:sz="0" w:space="0" w:color="auto"/>
                  </w:divBdr>
                  <w:divsChild>
                    <w:div w:id="1836527521">
                      <w:marLeft w:val="390"/>
                      <w:marRight w:val="390"/>
                      <w:marTop w:val="0"/>
                      <w:marBottom w:val="0"/>
                      <w:divBdr>
                        <w:top w:val="none" w:sz="0" w:space="0" w:color="auto"/>
                        <w:left w:val="none" w:sz="0" w:space="0" w:color="auto"/>
                        <w:bottom w:val="none" w:sz="0" w:space="0" w:color="auto"/>
                        <w:right w:val="none" w:sz="0" w:space="0" w:color="auto"/>
                      </w:divBdr>
                      <w:divsChild>
                        <w:div w:id="361050795">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4417">
      <w:bodyDiv w:val="1"/>
      <w:marLeft w:val="0"/>
      <w:marRight w:val="0"/>
      <w:marTop w:val="0"/>
      <w:marBottom w:val="0"/>
      <w:divBdr>
        <w:top w:val="none" w:sz="0" w:space="0" w:color="auto"/>
        <w:left w:val="none" w:sz="0" w:space="0" w:color="auto"/>
        <w:bottom w:val="none" w:sz="0" w:space="0" w:color="auto"/>
        <w:right w:val="none" w:sz="0" w:space="0" w:color="auto"/>
      </w:divBdr>
    </w:div>
    <w:div w:id="914825981">
      <w:bodyDiv w:val="1"/>
      <w:marLeft w:val="0"/>
      <w:marRight w:val="0"/>
      <w:marTop w:val="0"/>
      <w:marBottom w:val="0"/>
      <w:divBdr>
        <w:top w:val="none" w:sz="0" w:space="0" w:color="auto"/>
        <w:left w:val="none" w:sz="0" w:space="0" w:color="auto"/>
        <w:bottom w:val="none" w:sz="0" w:space="0" w:color="auto"/>
        <w:right w:val="none" w:sz="0" w:space="0" w:color="auto"/>
      </w:divBdr>
    </w:div>
    <w:div w:id="1107772139">
      <w:bodyDiv w:val="1"/>
      <w:marLeft w:val="0"/>
      <w:marRight w:val="0"/>
      <w:marTop w:val="0"/>
      <w:marBottom w:val="0"/>
      <w:divBdr>
        <w:top w:val="none" w:sz="0" w:space="0" w:color="auto"/>
        <w:left w:val="none" w:sz="0" w:space="0" w:color="auto"/>
        <w:bottom w:val="none" w:sz="0" w:space="0" w:color="auto"/>
        <w:right w:val="none" w:sz="0" w:space="0" w:color="auto"/>
      </w:divBdr>
    </w:div>
    <w:div w:id="1569917551">
      <w:bodyDiv w:val="1"/>
      <w:marLeft w:val="0"/>
      <w:marRight w:val="0"/>
      <w:marTop w:val="0"/>
      <w:marBottom w:val="0"/>
      <w:divBdr>
        <w:top w:val="none" w:sz="0" w:space="0" w:color="auto"/>
        <w:left w:val="none" w:sz="0" w:space="0" w:color="auto"/>
        <w:bottom w:val="none" w:sz="0" w:space="0" w:color="auto"/>
        <w:right w:val="none" w:sz="0" w:space="0" w:color="auto"/>
      </w:divBdr>
    </w:div>
    <w:div w:id="1599558473">
      <w:bodyDiv w:val="1"/>
      <w:marLeft w:val="0"/>
      <w:marRight w:val="0"/>
      <w:marTop w:val="0"/>
      <w:marBottom w:val="0"/>
      <w:divBdr>
        <w:top w:val="none" w:sz="0" w:space="0" w:color="auto"/>
        <w:left w:val="none" w:sz="0" w:space="0" w:color="auto"/>
        <w:bottom w:val="none" w:sz="0" w:space="0" w:color="auto"/>
        <w:right w:val="none" w:sz="0" w:space="0" w:color="auto"/>
      </w:divBdr>
    </w:div>
    <w:div w:id="1941833232">
      <w:bodyDiv w:val="1"/>
      <w:marLeft w:val="0"/>
      <w:marRight w:val="0"/>
      <w:marTop w:val="0"/>
      <w:marBottom w:val="0"/>
      <w:divBdr>
        <w:top w:val="none" w:sz="0" w:space="0" w:color="auto"/>
        <w:left w:val="none" w:sz="0" w:space="0" w:color="auto"/>
        <w:bottom w:val="none" w:sz="0" w:space="0" w:color="auto"/>
        <w:right w:val="none" w:sz="0" w:space="0" w:color="auto"/>
      </w:divBdr>
    </w:div>
    <w:div w:id="1947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loitte.co.uk/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k\ukvfmroot\A%20&amp;%20A\Manchester\Sports%20Group\Admin\Publications\Press%20releases%20general\Football\Transfers%20(Jan%2011)\www.deloitte.co.uk\sportsbusiness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oitte.co.uk/sportsbusiness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reilly@deloitte.co.uk" TargetMode="External"/><Relationship Id="rId4" Type="http://schemas.openxmlformats.org/officeDocument/2006/relationships/settings" Target="settings.xml"/><Relationship Id="rId9" Type="http://schemas.openxmlformats.org/officeDocument/2006/relationships/hyperlink" Target="mailto:cgordinewright@deloitte.co.uk/" TargetMode="External"/><Relationship Id="rId14" Type="http://schemas.openxmlformats.org/officeDocument/2006/relationships/hyperlink" Target="http://www.deloit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FA79-E5E4-47A4-8213-CE6AD4BE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Deloitte &amp; Touche LLP</Company>
  <LinksUpToDate>false</LinksUpToDate>
  <CharactersWithSpaces>11085</CharactersWithSpaces>
  <SharedDoc>false</SharedDoc>
  <HLinks>
    <vt:vector size="36" baseType="variant">
      <vt:variant>
        <vt:i4>2424941</vt:i4>
      </vt:variant>
      <vt:variant>
        <vt:i4>15</vt:i4>
      </vt:variant>
      <vt:variant>
        <vt:i4>0</vt:i4>
      </vt:variant>
      <vt:variant>
        <vt:i4>5</vt:i4>
      </vt:variant>
      <vt:variant>
        <vt:lpwstr>http://www.deloitte.co.uk/</vt:lpwstr>
      </vt:variant>
      <vt:variant>
        <vt:lpwstr/>
      </vt:variant>
      <vt:variant>
        <vt:i4>3276899</vt:i4>
      </vt:variant>
      <vt:variant>
        <vt:i4>12</vt:i4>
      </vt:variant>
      <vt:variant>
        <vt:i4>0</vt:i4>
      </vt:variant>
      <vt:variant>
        <vt:i4>5</vt:i4>
      </vt:variant>
      <vt:variant>
        <vt:lpwstr>http://www.deloitte.co.uk/about</vt:lpwstr>
      </vt:variant>
      <vt:variant>
        <vt:lpwstr/>
      </vt:variant>
      <vt:variant>
        <vt:i4>2424941</vt:i4>
      </vt:variant>
      <vt:variant>
        <vt:i4>9</vt:i4>
      </vt:variant>
      <vt:variant>
        <vt:i4>0</vt:i4>
      </vt:variant>
      <vt:variant>
        <vt:i4>5</vt:i4>
      </vt:variant>
      <vt:variant>
        <vt:lpwstr>http://www.deloitte.co.uk/</vt:lpwstr>
      </vt:variant>
      <vt:variant>
        <vt:lpwstr/>
      </vt:variant>
      <vt:variant>
        <vt:i4>8323176</vt:i4>
      </vt:variant>
      <vt:variant>
        <vt:i4>6</vt:i4>
      </vt:variant>
      <vt:variant>
        <vt:i4>0</vt:i4>
      </vt:variant>
      <vt:variant>
        <vt:i4>5</vt:i4>
      </vt:variant>
      <vt:variant>
        <vt:lpwstr>http://www.deloitte.co.uk/graduates/brightstart</vt:lpwstr>
      </vt:variant>
      <vt:variant>
        <vt:lpwstr/>
      </vt:variant>
      <vt:variant>
        <vt:i4>4784171</vt:i4>
      </vt:variant>
      <vt:variant>
        <vt:i4>3</vt:i4>
      </vt:variant>
      <vt:variant>
        <vt:i4>0</vt:i4>
      </vt:variant>
      <vt:variant>
        <vt:i4>5</vt:i4>
      </vt:variant>
      <vt:variant>
        <vt:lpwstr>mailto:zreilly@deloitte.co.uk</vt:lpwstr>
      </vt:variant>
      <vt:variant>
        <vt:lpwstr/>
      </vt:variant>
      <vt:variant>
        <vt:i4>655486</vt:i4>
      </vt:variant>
      <vt:variant>
        <vt:i4>0</vt:i4>
      </vt:variant>
      <vt:variant>
        <vt:i4>0</vt:i4>
      </vt:variant>
      <vt:variant>
        <vt:i4>5</vt:i4>
      </vt:variant>
      <vt:variant>
        <vt:lpwstr>mailto:jaharley@deloitte.co.uk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cgordinewright</dc:creator>
  <cp:lastModifiedBy>cgordinewright</cp:lastModifiedBy>
  <cp:revision>2</cp:revision>
  <cp:lastPrinted>2011-02-08T13:48:00Z</cp:lastPrinted>
  <dcterms:created xsi:type="dcterms:W3CDTF">2011-02-08T13:57:00Z</dcterms:created>
  <dcterms:modified xsi:type="dcterms:W3CDTF">2011-02-08T13:57:00Z</dcterms:modified>
</cp:coreProperties>
</file>