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BC" w:rsidRPr="00697189" w:rsidRDefault="00697189" w:rsidP="00697189">
      <w:pPr>
        <w:pStyle w:val="SLHEADLINE"/>
        <w:rPr>
          <w:rFonts w:ascii="Palatino Linotype" w:hAnsi="Palatino Linotype"/>
          <w:i/>
          <w:sz w:val="24"/>
          <w:lang w:eastAsia="en-US"/>
        </w:rPr>
      </w:pPr>
      <w:r w:rsidRPr="00697189">
        <w:rPr>
          <w:rFonts w:ascii="Palatino Linotype" w:hAnsi="Palatino Linotype"/>
          <w:i/>
          <w:sz w:val="24"/>
          <w:lang w:eastAsia="en-US"/>
        </w:rPr>
        <w:t>Issued 24th March 2015</w:t>
      </w:r>
    </w:p>
    <w:p w:rsidR="004D38BC" w:rsidRPr="009A1255" w:rsidRDefault="002416E3" w:rsidP="004D38BC">
      <w:pPr>
        <w:pStyle w:val="SLBODYCOPY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One in </w:t>
      </w:r>
      <w:r w:rsidR="009A1255" w:rsidRPr="009A1255">
        <w:rPr>
          <w:rFonts w:ascii="Palatino Linotype" w:hAnsi="Palatino Linotype"/>
          <w:b/>
          <w:bCs/>
          <w:sz w:val="32"/>
          <w:szCs w:val="32"/>
        </w:rPr>
        <w:t xml:space="preserve">four Irish </w:t>
      </w:r>
      <w:r>
        <w:rPr>
          <w:rFonts w:ascii="Palatino Linotype" w:hAnsi="Palatino Linotype"/>
          <w:b/>
          <w:bCs/>
          <w:sz w:val="32"/>
          <w:szCs w:val="32"/>
        </w:rPr>
        <w:t xml:space="preserve">holidaymakers to take the </w:t>
      </w:r>
      <w:r w:rsidR="009A1255" w:rsidRPr="009A1255">
        <w:rPr>
          <w:rFonts w:ascii="Palatino Linotype" w:hAnsi="Palatino Linotype"/>
          <w:b/>
          <w:bCs/>
          <w:sz w:val="32"/>
          <w:szCs w:val="32"/>
        </w:rPr>
        <w:t>car in 2015</w:t>
      </w:r>
    </w:p>
    <w:p w:rsidR="009A1255" w:rsidRPr="00CD659B" w:rsidRDefault="002E3041" w:rsidP="009A1255">
      <w:pPr>
        <w:pStyle w:val="NormalWeb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sz w:val="22"/>
          <w:szCs w:val="22"/>
        </w:rPr>
        <w:t>T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aking the car still remains a 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popular 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option for many Irish holidaymakers. 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This year, almost one in </w:t>
      </w:r>
      <w:r w:rsidR="009A1255">
        <w:rPr>
          <w:rFonts w:ascii="Palatino Linotype" w:hAnsi="Palatino Linotype"/>
          <w:b/>
          <w:bCs/>
          <w:sz w:val="22"/>
          <w:szCs w:val="22"/>
        </w:rPr>
        <w:t>four Irish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 holidaymakers are planning to take the car with them on vacation.  </w:t>
      </w:r>
      <w:r w:rsidR="009A1255">
        <w:rPr>
          <w:rFonts w:ascii="Palatino Linotype" w:hAnsi="Palatino Linotype"/>
          <w:b/>
          <w:bCs/>
          <w:sz w:val="22"/>
          <w:szCs w:val="22"/>
        </w:rPr>
        <w:t>France, the U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K </w:t>
      </w:r>
      <w:r w:rsidR="009A1255">
        <w:rPr>
          <w:rFonts w:ascii="Palatino Linotype" w:hAnsi="Palatino Linotype"/>
          <w:b/>
          <w:bCs/>
          <w:sz w:val="22"/>
          <w:szCs w:val="22"/>
        </w:rPr>
        <w:t>and Spain top the list of places most like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ly 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to visit. 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 Recent research also shows that I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rish 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holidaymakers </w:t>
      </w:r>
      <w:r w:rsidR="009A1255">
        <w:rPr>
          <w:rFonts w:ascii="Palatino Linotype" w:hAnsi="Palatino Linotype"/>
          <w:b/>
          <w:bCs/>
          <w:sz w:val="22"/>
          <w:szCs w:val="22"/>
        </w:rPr>
        <w:t>like to fill up the</w:t>
      </w:r>
      <w:r w:rsidR="002416E3">
        <w:rPr>
          <w:rFonts w:ascii="Palatino Linotype" w:hAnsi="Palatino Linotype"/>
          <w:b/>
          <w:bCs/>
          <w:sz w:val="22"/>
          <w:szCs w:val="22"/>
        </w:rPr>
        <w:t>ir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 boot</w:t>
      </w:r>
      <w:r w:rsidR="002416E3">
        <w:rPr>
          <w:rFonts w:ascii="Palatino Linotype" w:hAnsi="Palatino Linotype"/>
          <w:b/>
          <w:bCs/>
          <w:sz w:val="22"/>
          <w:szCs w:val="22"/>
        </w:rPr>
        <w:t>s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 during the trip buy</w:t>
      </w:r>
      <w:r w:rsidR="002416E3">
        <w:rPr>
          <w:rFonts w:ascii="Palatino Linotype" w:hAnsi="Palatino Linotype"/>
          <w:b/>
          <w:bCs/>
          <w:sz w:val="22"/>
          <w:szCs w:val="22"/>
        </w:rPr>
        <w:t>ing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 local delicacies, souvenirs and clothes to take home</w:t>
      </w:r>
      <w:r w:rsidR="002416E3">
        <w:rPr>
          <w:rFonts w:ascii="Palatino Linotype" w:hAnsi="Palatino Linotype"/>
          <w:b/>
          <w:bCs/>
          <w:sz w:val="22"/>
          <w:szCs w:val="22"/>
        </w:rPr>
        <w:t>.</w:t>
      </w:r>
      <w:r w:rsidR="00D761D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416E3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A1255">
        <w:rPr>
          <w:rFonts w:ascii="Palatino Linotype" w:hAnsi="Palatino Linotype"/>
          <w:b/>
          <w:bCs/>
          <w:sz w:val="22"/>
          <w:szCs w:val="22"/>
        </w:rPr>
        <w:t>Th</w:t>
      </w:r>
      <w:r w:rsidR="00D761D6">
        <w:rPr>
          <w:rFonts w:ascii="Palatino Linotype" w:hAnsi="Palatino Linotype"/>
          <w:b/>
          <w:bCs/>
          <w:sz w:val="22"/>
          <w:szCs w:val="22"/>
        </w:rPr>
        <w:t>e results are re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vealed in the </w:t>
      </w:r>
      <w:r w:rsidR="009A1255" w:rsidRPr="00D761D6">
        <w:rPr>
          <w:rFonts w:ascii="Palatino Linotype" w:hAnsi="Palatino Linotype"/>
          <w:b/>
          <w:bCs/>
          <w:i/>
          <w:sz w:val="22"/>
          <w:szCs w:val="22"/>
        </w:rPr>
        <w:t>Car Holiday Report 2015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 – a </w:t>
      </w:r>
      <w:r w:rsidR="00D761D6">
        <w:rPr>
          <w:rFonts w:ascii="Palatino Linotype" w:hAnsi="Palatino Linotype"/>
          <w:b/>
          <w:bCs/>
          <w:sz w:val="22"/>
          <w:szCs w:val="22"/>
        </w:rPr>
        <w:t xml:space="preserve">survey commissioned by </w:t>
      </w:r>
      <w:r w:rsidR="009A1255">
        <w:rPr>
          <w:rFonts w:ascii="Palatino Linotype" w:hAnsi="Palatino Linotype"/>
          <w:b/>
          <w:bCs/>
          <w:sz w:val="22"/>
          <w:szCs w:val="22"/>
        </w:rPr>
        <w:t>Stena Line on the car holiday habits of Irish</w:t>
      </w:r>
      <w:r w:rsidR="00D761D6">
        <w:rPr>
          <w:rFonts w:ascii="Palatino Linotype" w:hAnsi="Palatino Linotype"/>
          <w:b/>
          <w:bCs/>
          <w:sz w:val="22"/>
          <w:szCs w:val="22"/>
        </w:rPr>
        <w:t xml:space="preserve"> holidaymakers</w:t>
      </w:r>
      <w:r w:rsidR="009A1255">
        <w:rPr>
          <w:rFonts w:ascii="Palatino Linotype" w:hAnsi="Palatino Linotype"/>
          <w:b/>
          <w:bCs/>
          <w:sz w:val="22"/>
          <w:szCs w:val="22"/>
        </w:rPr>
        <w:t xml:space="preserve">. </w:t>
      </w:r>
    </w:p>
    <w:p w:rsidR="009A1255" w:rsidRPr="00CD659B" w:rsidRDefault="009A1255" w:rsidP="009A125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</w:rPr>
        <w:t xml:space="preserve">The </w:t>
      </w:r>
      <w:r w:rsidRPr="00D761D6">
        <w:rPr>
          <w:rFonts w:ascii="Palatino Linotype" w:hAnsi="Palatino Linotype"/>
          <w:i/>
          <w:sz w:val="22"/>
          <w:szCs w:val="22"/>
        </w:rPr>
        <w:t>Car Holiday Report</w:t>
      </w:r>
      <w:r>
        <w:rPr>
          <w:rFonts w:ascii="Palatino Linotype" w:hAnsi="Palatino Linotype"/>
          <w:sz w:val="22"/>
          <w:szCs w:val="22"/>
        </w:rPr>
        <w:t xml:space="preserve"> is based on a statistically significant survey</w:t>
      </w:r>
      <w:r w:rsidR="00D761D6">
        <w:rPr>
          <w:rFonts w:ascii="Palatino Linotype" w:hAnsi="Palatino Linotype"/>
          <w:sz w:val="22"/>
          <w:szCs w:val="22"/>
        </w:rPr>
        <w:t xml:space="preserve"> sample of over </w:t>
      </w:r>
      <w:r w:rsidR="00EF55A9">
        <w:rPr>
          <w:rFonts w:ascii="Palatino Linotype" w:hAnsi="Palatino Linotype"/>
          <w:sz w:val="22"/>
          <w:szCs w:val="22"/>
        </w:rPr>
        <w:t>1</w:t>
      </w:r>
      <w:r w:rsidR="00D761D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000 people answer</w:t>
      </w:r>
      <w:r w:rsidR="00D761D6">
        <w:rPr>
          <w:rFonts w:ascii="Palatino Linotype" w:hAnsi="Palatino Linotype"/>
          <w:sz w:val="22"/>
          <w:szCs w:val="22"/>
        </w:rPr>
        <w:t xml:space="preserve">ing </w:t>
      </w:r>
      <w:r>
        <w:rPr>
          <w:rFonts w:ascii="Palatino Linotype" w:hAnsi="Palatino Linotype"/>
          <w:sz w:val="22"/>
          <w:szCs w:val="22"/>
        </w:rPr>
        <w:t>questions about going on holiday by car. The results show that t</w:t>
      </w:r>
      <w:r w:rsidR="00D761D6">
        <w:rPr>
          <w:rFonts w:ascii="Palatino Linotype" w:hAnsi="Palatino Linotype"/>
          <w:sz w:val="22"/>
          <w:szCs w:val="22"/>
        </w:rPr>
        <w:t xml:space="preserve">aking the car on holiday </w:t>
      </w:r>
      <w:r>
        <w:rPr>
          <w:rFonts w:ascii="Palatino Linotype" w:hAnsi="Palatino Linotype"/>
          <w:sz w:val="22"/>
          <w:szCs w:val="22"/>
        </w:rPr>
        <w:t xml:space="preserve">is </w:t>
      </w:r>
      <w:r w:rsidR="00D761D6">
        <w:rPr>
          <w:rFonts w:ascii="Palatino Linotype" w:hAnsi="Palatino Linotype"/>
          <w:sz w:val="22"/>
          <w:szCs w:val="22"/>
        </w:rPr>
        <w:t>still close to I</w:t>
      </w:r>
      <w:r>
        <w:rPr>
          <w:rFonts w:ascii="Palatino Linotype" w:hAnsi="Palatino Linotype"/>
          <w:sz w:val="22"/>
          <w:szCs w:val="22"/>
        </w:rPr>
        <w:t>rish</w:t>
      </w:r>
      <w:r w:rsidR="00D761D6">
        <w:rPr>
          <w:rFonts w:ascii="Palatino Linotype" w:hAnsi="Palatino Linotype"/>
          <w:sz w:val="22"/>
          <w:szCs w:val="22"/>
        </w:rPr>
        <w:t xml:space="preserve"> hearts</w:t>
      </w:r>
      <w:r>
        <w:rPr>
          <w:rFonts w:ascii="Palatino Linotype" w:hAnsi="Palatino Linotype"/>
          <w:sz w:val="22"/>
          <w:szCs w:val="22"/>
        </w:rPr>
        <w:t>. This year, two out of ten Irish</w:t>
      </w:r>
      <w:r w:rsidR="00D761D6">
        <w:rPr>
          <w:rFonts w:ascii="Palatino Linotype" w:hAnsi="Palatino Linotype"/>
          <w:sz w:val="22"/>
          <w:szCs w:val="22"/>
        </w:rPr>
        <w:t xml:space="preserve"> holidaymakers</w:t>
      </w:r>
      <w:r>
        <w:rPr>
          <w:rFonts w:ascii="Palatino Linotype" w:hAnsi="Palatino Linotype"/>
          <w:sz w:val="22"/>
          <w:szCs w:val="22"/>
        </w:rPr>
        <w:t>, 23</w:t>
      </w:r>
      <w:r w:rsidR="00D761D6">
        <w:rPr>
          <w:rFonts w:ascii="Palatino Linotype" w:hAnsi="Palatino Linotype"/>
          <w:sz w:val="22"/>
          <w:szCs w:val="22"/>
        </w:rPr>
        <w:t xml:space="preserve"> %</w:t>
      </w:r>
      <w:r>
        <w:rPr>
          <w:rFonts w:ascii="Palatino Linotype" w:hAnsi="Palatino Linotype"/>
          <w:sz w:val="22"/>
          <w:szCs w:val="22"/>
        </w:rPr>
        <w:t>, will take a h</w:t>
      </w:r>
      <w:r w:rsidR="00D761D6">
        <w:rPr>
          <w:rFonts w:ascii="Palatino Linotype" w:hAnsi="Palatino Linotype"/>
          <w:sz w:val="22"/>
          <w:szCs w:val="22"/>
        </w:rPr>
        <w:t xml:space="preserve">oliday by car. France is the most popular destination with </w:t>
      </w:r>
      <w:r>
        <w:rPr>
          <w:rFonts w:ascii="Palatino Linotype" w:hAnsi="Palatino Linotype"/>
          <w:sz w:val="22"/>
          <w:szCs w:val="22"/>
        </w:rPr>
        <w:t xml:space="preserve">32 </w:t>
      </w:r>
      <w:r w:rsidR="00D761D6">
        <w:rPr>
          <w:rFonts w:ascii="Palatino Linotype" w:hAnsi="Palatino Linotype"/>
          <w:sz w:val="22"/>
          <w:szCs w:val="22"/>
        </w:rPr>
        <w:t xml:space="preserve">% of respondents saying that they are </w:t>
      </w:r>
      <w:r>
        <w:rPr>
          <w:rFonts w:ascii="Palatino Linotype" w:hAnsi="Palatino Linotype"/>
          <w:sz w:val="22"/>
          <w:szCs w:val="22"/>
        </w:rPr>
        <w:t xml:space="preserve">planning </w:t>
      </w:r>
      <w:r w:rsidR="00D761D6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 xml:space="preserve">visit. </w:t>
      </w:r>
      <w:r w:rsidR="00D761D6">
        <w:rPr>
          <w:rFonts w:ascii="Palatino Linotype" w:hAnsi="Palatino Linotype"/>
          <w:sz w:val="22"/>
          <w:szCs w:val="22"/>
        </w:rPr>
        <w:t xml:space="preserve"> After France, the </w:t>
      </w:r>
      <w:r>
        <w:rPr>
          <w:rFonts w:ascii="Palatino Linotype" w:hAnsi="Palatino Linotype"/>
          <w:sz w:val="22"/>
          <w:szCs w:val="22"/>
        </w:rPr>
        <w:t>U</w:t>
      </w:r>
      <w:r w:rsidR="00D761D6">
        <w:rPr>
          <w:rFonts w:ascii="Palatino Linotype" w:hAnsi="Palatino Linotype"/>
          <w:sz w:val="22"/>
          <w:szCs w:val="22"/>
        </w:rPr>
        <w:t xml:space="preserve">K and </w:t>
      </w:r>
      <w:r>
        <w:rPr>
          <w:rFonts w:ascii="Palatino Linotype" w:hAnsi="Palatino Linotype"/>
          <w:sz w:val="22"/>
          <w:szCs w:val="22"/>
        </w:rPr>
        <w:t xml:space="preserve">Spain, </w:t>
      </w:r>
      <w:r w:rsidR="00D761D6">
        <w:rPr>
          <w:rFonts w:ascii="Palatino Linotype" w:hAnsi="Palatino Linotype"/>
          <w:sz w:val="22"/>
          <w:szCs w:val="22"/>
        </w:rPr>
        <w:t xml:space="preserve">come next with </w:t>
      </w:r>
      <w:r>
        <w:rPr>
          <w:rFonts w:ascii="Palatino Linotype" w:hAnsi="Palatino Linotype"/>
          <w:sz w:val="22"/>
          <w:szCs w:val="22"/>
        </w:rPr>
        <w:t>27</w:t>
      </w:r>
      <w:r w:rsidR="00D761D6">
        <w:rPr>
          <w:rFonts w:ascii="Palatino Linotype" w:hAnsi="Palatino Linotype"/>
          <w:sz w:val="22"/>
          <w:szCs w:val="22"/>
        </w:rPr>
        <w:t>%</w:t>
      </w:r>
      <w:r>
        <w:rPr>
          <w:rFonts w:ascii="Palatino Linotype" w:hAnsi="Palatino Linotype"/>
          <w:sz w:val="22"/>
          <w:szCs w:val="22"/>
        </w:rPr>
        <w:t xml:space="preserve"> and 13</w:t>
      </w:r>
      <w:r w:rsidR="00D761D6">
        <w:rPr>
          <w:rFonts w:ascii="Palatino Linotype" w:hAnsi="Palatino Linotype"/>
          <w:sz w:val="22"/>
          <w:szCs w:val="22"/>
        </w:rPr>
        <w:t xml:space="preserve">% </w:t>
      </w:r>
      <w:r>
        <w:rPr>
          <w:rFonts w:ascii="Palatino Linotype" w:hAnsi="Palatino Linotype"/>
          <w:sz w:val="22"/>
          <w:szCs w:val="22"/>
        </w:rPr>
        <w:t xml:space="preserve">respectively. Germany and Italy also </w:t>
      </w:r>
      <w:r w:rsidR="00D761D6">
        <w:rPr>
          <w:rFonts w:ascii="Palatino Linotype" w:hAnsi="Palatino Linotype"/>
          <w:sz w:val="22"/>
          <w:szCs w:val="22"/>
        </w:rPr>
        <w:t xml:space="preserve">feature as </w:t>
      </w:r>
      <w:r>
        <w:rPr>
          <w:rFonts w:ascii="Palatino Linotype" w:hAnsi="Palatino Linotype"/>
          <w:sz w:val="22"/>
          <w:szCs w:val="22"/>
        </w:rPr>
        <w:t xml:space="preserve">popular </w:t>
      </w:r>
      <w:r w:rsidR="00D761D6">
        <w:rPr>
          <w:rFonts w:ascii="Palatino Linotype" w:hAnsi="Palatino Linotype"/>
          <w:sz w:val="22"/>
          <w:szCs w:val="22"/>
        </w:rPr>
        <w:t>destinations on the list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9A1255" w:rsidRPr="00CD659B" w:rsidRDefault="009A1255" w:rsidP="009A125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en-US"/>
        </w:rPr>
      </w:pPr>
    </w:p>
    <w:p w:rsidR="009A1255" w:rsidRPr="00CD659B" w:rsidRDefault="007F1DF7" w:rsidP="009A125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</w:rPr>
        <w:t xml:space="preserve">In the survey, </w:t>
      </w:r>
      <w:r w:rsidR="009A1255">
        <w:rPr>
          <w:rFonts w:ascii="Palatino Linotype" w:hAnsi="Palatino Linotype"/>
          <w:sz w:val="22"/>
          <w:szCs w:val="22"/>
        </w:rPr>
        <w:t>74</w:t>
      </w:r>
      <w:r>
        <w:rPr>
          <w:rFonts w:ascii="Palatino Linotype" w:hAnsi="Palatino Linotype"/>
          <w:sz w:val="22"/>
          <w:szCs w:val="22"/>
        </w:rPr>
        <w:t xml:space="preserve">% of Irish holidaymakers said that they </w:t>
      </w:r>
      <w:r w:rsidR="009A1255">
        <w:rPr>
          <w:rFonts w:ascii="Palatino Linotype" w:hAnsi="Palatino Linotype"/>
          <w:sz w:val="22"/>
          <w:szCs w:val="22"/>
        </w:rPr>
        <w:t xml:space="preserve">feel that a car holiday </w:t>
      </w:r>
      <w:r>
        <w:rPr>
          <w:rFonts w:ascii="Palatino Linotype" w:hAnsi="Palatino Linotype"/>
          <w:sz w:val="22"/>
          <w:szCs w:val="22"/>
        </w:rPr>
        <w:t xml:space="preserve">provides them with </w:t>
      </w:r>
      <w:r w:rsidR="009A1255">
        <w:rPr>
          <w:rFonts w:ascii="Palatino Linotype" w:hAnsi="Palatino Linotype"/>
          <w:sz w:val="22"/>
          <w:szCs w:val="22"/>
        </w:rPr>
        <w:t>greater freedom and flexibility</w:t>
      </w:r>
      <w:r>
        <w:rPr>
          <w:rFonts w:ascii="Palatino Linotype" w:hAnsi="Palatino Linotype"/>
          <w:sz w:val="22"/>
          <w:szCs w:val="22"/>
        </w:rPr>
        <w:t xml:space="preserve"> when on vacation</w:t>
      </w:r>
      <w:r w:rsidR="009A1255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A1255">
        <w:rPr>
          <w:rFonts w:ascii="Palatino Linotype" w:hAnsi="Palatino Linotype"/>
          <w:sz w:val="22"/>
          <w:szCs w:val="22"/>
        </w:rPr>
        <w:t>Six out of ten also fe</w:t>
      </w:r>
      <w:r>
        <w:rPr>
          <w:rFonts w:ascii="Palatino Linotype" w:hAnsi="Palatino Linotype"/>
          <w:sz w:val="22"/>
          <w:szCs w:val="22"/>
        </w:rPr>
        <w:t xml:space="preserve">el </w:t>
      </w:r>
      <w:r w:rsidR="009A1255">
        <w:rPr>
          <w:rFonts w:ascii="Palatino Linotype" w:hAnsi="Palatino Linotype"/>
          <w:sz w:val="22"/>
          <w:szCs w:val="22"/>
        </w:rPr>
        <w:t xml:space="preserve">that the </w:t>
      </w:r>
      <w:r>
        <w:rPr>
          <w:rFonts w:ascii="Palatino Linotype" w:hAnsi="Palatino Linotype"/>
          <w:sz w:val="22"/>
          <w:szCs w:val="22"/>
        </w:rPr>
        <w:t xml:space="preserve">one of the </w:t>
      </w:r>
      <w:r w:rsidR="009A1255">
        <w:rPr>
          <w:rFonts w:ascii="Palatino Linotype" w:hAnsi="Palatino Linotype"/>
          <w:sz w:val="22"/>
          <w:szCs w:val="22"/>
        </w:rPr>
        <w:t>best thing</w:t>
      </w:r>
      <w:r>
        <w:rPr>
          <w:rFonts w:ascii="Palatino Linotype" w:hAnsi="Palatino Linotype"/>
          <w:sz w:val="22"/>
          <w:szCs w:val="22"/>
        </w:rPr>
        <w:t>s</w:t>
      </w:r>
      <w:r w:rsidR="009A125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about </w:t>
      </w:r>
      <w:r w:rsidR="009A1255">
        <w:rPr>
          <w:rFonts w:ascii="Palatino Linotype" w:hAnsi="Palatino Linotype"/>
          <w:sz w:val="22"/>
          <w:szCs w:val="22"/>
        </w:rPr>
        <w:t xml:space="preserve">holidaying by car is the opportunity to experience spontaneous happenings along the way.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A1255">
        <w:rPr>
          <w:rFonts w:ascii="Palatino Linotype" w:hAnsi="Palatino Linotype"/>
          <w:sz w:val="22"/>
          <w:szCs w:val="22"/>
        </w:rPr>
        <w:t xml:space="preserve">Another </w:t>
      </w:r>
      <w:r>
        <w:rPr>
          <w:rFonts w:ascii="Palatino Linotype" w:hAnsi="Palatino Linotype"/>
          <w:sz w:val="22"/>
          <w:szCs w:val="22"/>
        </w:rPr>
        <w:t xml:space="preserve">big advantage of </w:t>
      </w:r>
      <w:r w:rsidR="009A1255">
        <w:rPr>
          <w:rFonts w:ascii="Palatino Linotype" w:hAnsi="Palatino Linotype"/>
          <w:sz w:val="22"/>
          <w:szCs w:val="22"/>
        </w:rPr>
        <w:t>travelling by car, according to Irish</w:t>
      </w:r>
      <w:r>
        <w:rPr>
          <w:rFonts w:ascii="Palatino Linotype" w:hAnsi="Palatino Linotype"/>
          <w:sz w:val="22"/>
          <w:szCs w:val="22"/>
        </w:rPr>
        <w:t xml:space="preserve"> holidaymakers</w:t>
      </w:r>
      <w:r w:rsidR="009A1255">
        <w:rPr>
          <w:rFonts w:ascii="Palatino Linotype" w:hAnsi="Palatino Linotype"/>
          <w:sz w:val="22"/>
          <w:szCs w:val="22"/>
        </w:rPr>
        <w:t xml:space="preserve">, is the opportunity to buy things to take home. Local delicacies, souvenirs and clothes come top when they are asked what they </w:t>
      </w:r>
      <w:r>
        <w:rPr>
          <w:rFonts w:ascii="Palatino Linotype" w:hAnsi="Palatino Linotype"/>
          <w:sz w:val="22"/>
          <w:szCs w:val="22"/>
        </w:rPr>
        <w:t xml:space="preserve">are </w:t>
      </w:r>
      <w:r w:rsidR="009A1255">
        <w:rPr>
          <w:rFonts w:ascii="Palatino Linotype" w:hAnsi="Palatino Linotype"/>
          <w:sz w:val="22"/>
          <w:szCs w:val="22"/>
        </w:rPr>
        <w:t>most like</w:t>
      </w:r>
      <w:r>
        <w:rPr>
          <w:rFonts w:ascii="Palatino Linotype" w:hAnsi="Palatino Linotype"/>
          <w:sz w:val="22"/>
          <w:szCs w:val="22"/>
        </w:rPr>
        <w:t>ly</w:t>
      </w:r>
      <w:r w:rsidR="009A1255">
        <w:rPr>
          <w:rFonts w:ascii="Palatino Linotype" w:hAnsi="Palatino Linotype"/>
          <w:sz w:val="22"/>
          <w:szCs w:val="22"/>
        </w:rPr>
        <w:t xml:space="preserve"> to buy while on a car holiday.   </w:t>
      </w:r>
    </w:p>
    <w:p w:rsidR="009A1255" w:rsidRPr="00CD659B" w:rsidRDefault="009A1255" w:rsidP="009A1255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  <w:lang w:val="en-US"/>
        </w:rPr>
      </w:pPr>
    </w:p>
    <w:p w:rsidR="009A1255" w:rsidRPr="00CD659B" w:rsidRDefault="00C24730" w:rsidP="009A1255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  <w:lang w:val="en-US"/>
        </w:rPr>
      </w:pPr>
      <w:r>
        <w:rPr>
          <w:rFonts w:ascii="Palatino Linotype" w:hAnsi="Palatino Linotype" w:cs="Helvetica"/>
          <w:sz w:val="22"/>
          <w:szCs w:val="22"/>
        </w:rPr>
        <w:t xml:space="preserve">The survey also </w:t>
      </w:r>
      <w:r w:rsidR="009A1255">
        <w:rPr>
          <w:rFonts w:ascii="Palatino Linotype" w:hAnsi="Palatino Linotype" w:cs="Helvetica"/>
          <w:sz w:val="22"/>
          <w:szCs w:val="22"/>
        </w:rPr>
        <w:t>measure</w:t>
      </w:r>
      <w:r>
        <w:rPr>
          <w:rFonts w:ascii="Palatino Linotype" w:hAnsi="Palatino Linotype" w:cs="Helvetica"/>
          <w:sz w:val="22"/>
          <w:szCs w:val="22"/>
        </w:rPr>
        <w:t>d</w:t>
      </w:r>
      <w:r w:rsidR="009A1255">
        <w:rPr>
          <w:rFonts w:ascii="Palatino Linotype" w:hAnsi="Palatino Linotype" w:cs="Helvetica"/>
          <w:sz w:val="22"/>
          <w:szCs w:val="22"/>
        </w:rPr>
        <w:t xml:space="preserve"> the popularity of holidaying by car among </w:t>
      </w:r>
      <w:r>
        <w:rPr>
          <w:rFonts w:ascii="Palatino Linotype" w:hAnsi="Palatino Linotype" w:cs="Helvetica"/>
          <w:sz w:val="22"/>
          <w:szCs w:val="22"/>
        </w:rPr>
        <w:t xml:space="preserve">eight other European countries </w:t>
      </w:r>
      <w:r w:rsidR="009A1255">
        <w:rPr>
          <w:rFonts w:ascii="Palatino Linotype" w:hAnsi="Palatino Linotype" w:cs="Helvetica"/>
          <w:sz w:val="22"/>
          <w:szCs w:val="22"/>
        </w:rPr>
        <w:t>including Germany, Norway, the U</w:t>
      </w:r>
      <w:r>
        <w:rPr>
          <w:rFonts w:ascii="Palatino Linotype" w:hAnsi="Palatino Linotype" w:cs="Helvetica"/>
          <w:sz w:val="22"/>
          <w:szCs w:val="22"/>
        </w:rPr>
        <w:t>K a</w:t>
      </w:r>
      <w:r w:rsidR="009A1255">
        <w:rPr>
          <w:rFonts w:ascii="Palatino Linotype" w:hAnsi="Palatino Linotype" w:cs="Helvetica"/>
          <w:sz w:val="22"/>
          <w:szCs w:val="22"/>
        </w:rPr>
        <w:t xml:space="preserve">nd France. </w:t>
      </w:r>
      <w:r>
        <w:rPr>
          <w:rFonts w:ascii="Palatino Linotype" w:hAnsi="Palatino Linotype" w:cs="Helvetica"/>
          <w:sz w:val="22"/>
          <w:szCs w:val="22"/>
        </w:rPr>
        <w:t xml:space="preserve"> </w:t>
      </w:r>
      <w:r w:rsidR="009A1255">
        <w:rPr>
          <w:rFonts w:ascii="Palatino Linotype" w:hAnsi="Palatino Linotype" w:cs="Helvetica"/>
          <w:sz w:val="22"/>
          <w:szCs w:val="22"/>
        </w:rPr>
        <w:t>"This year, we have carried out a global car holiday survey on all of our markets and we can see that the interest in tak</w:t>
      </w:r>
      <w:r>
        <w:rPr>
          <w:rFonts w:ascii="Palatino Linotype" w:hAnsi="Palatino Linotype" w:cs="Helvetica"/>
          <w:sz w:val="22"/>
          <w:szCs w:val="22"/>
        </w:rPr>
        <w:t xml:space="preserve">ing the car on holiday is also significant </w:t>
      </w:r>
      <w:r w:rsidR="009A1255">
        <w:rPr>
          <w:rFonts w:ascii="Palatino Linotype" w:hAnsi="Palatino Linotype" w:cs="Helvetica"/>
          <w:sz w:val="22"/>
          <w:szCs w:val="22"/>
        </w:rPr>
        <w:t xml:space="preserve">outside </w:t>
      </w:r>
      <w:r w:rsidR="004606ED">
        <w:rPr>
          <w:rFonts w:ascii="Palatino Linotype" w:hAnsi="Palatino Linotype" w:cs="Helvetica"/>
          <w:sz w:val="22"/>
          <w:szCs w:val="22"/>
        </w:rPr>
        <w:t>of I</w:t>
      </w:r>
      <w:r w:rsidR="009A1255">
        <w:rPr>
          <w:rFonts w:ascii="Palatino Linotype" w:hAnsi="Palatino Linotype" w:cs="Helvetica"/>
          <w:sz w:val="22"/>
          <w:szCs w:val="22"/>
        </w:rPr>
        <w:t xml:space="preserve">reland. </w:t>
      </w:r>
      <w:r>
        <w:rPr>
          <w:rFonts w:ascii="Palatino Linotype" w:hAnsi="Palatino Linotype" w:cs="Helvetica"/>
          <w:sz w:val="22"/>
          <w:szCs w:val="22"/>
        </w:rPr>
        <w:t xml:space="preserve"> </w:t>
      </w:r>
      <w:r w:rsidR="009A1255">
        <w:rPr>
          <w:rFonts w:ascii="Palatino Linotype" w:hAnsi="Palatino Linotype" w:cs="Helvetica"/>
          <w:sz w:val="22"/>
          <w:szCs w:val="22"/>
        </w:rPr>
        <w:t>Th</w:t>
      </w:r>
      <w:r>
        <w:rPr>
          <w:rFonts w:ascii="Palatino Linotype" w:hAnsi="Palatino Linotype" w:cs="Helvetica"/>
          <w:sz w:val="22"/>
          <w:szCs w:val="22"/>
        </w:rPr>
        <w:t xml:space="preserve">e nation most likely to take a car holiday </w:t>
      </w:r>
      <w:r w:rsidR="009A1255">
        <w:rPr>
          <w:rFonts w:ascii="Palatino Linotype" w:hAnsi="Palatino Linotype" w:cs="Helvetica"/>
          <w:sz w:val="22"/>
          <w:szCs w:val="22"/>
        </w:rPr>
        <w:t>are the French, where almost seven out of ten are planning to take to the roads of Europe this year,</w:t>
      </w:r>
      <w:r w:rsidR="00EC63C1">
        <w:rPr>
          <w:rFonts w:ascii="Palatino Linotype" w:hAnsi="Palatino Linotype" w:cs="Helvetica"/>
          <w:sz w:val="22"/>
          <w:szCs w:val="22"/>
        </w:rPr>
        <w:t>”</w:t>
      </w:r>
      <w:r w:rsidR="009A1255">
        <w:rPr>
          <w:rFonts w:ascii="Palatino Linotype" w:hAnsi="Palatino Linotype" w:cs="Helvetica"/>
          <w:sz w:val="22"/>
          <w:szCs w:val="22"/>
        </w:rPr>
        <w:t xml:space="preserve"> says </w:t>
      </w:r>
      <w:r w:rsidR="009A1255" w:rsidRPr="00D91986">
        <w:rPr>
          <w:rFonts w:ascii="Palatino Linotype" w:hAnsi="Palatino Linotype" w:cs="Helvetica"/>
          <w:sz w:val="22"/>
          <w:szCs w:val="22"/>
        </w:rPr>
        <w:t xml:space="preserve">Orla Noonan, Head of </w:t>
      </w:r>
      <w:r w:rsidR="007850C8">
        <w:rPr>
          <w:rFonts w:ascii="Palatino Linotype" w:hAnsi="Palatino Linotype" w:cs="Helvetica"/>
          <w:sz w:val="22"/>
          <w:szCs w:val="22"/>
        </w:rPr>
        <w:t xml:space="preserve">Travel, </w:t>
      </w:r>
      <w:r w:rsidR="009A1255" w:rsidRPr="00D91986">
        <w:rPr>
          <w:rFonts w:ascii="Palatino Linotype" w:hAnsi="Palatino Linotype" w:cs="Helvetica"/>
          <w:sz w:val="22"/>
          <w:szCs w:val="22"/>
        </w:rPr>
        <w:t>Irish Sea.</w:t>
      </w:r>
    </w:p>
    <w:p w:rsidR="009A1255" w:rsidRPr="00CD659B" w:rsidRDefault="009A1255" w:rsidP="009A125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en-US"/>
        </w:rPr>
      </w:pPr>
    </w:p>
    <w:p w:rsidR="009A1255" w:rsidRPr="00AA2AF6" w:rsidRDefault="009A1255" w:rsidP="009A125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For more information, contact: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p w:rsidR="009A1255" w:rsidRPr="005254D4" w:rsidRDefault="00697189" w:rsidP="009A125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>Fiona Brown, Duffy rafferty Communications</w:t>
      </w:r>
      <w:r w:rsidR="009A1255"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>, tel +44</w:t>
      </w:r>
      <w:r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 xml:space="preserve"> (0) 28 9073 0880 </w:t>
      </w:r>
      <w:r w:rsidR="009A1255"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>or</w:t>
      </w:r>
      <w:r w:rsidR="009A1255" w:rsidRPr="005254D4"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 xml:space="preserve"> </w:t>
      </w:r>
      <w:r w:rsidR="009A1255"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>e-</w:t>
      </w:r>
      <w:r w:rsidR="009A1255" w:rsidRPr="005254D4"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 xml:space="preserve">mail </w:t>
      </w:r>
      <w:hyperlink r:id="rId7" w:history="1">
        <w:r w:rsidRPr="00D77EF4">
          <w:rPr>
            <w:rStyle w:val="Hyperlink"/>
            <w:rFonts w:ascii="Palatino Linotype" w:eastAsiaTheme="minorEastAsia" w:hAnsi="Palatino Linotype" w:cs="Helvetica Neue"/>
            <w:i/>
            <w:iCs/>
            <w:sz w:val="22"/>
            <w:szCs w:val="22"/>
            <w:lang w:eastAsia="sv-SE"/>
          </w:rPr>
          <w:t xml:space="preserve">fiona@duffyrafferty.com </w:t>
        </w:r>
      </w:hyperlink>
      <w:r w:rsidR="009A1255" w:rsidRPr="005254D4">
        <w:rPr>
          <w:rFonts w:ascii="Palatino Linotype" w:eastAsiaTheme="minorEastAsia" w:hAnsi="Palatino Linotype" w:cs="Helvetica Neue"/>
          <w:i/>
          <w:iCs/>
          <w:color w:val="434343"/>
          <w:sz w:val="22"/>
          <w:szCs w:val="22"/>
          <w:lang w:eastAsia="sv-SE"/>
        </w:rPr>
        <w:t xml:space="preserve"> </w:t>
      </w:r>
    </w:p>
    <w:p w:rsidR="009A1255" w:rsidRDefault="009A1255" w:rsidP="009A125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9A1255" w:rsidRDefault="009A1255" w:rsidP="009A1255">
      <w:pPr>
        <w:rPr>
          <w:rFonts w:ascii="Palatino Linotype" w:hAnsi="Palatino Linotype"/>
          <w:b/>
          <w:sz w:val="22"/>
        </w:rPr>
      </w:pPr>
    </w:p>
    <w:p w:rsidR="009A1255" w:rsidRDefault="009A1255" w:rsidP="009A1255">
      <w:pPr>
        <w:rPr>
          <w:rFonts w:ascii="Palatino Linotype" w:hAnsi="Palatino Linotype"/>
          <w:b/>
          <w:sz w:val="22"/>
        </w:rPr>
      </w:pPr>
    </w:p>
    <w:p w:rsidR="009A1255" w:rsidRDefault="009A1255" w:rsidP="009A1255">
      <w:pPr>
        <w:rPr>
          <w:rFonts w:ascii="Palatino Linotype" w:hAnsi="Palatino Linotype"/>
          <w:b/>
          <w:sz w:val="22"/>
        </w:rPr>
      </w:pPr>
    </w:p>
    <w:p w:rsidR="009A1255" w:rsidRDefault="009A1255" w:rsidP="009A1255">
      <w:pPr>
        <w:rPr>
          <w:rFonts w:ascii="Palatino Linotype" w:hAnsi="Palatino Linotype"/>
          <w:b/>
          <w:sz w:val="22"/>
        </w:rPr>
      </w:pPr>
    </w:p>
    <w:p w:rsidR="009A1255" w:rsidRDefault="009A1255" w:rsidP="009A1255">
      <w:pPr>
        <w:rPr>
          <w:rFonts w:ascii="Palatino Linotype" w:hAnsi="Palatino Linotype"/>
          <w:b/>
          <w:sz w:val="22"/>
        </w:rPr>
      </w:pPr>
    </w:p>
    <w:p w:rsidR="009A1255" w:rsidRPr="00CD659B" w:rsidRDefault="009A1255" w:rsidP="009A1255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b/>
          <w:sz w:val="48"/>
          <w:szCs w:val="48"/>
          <w:lang w:val="en-US"/>
        </w:rPr>
      </w:pPr>
      <w:r>
        <w:rPr>
          <w:rFonts w:ascii="Palatino Linotype" w:hAnsi="Palatino Linotype" w:cs="Helvetica"/>
          <w:b/>
          <w:bCs/>
          <w:sz w:val="48"/>
          <w:szCs w:val="48"/>
        </w:rPr>
        <w:lastRenderedPageBreak/>
        <w:t>Stena Line's Car Holiday Report 2015</w:t>
      </w:r>
    </w:p>
    <w:p w:rsidR="009A1255" w:rsidRPr="00CD659B" w:rsidRDefault="009A1255" w:rsidP="009A1255">
      <w:pPr>
        <w:rPr>
          <w:lang w:val="en-US"/>
        </w:rPr>
      </w:pPr>
      <w:r>
        <w:rPr>
          <w:rFonts w:ascii="Palatino Linotype" w:hAnsi="Palatino Linotype"/>
          <w:b/>
          <w:bCs/>
          <w:sz w:val="22"/>
        </w:rPr>
        <w:t xml:space="preserve">Below follows a selection of statistics from the Car Holiday Report 2015. You can find the report in its entirety on: </w:t>
      </w:r>
    </w:p>
    <w:p w:rsidR="009A1255" w:rsidRPr="00CD659B" w:rsidRDefault="009A1255" w:rsidP="009A1255">
      <w:pPr>
        <w:rPr>
          <w:rFonts w:ascii="Palatino Linotype" w:hAnsi="Palatino Linotype"/>
          <w:b/>
          <w:color w:val="FF0000"/>
          <w:sz w:val="22"/>
          <w:lang w:val="en-US"/>
        </w:rPr>
      </w:pPr>
    </w:p>
    <w:p w:rsidR="009A1255" w:rsidRPr="00CD659B" w:rsidRDefault="00697189" w:rsidP="009A1255">
      <w:pPr>
        <w:rPr>
          <w:rFonts w:ascii="Palatino Linotype" w:hAnsi="Palatino Linotype"/>
          <w:b/>
          <w:color w:val="FF0000"/>
          <w:sz w:val="22"/>
          <w:lang w:val="en-US"/>
        </w:rPr>
      </w:pPr>
      <w:hyperlink r:id="rId8" w:history="1">
        <w:r w:rsidR="009A1255">
          <w:rPr>
            <w:rStyle w:val="Hyperlink"/>
            <w:rFonts w:ascii="Palatino Linotype" w:hAnsi="Palatino Linotype"/>
            <w:b/>
            <w:bCs/>
            <w:sz w:val="22"/>
            <w:highlight w:val="yellow"/>
          </w:rPr>
          <w:t>http://www.mynewsdesk.com/se/stena_line</w:t>
        </w:r>
      </w:hyperlink>
      <w:r w:rsidR="009A1255">
        <w:rPr>
          <w:rStyle w:val="Hyperlink"/>
          <w:rFonts w:ascii="Palatino Linotype" w:hAnsi="Palatino Linotype"/>
          <w:b/>
          <w:bCs/>
          <w:sz w:val="22"/>
        </w:rPr>
        <w:t xml:space="preserve"> </w:t>
      </w:r>
    </w:p>
    <w:p w:rsidR="009A1255" w:rsidRPr="00CD659B" w:rsidRDefault="009A1255" w:rsidP="009A1255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9A1255" w:rsidRPr="00CD659B" w:rsidRDefault="009A1255" w:rsidP="009A1255">
      <w:pPr>
        <w:rPr>
          <w:rFonts w:ascii="Palatino" w:hAnsi="Palatino"/>
          <w:sz w:val="22"/>
          <w:szCs w:val="22"/>
          <w:lang w:val="en-US"/>
        </w:rPr>
      </w:pPr>
      <w:r>
        <w:rPr>
          <w:rFonts w:ascii="Palatino" w:hAnsi="Palatino"/>
          <w:b/>
          <w:bCs/>
          <w:sz w:val="22"/>
          <w:szCs w:val="22"/>
        </w:rPr>
        <w:t>About the survey:</w:t>
      </w:r>
      <w:r>
        <w:rPr>
          <w:rFonts w:ascii="Palatino" w:hAnsi="Palatino"/>
          <w:sz w:val="22"/>
          <w:szCs w:val="22"/>
        </w:rPr>
        <w:t xml:space="preserve"> National survey </w:t>
      </w:r>
      <w:r w:rsidR="002E3041">
        <w:rPr>
          <w:rFonts w:ascii="Palatino" w:hAnsi="Palatino"/>
          <w:sz w:val="22"/>
          <w:szCs w:val="22"/>
        </w:rPr>
        <w:t xml:space="preserve">was </w:t>
      </w:r>
      <w:r>
        <w:rPr>
          <w:rFonts w:ascii="Palatino" w:hAnsi="Palatino"/>
          <w:sz w:val="22"/>
          <w:szCs w:val="22"/>
        </w:rPr>
        <w:t>carried out by Norm in February 2015. 1000 people in the age group 18–65 answered the question</w:t>
      </w:r>
      <w:r w:rsidR="002416E3">
        <w:rPr>
          <w:rFonts w:ascii="Palatino" w:hAnsi="Palatino"/>
          <w:sz w:val="22"/>
          <w:szCs w:val="22"/>
        </w:rPr>
        <w:t>s</w:t>
      </w:r>
      <w:r>
        <w:rPr>
          <w:rFonts w:ascii="Palatino" w:hAnsi="Palatino"/>
          <w:sz w:val="22"/>
          <w:szCs w:val="22"/>
        </w:rPr>
        <w:t xml:space="preserve"> via a web panel.</w:t>
      </w:r>
      <w:r>
        <w:rPr>
          <w:rFonts w:ascii="Palatino" w:hAnsi="Palatino"/>
          <w:color w:val="FF0000"/>
          <w:sz w:val="22"/>
          <w:szCs w:val="22"/>
        </w:rPr>
        <w:t xml:space="preserve"> </w:t>
      </w:r>
    </w:p>
    <w:p w:rsidR="009A1255" w:rsidRPr="00CD659B" w:rsidRDefault="009A1255" w:rsidP="009A1255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9A1255" w:rsidRPr="00CD659B" w:rsidRDefault="009A1255" w:rsidP="009A1255">
      <w:pPr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Are you planning to holiday by car during 2015?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3060"/>
      </w:tblGrid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Total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Yes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44 percent</w:t>
            </w:r>
          </w:p>
        </w:tc>
      </w:tr>
    </w:tbl>
    <w:p w:rsidR="009A1255" w:rsidRPr="00402189" w:rsidRDefault="009A1255" w:rsidP="009A1255">
      <w:pPr>
        <w:rPr>
          <w:rFonts w:ascii="Palatino Linotype" w:hAnsi="Palatino Linotype"/>
          <w:b/>
          <w:sz w:val="22"/>
          <w:szCs w:val="22"/>
        </w:rPr>
      </w:pPr>
    </w:p>
    <w:p w:rsidR="009A1255" w:rsidRPr="00CD659B" w:rsidRDefault="009A1255" w:rsidP="009A1255">
      <w:pPr>
        <w:rPr>
          <w:rFonts w:ascii="Palatino Linotype" w:hAnsi="Palatino Linotype"/>
          <w:b/>
          <w:sz w:val="22"/>
          <w:szCs w:val="22"/>
          <w:lang w:val="en-US"/>
        </w:rPr>
      </w:pPr>
      <w:r>
        <w:rPr>
          <w:rFonts w:ascii="Palatino Linotype" w:hAnsi="Palatino Linotype"/>
          <w:b/>
          <w:bCs/>
          <w:sz w:val="22"/>
          <w:szCs w:val="22"/>
        </w:rPr>
        <w:t>Which countries are you planning to pass through or visit during your upcoming car holiday?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3060"/>
      </w:tblGrid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Total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France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32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United Kingdom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27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Spain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Germany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Italy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 percent</w:t>
            </w:r>
          </w:p>
        </w:tc>
      </w:tr>
    </w:tbl>
    <w:p w:rsidR="009A1255" w:rsidRPr="00402189" w:rsidRDefault="009A1255" w:rsidP="009A1255">
      <w:pPr>
        <w:rPr>
          <w:rFonts w:ascii="Palatino Linotype" w:hAnsi="Palatino Linotype"/>
          <w:b/>
          <w:sz w:val="22"/>
          <w:szCs w:val="22"/>
        </w:rPr>
      </w:pPr>
    </w:p>
    <w:p w:rsidR="009A1255" w:rsidRPr="00CD659B" w:rsidRDefault="009A1255" w:rsidP="009A1255">
      <w:pPr>
        <w:rPr>
          <w:rFonts w:ascii="Palatino Linotype" w:hAnsi="Palatino Linotype"/>
          <w:b/>
          <w:sz w:val="22"/>
          <w:szCs w:val="22"/>
          <w:lang w:val="en-US"/>
        </w:rPr>
      </w:pPr>
      <w:r>
        <w:rPr>
          <w:rFonts w:ascii="Palatino Linotype" w:hAnsi="Palatino Linotype" w:cs="Courier New"/>
          <w:b/>
          <w:bCs/>
          <w:sz w:val="22"/>
          <w:szCs w:val="22"/>
        </w:rPr>
        <w:t>What do you consider to be the primary reasons for choosing to holiday by car instead of taking another type of holiday?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3060"/>
      </w:tblGrid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Total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Greater freedom and flexibility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74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opportunity to experience spontaneous happenings along the way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62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 can travel to places few others find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52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More quality time with your travel companions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40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tabs>
                <w:tab w:val="left" w:pos="3754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 can experience several countries on the same trip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37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 can buy things to take home</w:t>
            </w:r>
          </w:p>
        </w:tc>
        <w:tc>
          <w:tcPr>
            <w:tcW w:w="3060" w:type="dxa"/>
          </w:tcPr>
          <w:p w:rsidR="009A1255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34 percent</w:t>
            </w:r>
          </w:p>
        </w:tc>
      </w:tr>
    </w:tbl>
    <w:p w:rsidR="009A1255" w:rsidRPr="00402189" w:rsidRDefault="009A1255" w:rsidP="009A1255">
      <w:pPr>
        <w:rPr>
          <w:rFonts w:ascii="Palatino Linotype" w:hAnsi="Palatino Linotype"/>
          <w:b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Default="009A1255" w:rsidP="009A1255">
      <w:pPr>
        <w:rPr>
          <w:rFonts w:ascii="Palatino Linotype" w:hAnsi="Palatino Linotype"/>
          <w:b/>
          <w:bCs/>
          <w:sz w:val="22"/>
          <w:szCs w:val="22"/>
        </w:rPr>
      </w:pPr>
    </w:p>
    <w:p w:rsidR="009A1255" w:rsidRPr="00CD659B" w:rsidRDefault="009A1255" w:rsidP="009A1255">
      <w:pPr>
        <w:rPr>
          <w:rFonts w:ascii="Palatino Linotype" w:hAnsi="Palatino Linotype"/>
          <w:b/>
          <w:sz w:val="22"/>
          <w:szCs w:val="22"/>
          <w:lang w:val="en-US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What do you buy to take home when you take a car holiday?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3060"/>
      </w:tblGrid>
      <w:tr w:rsidR="009A1255" w:rsidRPr="00402189" w:rsidTr="003765E6">
        <w:tc>
          <w:tcPr>
            <w:tcW w:w="5220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Total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Food &amp; local delicacies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60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Souvenirs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54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Clothes and fashion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48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Flea-market bargains 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40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Beer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26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tabs>
                <w:tab w:val="left" w:pos="3008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Wine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32 percent 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Strong spirits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 percent</w:t>
            </w:r>
          </w:p>
        </w:tc>
      </w:tr>
      <w:tr w:rsidR="009A1255" w:rsidRPr="00402189" w:rsidTr="003765E6">
        <w:tc>
          <w:tcPr>
            <w:tcW w:w="522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Perfume</w:t>
            </w:r>
          </w:p>
        </w:tc>
        <w:tc>
          <w:tcPr>
            <w:tcW w:w="3060" w:type="dxa"/>
          </w:tcPr>
          <w:p w:rsidR="009A1255" w:rsidRPr="00402189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 percent</w:t>
            </w:r>
          </w:p>
        </w:tc>
      </w:tr>
    </w:tbl>
    <w:p w:rsidR="009A1255" w:rsidRDefault="009A1255" w:rsidP="009A1255">
      <w:pPr>
        <w:rPr>
          <w:rFonts w:ascii="Palatino" w:hAnsi="Palatino"/>
          <w:b/>
          <w:sz w:val="22"/>
          <w:szCs w:val="22"/>
        </w:rPr>
      </w:pPr>
    </w:p>
    <w:p w:rsidR="009A1255" w:rsidRPr="00CD659B" w:rsidRDefault="009A1255" w:rsidP="009A1255">
      <w:pPr>
        <w:rPr>
          <w:rFonts w:ascii="Palatino" w:hAnsi="Palatino"/>
          <w:b/>
          <w:sz w:val="22"/>
          <w:szCs w:val="22"/>
          <w:lang w:val="en-US"/>
        </w:rPr>
      </w:pPr>
      <w:r>
        <w:rPr>
          <w:rFonts w:ascii="Palatino" w:hAnsi="Palatino"/>
          <w:b/>
          <w:bCs/>
          <w:sz w:val="22"/>
          <w:szCs w:val="22"/>
        </w:rPr>
        <w:t>The top list – This is where most plan to take a car holiday in 2015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977"/>
      </w:tblGrid>
      <w:tr w:rsidR="009A1255" w:rsidRPr="00CD659B" w:rsidTr="003765E6">
        <w:tc>
          <w:tcPr>
            <w:tcW w:w="5245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A1255" w:rsidRPr="00CD659B" w:rsidRDefault="009A1255" w:rsidP="003765E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France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66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Poland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60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Germany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58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Netherlands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42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Sweden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Norway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28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United Kingdom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28 percent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Denmark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24 percent </w:t>
            </w:r>
          </w:p>
        </w:tc>
      </w:tr>
      <w:tr w:rsidR="009A1255" w:rsidTr="003765E6">
        <w:tc>
          <w:tcPr>
            <w:tcW w:w="5245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Ireland</w:t>
            </w:r>
          </w:p>
        </w:tc>
        <w:tc>
          <w:tcPr>
            <w:tcW w:w="2977" w:type="dxa"/>
          </w:tcPr>
          <w:p w:rsidR="009A1255" w:rsidRPr="00391A0D" w:rsidRDefault="009A1255" w:rsidP="003765E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 percent</w:t>
            </w:r>
          </w:p>
        </w:tc>
      </w:tr>
    </w:tbl>
    <w:p w:rsidR="009A1255" w:rsidRPr="00402189" w:rsidRDefault="009A1255" w:rsidP="009A1255">
      <w:pPr>
        <w:rPr>
          <w:rFonts w:ascii="Palatino Linotype" w:hAnsi="Palatino Linotype"/>
          <w:b/>
          <w:sz w:val="22"/>
          <w:szCs w:val="22"/>
        </w:rPr>
      </w:pPr>
    </w:p>
    <w:p w:rsidR="009A1255" w:rsidRPr="00402189" w:rsidRDefault="009A1255" w:rsidP="009A1255">
      <w:pPr>
        <w:rPr>
          <w:rFonts w:ascii="Palatino Linotype" w:hAnsi="Palatino Linotype"/>
          <w:sz w:val="22"/>
          <w:szCs w:val="22"/>
        </w:rPr>
      </w:pPr>
    </w:p>
    <w:p w:rsidR="009A1255" w:rsidRDefault="009A1255" w:rsidP="009A1255">
      <w:pPr>
        <w:rPr>
          <w:rFonts w:ascii="Palatino" w:hAnsi="Palatino"/>
          <w:sz w:val="22"/>
          <w:szCs w:val="22"/>
        </w:rPr>
      </w:pPr>
    </w:p>
    <w:p w:rsidR="009A1255" w:rsidRDefault="009A1255" w:rsidP="009A1255">
      <w:pPr>
        <w:rPr>
          <w:rFonts w:ascii="Palatino Linotype" w:eastAsiaTheme="minorEastAsia" w:hAnsi="Palatino Linotype" w:cs="Helvetica Neue"/>
          <w:b/>
          <w:iCs/>
          <w:sz w:val="22"/>
          <w:szCs w:val="22"/>
        </w:rPr>
      </w:pPr>
    </w:p>
    <w:p w:rsidR="009A1255" w:rsidRDefault="009A1255" w:rsidP="009A1255">
      <w:pPr>
        <w:rPr>
          <w:rFonts w:ascii="Palatino Linotype" w:eastAsiaTheme="minorEastAsia" w:hAnsi="Palatino Linotype" w:cs="Helvetica Neue"/>
          <w:b/>
          <w:iCs/>
          <w:sz w:val="22"/>
          <w:szCs w:val="22"/>
        </w:rPr>
      </w:pPr>
    </w:p>
    <w:p w:rsidR="009A1255" w:rsidRPr="00211FDB" w:rsidRDefault="009A1255" w:rsidP="009A1255">
      <w:pPr>
        <w:rPr>
          <w:rFonts w:ascii="Palatino" w:hAnsi="Palatino"/>
          <w:sz w:val="22"/>
          <w:szCs w:val="22"/>
        </w:rPr>
      </w:pPr>
    </w:p>
    <w:p w:rsidR="00B62A7C" w:rsidRDefault="00B62A7C" w:rsidP="00B62A7C">
      <w:pPr>
        <w:pStyle w:val="SLHEADLINE"/>
      </w:pPr>
    </w:p>
    <w:p w:rsidR="001007DF" w:rsidRPr="00490083" w:rsidRDefault="001007DF" w:rsidP="00B62A7C">
      <w:pPr>
        <w:pStyle w:val="SLBODYCOPY"/>
      </w:pPr>
    </w:p>
    <w:sectPr w:rsidR="001007DF" w:rsidRPr="00490083" w:rsidSect="00F871C5">
      <w:headerReference w:type="default" r:id="rId9"/>
      <w:footerReference w:type="even" r:id="rId10"/>
      <w:footerReference w:type="default" r:id="rId11"/>
      <w:pgSz w:w="11900" w:h="16840"/>
      <w:pgMar w:top="1440" w:right="1440" w:bottom="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BB" w:rsidRDefault="004F11BB">
      <w:r>
        <w:separator/>
      </w:r>
    </w:p>
  </w:endnote>
  <w:endnote w:type="continuationSeparator" w:id="0">
    <w:p w:rsidR="004F11BB" w:rsidRDefault="004F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C" w:rsidRDefault="006B3539" w:rsidP="00DC177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18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80C" w:rsidRDefault="001D180C" w:rsidP="00DC177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C" w:rsidRPr="00DC177F" w:rsidRDefault="001D180C" w:rsidP="00DC177F">
    <w:pPr>
      <w:pStyle w:val="Footer"/>
      <w:framePr w:wrap="around" w:vAnchor="text" w:hAnchor="page" w:x="1741" w:y="85"/>
      <w:rPr>
        <w:rStyle w:val="PageNumber"/>
      </w:rPr>
    </w:pPr>
  </w:p>
  <w:p w:rsidR="001D180C" w:rsidRDefault="00697189" w:rsidP="004D38BC">
    <w:pPr>
      <w:pStyle w:val="Footer"/>
      <w:ind w:firstLine="360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1" type="#_x0000_t202" style="position:absolute;left:0;text-align:left;margin-left:210.35pt;margin-top:798.25pt;width:36.3pt;height:12.8pt;z-index:2516643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" filled="f" stroked="f">
          <v:textbox inset="0,0,0,0">
            <w:txbxContent>
              <w:p w:rsidR="001D180C" w:rsidRPr="00F871C5" w:rsidRDefault="001D180C" w:rsidP="00964EDC">
                <w:pPr>
                  <w:rPr>
                    <w:rFonts w:ascii="Arial" w:hAnsi="Arial"/>
                    <w:sz w:val="20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BB" w:rsidRDefault="004F11BB">
      <w:r>
        <w:separator/>
      </w:r>
    </w:p>
  </w:footnote>
  <w:footnote w:type="continuationSeparator" w:id="0">
    <w:p w:rsidR="004F11BB" w:rsidRDefault="004F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C" w:rsidRDefault="00BF103A" w:rsidP="00810E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4603759</wp:posOffset>
          </wp:positionH>
          <wp:positionV relativeFrom="paragraph">
            <wp:posOffset>-149178</wp:posOffset>
          </wp:positionV>
          <wp:extent cx="1744402" cy="7642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ena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02" cy="76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718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3" type="#_x0000_t202" style="position:absolute;margin-left:-49.6pt;margin-top:34.55pt;width:332.15pt;height:42.95pt;z-index:251661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" filled="f" stroked="f">
          <v:textbox inset="0,0,0,0">
            <w:txbxContent>
              <w:p w:rsidR="001D180C" w:rsidRPr="004D38BC" w:rsidRDefault="00A97088" w:rsidP="00353058">
                <w:pPr>
                  <w:rPr>
                    <w:rFonts w:ascii="Arial" w:hAnsi="Arial"/>
                    <w:b/>
                    <w:sz w:val="56"/>
                    <w:szCs w:val="56"/>
                  </w:rPr>
                </w:pPr>
                <w:r w:rsidRPr="004D38BC">
                  <w:rPr>
                    <w:rFonts w:ascii="Arial" w:hAnsi="Arial"/>
                    <w:b/>
                    <w:color w:val="FF1500"/>
                    <w:sz w:val="56"/>
                    <w:szCs w:val="56"/>
                  </w:rPr>
                  <w:t>Press</w:t>
                </w:r>
                <w:r w:rsidR="00F871C5" w:rsidRPr="004D38BC">
                  <w:rPr>
                    <w:rFonts w:ascii="Arial" w:hAnsi="Arial"/>
                    <w:b/>
                    <w:color w:val="FF1500"/>
                    <w:sz w:val="56"/>
                    <w:szCs w:val="56"/>
                  </w:rPr>
                  <w:t xml:space="preserve"> </w:t>
                </w:r>
                <w:r w:rsidRPr="004D38BC">
                  <w:rPr>
                    <w:rFonts w:ascii="Arial" w:hAnsi="Arial"/>
                    <w:b/>
                    <w:color w:val="FF1500"/>
                    <w:sz w:val="56"/>
                    <w:szCs w:val="56"/>
                  </w:rPr>
                  <w:t>information</w:t>
                </w:r>
              </w:p>
            </w:txbxContent>
          </v:textbox>
          <w10:wrap anchory="page"/>
        </v:shape>
      </w:pict>
    </w:r>
    <w:r>
      <w:tab/>
    </w:r>
    <w:r>
      <w:tab/>
    </w:r>
    <w:r>
      <w:tab/>
    </w:r>
  </w:p>
  <w:p w:rsidR="007D04FC" w:rsidRDefault="007D04FC">
    <w:pPr>
      <w:pStyle w:val="Header"/>
    </w:pPr>
  </w:p>
  <w:p w:rsidR="007D04FC" w:rsidRDefault="007D04FC">
    <w:pPr>
      <w:pStyle w:val="Header"/>
    </w:pPr>
  </w:p>
  <w:p w:rsidR="001D180C" w:rsidRPr="007C196D" w:rsidRDefault="001D180C" w:rsidP="00D1339D">
    <w:pPr>
      <w:pStyle w:val="Header"/>
      <w:rPr>
        <w:lang w:val="en-GB"/>
      </w:rPr>
    </w:pPr>
  </w:p>
  <w:p w:rsidR="001D180C" w:rsidRPr="007C196D" w:rsidRDefault="00697189">
    <w:pPr>
      <w:pStyle w:val="Header"/>
      <w:rPr>
        <w:lang w:val="en-GB"/>
      </w:rPr>
    </w:pPr>
    <w:r>
      <w:rPr>
        <w:noProof/>
        <w:lang w:val="en-GB" w:eastAsia="en-GB"/>
      </w:rPr>
      <w:pict>
        <v:line id="Line 4" o:spid="_x0000_s10242" style="position:absolute;z-index:251663360;visibility:visible" from="-49.55pt,3pt" to="49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" strokecolor="#365f91 [2404]" strokeweight="5pt"/>
      </w:pict>
    </w:r>
  </w:p>
  <w:p w:rsidR="001D180C" w:rsidRPr="007C196D" w:rsidRDefault="001D180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9A6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1E8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EE4C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E84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C88A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18F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283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3A9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2F8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2A6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E9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EF57CB"/>
    <w:multiLevelType w:val="hybridMultilevel"/>
    <w:tmpl w:val="96888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A7682"/>
    <w:multiLevelType w:val="hybridMultilevel"/>
    <w:tmpl w:val="677ED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058"/>
    <w:rsid w:val="0000323F"/>
    <w:rsid w:val="00027E1C"/>
    <w:rsid w:val="0003715F"/>
    <w:rsid w:val="00074F0D"/>
    <w:rsid w:val="0007723B"/>
    <w:rsid w:val="000E2438"/>
    <w:rsid w:val="001007DF"/>
    <w:rsid w:val="001253D2"/>
    <w:rsid w:val="00130007"/>
    <w:rsid w:val="00182940"/>
    <w:rsid w:val="001929B0"/>
    <w:rsid w:val="00195D9D"/>
    <w:rsid w:val="001D180C"/>
    <w:rsid w:val="00216F07"/>
    <w:rsid w:val="002416E3"/>
    <w:rsid w:val="00250C9F"/>
    <w:rsid w:val="002517BD"/>
    <w:rsid w:val="00255A03"/>
    <w:rsid w:val="00256B2C"/>
    <w:rsid w:val="00266FCD"/>
    <w:rsid w:val="002673FC"/>
    <w:rsid w:val="0029219B"/>
    <w:rsid w:val="0029313C"/>
    <w:rsid w:val="00297274"/>
    <w:rsid w:val="002B2F86"/>
    <w:rsid w:val="002C6B36"/>
    <w:rsid w:val="002D34D9"/>
    <w:rsid w:val="002E2354"/>
    <w:rsid w:val="002E3041"/>
    <w:rsid w:val="002E53C7"/>
    <w:rsid w:val="002E7C7C"/>
    <w:rsid w:val="002F0EEF"/>
    <w:rsid w:val="002F4074"/>
    <w:rsid w:val="002F42A4"/>
    <w:rsid w:val="00326834"/>
    <w:rsid w:val="0033447B"/>
    <w:rsid w:val="00353058"/>
    <w:rsid w:val="003540C3"/>
    <w:rsid w:val="00354DC1"/>
    <w:rsid w:val="00364329"/>
    <w:rsid w:val="0036446F"/>
    <w:rsid w:val="0036546A"/>
    <w:rsid w:val="00376589"/>
    <w:rsid w:val="003A5677"/>
    <w:rsid w:val="003B3FAC"/>
    <w:rsid w:val="003E3E71"/>
    <w:rsid w:val="00400589"/>
    <w:rsid w:val="0041014A"/>
    <w:rsid w:val="004270DC"/>
    <w:rsid w:val="00431C3F"/>
    <w:rsid w:val="004321E8"/>
    <w:rsid w:val="00450028"/>
    <w:rsid w:val="00451F31"/>
    <w:rsid w:val="004606ED"/>
    <w:rsid w:val="00465C95"/>
    <w:rsid w:val="00472221"/>
    <w:rsid w:val="004755D6"/>
    <w:rsid w:val="004774DB"/>
    <w:rsid w:val="004834F0"/>
    <w:rsid w:val="00490083"/>
    <w:rsid w:val="0049340B"/>
    <w:rsid w:val="004A0335"/>
    <w:rsid w:val="004B333B"/>
    <w:rsid w:val="004D3541"/>
    <w:rsid w:val="004D38BC"/>
    <w:rsid w:val="004E0CB4"/>
    <w:rsid w:val="004F11BB"/>
    <w:rsid w:val="005016A6"/>
    <w:rsid w:val="005179FB"/>
    <w:rsid w:val="00526765"/>
    <w:rsid w:val="005363B1"/>
    <w:rsid w:val="00580A22"/>
    <w:rsid w:val="005B0E12"/>
    <w:rsid w:val="005B573A"/>
    <w:rsid w:val="005E3003"/>
    <w:rsid w:val="005F1237"/>
    <w:rsid w:val="006046A2"/>
    <w:rsid w:val="00621396"/>
    <w:rsid w:val="006218AE"/>
    <w:rsid w:val="00651F96"/>
    <w:rsid w:val="00665C17"/>
    <w:rsid w:val="00697189"/>
    <w:rsid w:val="006B3539"/>
    <w:rsid w:val="006B413A"/>
    <w:rsid w:val="006F3401"/>
    <w:rsid w:val="00705019"/>
    <w:rsid w:val="00732D67"/>
    <w:rsid w:val="00741615"/>
    <w:rsid w:val="00761EDD"/>
    <w:rsid w:val="007850C8"/>
    <w:rsid w:val="007B44E2"/>
    <w:rsid w:val="007B726F"/>
    <w:rsid w:val="007C196D"/>
    <w:rsid w:val="007C2E20"/>
    <w:rsid w:val="007D04FC"/>
    <w:rsid w:val="007F1DF7"/>
    <w:rsid w:val="007F58A5"/>
    <w:rsid w:val="00810E00"/>
    <w:rsid w:val="00812CED"/>
    <w:rsid w:val="00831B18"/>
    <w:rsid w:val="008356FF"/>
    <w:rsid w:val="00883936"/>
    <w:rsid w:val="00894A91"/>
    <w:rsid w:val="00895E8D"/>
    <w:rsid w:val="008A6BC2"/>
    <w:rsid w:val="008C698E"/>
    <w:rsid w:val="008D1359"/>
    <w:rsid w:val="008D44A6"/>
    <w:rsid w:val="008D559A"/>
    <w:rsid w:val="008E1AE2"/>
    <w:rsid w:val="00914091"/>
    <w:rsid w:val="00922D74"/>
    <w:rsid w:val="009234A5"/>
    <w:rsid w:val="00932FF4"/>
    <w:rsid w:val="00954C2D"/>
    <w:rsid w:val="00957789"/>
    <w:rsid w:val="00964EDC"/>
    <w:rsid w:val="00971E65"/>
    <w:rsid w:val="0097520C"/>
    <w:rsid w:val="009856FB"/>
    <w:rsid w:val="0099407C"/>
    <w:rsid w:val="00996212"/>
    <w:rsid w:val="00996256"/>
    <w:rsid w:val="00997FB2"/>
    <w:rsid w:val="009A1255"/>
    <w:rsid w:val="009A58A2"/>
    <w:rsid w:val="009A5CF7"/>
    <w:rsid w:val="009B0F61"/>
    <w:rsid w:val="009E1958"/>
    <w:rsid w:val="009F6B64"/>
    <w:rsid w:val="00A21E5B"/>
    <w:rsid w:val="00A42BCD"/>
    <w:rsid w:val="00A6216C"/>
    <w:rsid w:val="00A628CA"/>
    <w:rsid w:val="00A97088"/>
    <w:rsid w:val="00AA121D"/>
    <w:rsid w:val="00AC0DBD"/>
    <w:rsid w:val="00AC207B"/>
    <w:rsid w:val="00AC2679"/>
    <w:rsid w:val="00AE1340"/>
    <w:rsid w:val="00AE7108"/>
    <w:rsid w:val="00AF1F23"/>
    <w:rsid w:val="00B07805"/>
    <w:rsid w:val="00B273C6"/>
    <w:rsid w:val="00B46DE5"/>
    <w:rsid w:val="00B57424"/>
    <w:rsid w:val="00B62A7C"/>
    <w:rsid w:val="00B9276D"/>
    <w:rsid w:val="00BA137D"/>
    <w:rsid w:val="00BB1A89"/>
    <w:rsid w:val="00BB4D69"/>
    <w:rsid w:val="00BC2F77"/>
    <w:rsid w:val="00BE15A9"/>
    <w:rsid w:val="00BE62B7"/>
    <w:rsid w:val="00BF103A"/>
    <w:rsid w:val="00BF232C"/>
    <w:rsid w:val="00C24730"/>
    <w:rsid w:val="00C34476"/>
    <w:rsid w:val="00C82B27"/>
    <w:rsid w:val="00C8343F"/>
    <w:rsid w:val="00CC162C"/>
    <w:rsid w:val="00CC783B"/>
    <w:rsid w:val="00CD7DBC"/>
    <w:rsid w:val="00CE37B8"/>
    <w:rsid w:val="00CF29B8"/>
    <w:rsid w:val="00CF5D94"/>
    <w:rsid w:val="00D11607"/>
    <w:rsid w:val="00D1339D"/>
    <w:rsid w:val="00D15562"/>
    <w:rsid w:val="00D2547E"/>
    <w:rsid w:val="00D26018"/>
    <w:rsid w:val="00D31324"/>
    <w:rsid w:val="00D505BC"/>
    <w:rsid w:val="00D62E3C"/>
    <w:rsid w:val="00D64C37"/>
    <w:rsid w:val="00D71F6D"/>
    <w:rsid w:val="00D761D6"/>
    <w:rsid w:val="00D831F6"/>
    <w:rsid w:val="00DA190D"/>
    <w:rsid w:val="00DA61D1"/>
    <w:rsid w:val="00DC177F"/>
    <w:rsid w:val="00DE5848"/>
    <w:rsid w:val="00E06FCC"/>
    <w:rsid w:val="00E51342"/>
    <w:rsid w:val="00E918F3"/>
    <w:rsid w:val="00E91DBE"/>
    <w:rsid w:val="00EB3A03"/>
    <w:rsid w:val="00EB51BD"/>
    <w:rsid w:val="00EC63C1"/>
    <w:rsid w:val="00EC7F0F"/>
    <w:rsid w:val="00EF55A9"/>
    <w:rsid w:val="00F03CA8"/>
    <w:rsid w:val="00F06933"/>
    <w:rsid w:val="00F23456"/>
    <w:rsid w:val="00F33C10"/>
    <w:rsid w:val="00F438D0"/>
    <w:rsid w:val="00F4474B"/>
    <w:rsid w:val="00F449D2"/>
    <w:rsid w:val="00F44AAB"/>
    <w:rsid w:val="00F456A6"/>
    <w:rsid w:val="00F50ABB"/>
    <w:rsid w:val="00F827DF"/>
    <w:rsid w:val="00F871C5"/>
    <w:rsid w:val="00FA19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6"/>
    <o:shapelayout v:ext="edit">
      <o:idmap v:ext="edit" data="1"/>
    </o:shapelayout>
  </w:shapeDefaults>
  <w:decimalSymbol w:val="."/>
  <w:listSeparator w:val=","/>
  <w15:docId w15:val="{7D7FB2BB-A60A-42F8-99CA-899C9913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58"/>
  </w:style>
  <w:style w:type="paragraph" w:styleId="Footer">
    <w:name w:val="footer"/>
    <w:basedOn w:val="Normal"/>
    <w:link w:val="FooterChar"/>
    <w:uiPriority w:val="99"/>
    <w:unhideWhenUsed/>
    <w:rsid w:val="00353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58"/>
  </w:style>
  <w:style w:type="paragraph" w:customStyle="1" w:styleId="SLHEADLINE">
    <w:name w:val="*SL_HEADLINE"/>
    <w:basedOn w:val="Normal"/>
    <w:next w:val="SLBODYCOPY"/>
    <w:qFormat/>
    <w:rsid w:val="00DC177F"/>
    <w:pPr>
      <w:spacing w:after="160"/>
    </w:pPr>
    <w:rPr>
      <w:rFonts w:ascii="Arial" w:hAnsi="Arial"/>
      <w:b/>
      <w:noProof/>
      <w:sz w:val="32"/>
      <w:lang w:eastAsia="sv-SE"/>
    </w:rPr>
  </w:style>
  <w:style w:type="paragraph" w:customStyle="1" w:styleId="SLBODYCOPY">
    <w:name w:val="*SL_BODY_COPY"/>
    <w:basedOn w:val="Normal"/>
    <w:qFormat/>
    <w:rsid w:val="00B9276D"/>
    <w:pPr>
      <w:spacing w:after="160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DC177F"/>
  </w:style>
  <w:style w:type="paragraph" w:customStyle="1" w:styleId="SLCAPTION">
    <w:name w:val="*SL_CAPTION"/>
    <w:basedOn w:val="Normal"/>
    <w:qFormat/>
    <w:rsid w:val="00F44AAB"/>
    <w:pPr>
      <w:spacing w:line="220" w:lineRule="exact"/>
    </w:pPr>
    <w:rPr>
      <w:rFonts w:ascii="Arial" w:hAnsi="Arial"/>
      <w:sz w:val="17"/>
    </w:rPr>
  </w:style>
  <w:style w:type="paragraph" w:styleId="BalloonText">
    <w:name w:val="Balloon Text"/>
    <w:basedOn w:val="Normal"/>
    <w:link w:val="BalloonTextChar"/>
    <w:rsid w:val="007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08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rsid w:val="009A1255"/>
    <w:rPr>
      <w:color w:val="0000FF"/>
      <w:u w:val="single"/>
    </w:rPr>
  </w:style>
  <w:style w:type="table" w:styleId="TableGrid">
    <w:name w:val="Table Grid"/>
    <w:basedOn w:val="TableNormal"/>
    <w:rsid w:val="009A1255"/>
    <w:rPr>
      <w:rFonts w:ascii="Times New Roman" w:eastAsia="Times New Roman" w:hAnsi="Times New Roman" w:cs="Times New Roman"/>
      <w:sz w:val="20"/>
      <w:szCs w:val="20"/>
      <w:lang w:val="en-US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125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stena_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ona@duffyrafferty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Tidningskompaniet AB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Volymlicens</dc:creator>
  <cp:lastModifiedBy>Lawrence Duffy</cp:lastModifiedBy>
  <cp:revision>10</cp:revision>
  <cp:lastPrinted>2015-03-16T15:17:00Z</cp:lastPrinted>
  <dcterms:created xsi:type="dcterms:W3CDTF">2015-03-11T12:05:00Z</dcterms:created>
  <dcterms:modified xsi:type="dcterms:W3CDTF">2015-03-24T12:33:00Z</dcterms:modified>
</cp:coreProperties>
</file>