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BB" w:rsidRPr="003A596F" w:rsidRDefault="002F3929">
      <w:pPr>
        <w:rPr>
          <w:rFonts w:ascii="Imago" w:hAnsi="Imago"/>
          <w:b/>
          <w:sz w:val="32"/>
          <w:szCs w:val="32"/>
          <w:lang w:val="fi-FI"/>
        </w:rPr>
      </w:pPr>
      <w:r w:rsidRPr="003A596F">
        <w:rPr>
          <w:rFonts w:ascii="Imago" w:hAnsi="Imago"/>
          <w:b/>
          <w:sz w:val="32"/>
          <w:szCs w:val="32"/>
          <w:lang w:val="fi-FI"/>
        </w:rPr>
        <w:t>Taustatiedote: levinnyt tyvisolusyöpä</w:t>
      </w:r>
    </w:p>
    <w:p w:rsidR="002F3929" w:rsidRPr="00DD063E" w:rsidRDefault="002F3929">
      <w:pPr>
        <w:rPr>
          <w:rFonts w:ascii="Imago" w:hAnsi="Imago"/>
          <w:b/>
          <w:sz w:val="24"/>
          <w:lang w:val="fi-FI"/>
        </w:rPr>
      </w:pPr>
      <w:r w:rsidRPr="00DD063E">
        <w:rPr>
          <w:rFonts w:ascii="Imago" w:hAnsi="Imago"/>
          <w:b/>
          <w:sz w:val="24"/>
          <w:lang w:val="fi-FI"/>
        </w:rPr>
        <w:t>Tyvisolusyöpä on yleisin ihosyöpä (ei-melanooma) Euroopassa, Yhdysvalloissa ja Australiassa</w:t>
      </w:r>
      <w:r w:rsidRPr="00DD063E">
        <w:rPr>
          <w:rFonts w:ascii="Imago" w:hAnsi="Imago"/>
          <w:b/>
          <w:sz w:val="24"/>
          <w:vertAlign w:val="superscript"/>
          <w:lang w:val="fi-FI"/>
        </w:rPr>
        <w:t>1,2,3</w:t>
      </w:r>
    </w:p>
    <w:p w:rsidR="002F3929" w:rsidRPr="00DD063E" w:rsidRDefault="002F3929" w:rsidP="002F3929">
      <w:pPr>
        <w:pStyle w:val="ListParagraph"/>
        <w:numPr>
          <w:ilvl w:val="0"/>
          <w:numId w:val="1"/>
        </w:numPr>
        <w:rPr>
          <w:rFonts w:ascii="Imago" w:hAnsi="Imago"/>
          <w:sz w:val="24"/>
          <w:lang w:val="fi-FI"/>
        </w:rPr>
      </w:pPr>
      <w:r w:rsidRPr="00DD063E">
        <w:rPr>
          <w:rFonts w:ascii="Imago" w:hAnsi="Imago"/>
          <w:sz w:val="24"/>
          <w:lang w:val="fi-FI"/>
        </w:rPr>
        <w:t>Se kehittyy hitaasti, ja sen aiheuttaa yleensä liiallinen pitkäaikainen tai satunnainen altistuminen auringon ultraviolettisäteilylle.</w:t>
      </w:r>
      <w:r w:rsidRPr="00DD063E">
        <w:rPr>
          <w:rFonts w:ascii="Imago" w:hAnsi="Imago"/>
          <w:sz w:val="24"/>
          <w:vertAlign w:val="superscript"/>
          <w:lang w:val="fi-FI"/>
        </w:rPr>
        <w:t>4</w:t>
      </w:r>
    </w:p>
    <w:p w:rsidR="002F3929" w:rsidRPr="00DD063E" w:rsidRDefault="00D5498F" w:rsidP="002F3929">
      <w:pPr>
        <w:pStyle w:val="ListParagraph"/>
        <w:numPr>
          <w:ilvl w:val="0"/>
          <w:numId w:val="1"/>
        </w:numPr>
        <w:rPr>
          <w:rFonts w:ascii="Imago" w:hAnsi="Imago"/>
          <w:sz w:val="24"/>
          <w:lang w:val="fi-FI"/>
        </w:rPr>
      </w:pPr>
      <w:r w:rsidRPr="00DD063E">
        <w:rPr>
          <w:rFonts w:ascii="Imago" w:hAnsi="Imago"/>
          <w:sz w:val="24"/>
          <w:lang w:val="fi-FI"/>
        </w:rPr>
        <w:t>Jopa 80 % kaikista ei-m</w:t>
      </w:r>
      <w:bookmarkStart w:id="0" w:name="_GoBack"/>
      <w:bookmarkEnd w:id="0"/>
      <w:r w:rsidRPr="00DD063E">
        <w:rPr>
          <w:rFonts w:ascii="Imago" w:hAnsi="Imago"/>
          <w:sz w:val="24"/>
          <w:lang w:val="fi-FI"/>
        </w:rPr>
        <w:t>elanooma ihosyövistä on tyvisolusyöpiä.</w:t>
      </w:r>
      <w:r w:rsidRPr="00DD063E">
        <w:rPr>
          <w:rFonts w:ascii="Imago" w:hAnsi="Imago"/>
          <w:sz w:val="24"/>
          <w:vertAlign w:val="superscript"/>
          <w:lang w:val="fi-FI"/>
        </w:rPr>
        <w:t>5</w:t>
      </w:r>
      <w:r w:rsidRPr="00DD063E">
        <w:rPr>
          <w:rFonts w:ascii="Imago" w:hAnsi="Imago"/>
          <w:sz w:val="24"/>
          <w:lang w:val="fi-FI"/>
        </w:rPr>
        <w:t xml:space="preserve"> Arvioiden mukaan noin 10 miljoonaa ihmistä vuosittain saa tyvisolusyöpädiagnoosin eri puolilla maailmaa.</w:t>
      </w:r>
      <w:r w:rsidRPr="00DD063E">
        <w:rPr>
          <w:rFonts w:ascii="Imago" w:hAnsi="Imago"/>
          <w:sz w:val="24"/>
          <w:vertAlign w:val="superscript"/>
          <w:lang w:val="fi-FI"/>
        </w:rPr>
        <w:t>6</w:t>
      </w:r>
    </w:p>
    <w:p w:rsidR="00D5498F" w:rsidRPr="00DD063E" w:rsidRDefault="00D5498F" w:rsidP="00D5498F">
      <w:pPr>
        <w:rPr>
          <w:rFonts w:ascii="Imago" w:hAnsi="Imago"/>
          <w:b/>
          <w:sz w:val="24"/>
          <w:lang w:val="fi-FI"/>
        </w:rPr>
      </w:pPr>
      <w:r w:rsidRPr="00DD063E">
        <w:rPr>
          <w:rFonts w:ascii="Imago" w:hAnsi="Imago"/>
          <w:b/>
          <w:sz w:val="24"/>
          <w:lang w:val="fi-FI"/>
        </w:rPr>
        <w:t>Levinnyt tyvisolusyöpä on erittäin harvinainen</w:t>
      </w:r>
    </w:p>
    <w:p w:rsidR="0044666A" w:rsidRPr="00DD063E" w:rsidRDefault="0044666A" w:rsidP="0044666A">
      <w:pPr>
        <w:pStyle w:val="ListParagraph"/>
        <w:numPr>
          <w:ilvl w:val="0"/>
          <w:numId w:val="2"/>
        </w:numPr>
        <w:rPr>
          <w:rFonts w:ascii="Imago" w:hAnsi="Imago"/>
          <w:sz w:val="24"/>
          <w:lang w:val="fi-FI"/>
        </w:rPr>
      </w:pPr>
      <w:r w:rsidRPr="00DD063E">
        <w:rPr>
          <w:rFonts w:ascii="Imago" w:hAnsi="Imago"/>
          <w:sz w:val="24"/>
          <w:lang w:val="fi-FI"/>
        </w:rPr>
        <w:t>Tyvisolusyö</w:t>
      </w:r>
      <w:r w:rsidR="008A44B3" w:rsidRPr="00DD063E">
        <w:rPr>
          <w:rFonts w:ascii="Imago" w:hAnsi="Imago"/>
          <w:sz w:val="24"/>
          <w:lang w:val="fi-FI"/>
        </w:rPr>
        <w:t xml:space="preserve">pä saattaa levitä, jos sen aiheuttamia </w:t>
      </w:r>
      <w:r w:rsidR="005A05EF" w:rsidRPr="00DD063E">
        <w:rPr>
          <w:rFonts w:ascii="Imago" w:hAnsi="Imago"/>
          <w:sz w:val="24"/>
          <w:lang w:val="fi-FI"/>
        </w:rPr>
        <w:t>kasvaimia</w:t>
      </w:r>
      <w:r w:rsidR="008A44B3" w:rsidRPr="00DD063E">
        <w:rPr>
          <w:rFonts w:ascii="Imago" w:hAnsi="Imago"/>
          <w:sz w:val="24"/>
          <w:lang w:val="fi-FI"/>
        </w:rPr>
        <w:t xml:space="preserve"> ei hoideta, jos sitä ei pystytä leikkaamaan tai sädehoidosta ei ole apua. </w:t>
      </w:r>
    </w:p>
    <w:p w:rsidR="008A44B3" w:rsidRPr="00DD063E" w:rsidRDefault="008A44B3" w:rsidP="0044666A">
      <w:pPr>
        <w:pStyle w:val="ListParagraph"/>
        <w:numPr>
          <w:ilvl w:val="0"/>
          <w:numId w:val="2"/>
        </w:numPr>
        <w:rPr>
          <w:rFonts w:ascii="Imago" w:hAnsi="Imago"/>
          <w:sz w:val="24"/>
          <w:lang w:val="fi-FI"/>
        </w:rPr>
      </w:pPr>
      <w:r w:rsidRPr="00DD063E">
        <w:rPr>
          <w:rFonts w:ascii="Imago" w:hAnsi="Imago"/>
          <w:sz w:val="24"/>
          <w:lang w:val="fi-FI"/>
        </w:rPr>
        <w:t xml:space="preserve">Tyvisolusyövän katsotaan levinneen, kun yleensä hoitoon hyvin reagoivat ja parannettavissa olevat </w:t>
      </w:r>
      <w:r w:rsidR="005A05EF" w:rsidRPr="00DD063E">
        <w:rPr>
          <w:rFonts w:ascii="Imago" w:hAnsi="Imago"/>
          <w:sz w:val="24"/>
          <w:lang w:val="fi-FI"/>
        </w:rPr>
        <w:t>kasvaimet</w:t>
      </w:r>
      <w:r w:rsidRPr="00DD063E">
        <w:rPr>
          <w:rFonts w:ascii="Imago" w:hAnsi="Imago"/>
          <w:sz w:val="24"/>
          <w:lang w:val="fi-FI"/>
        </w:rPr>
        <w:t xml:space="preserve"> ovat joko vaurioittaneet sitä ympäröivää kudosta (paikallisesti levinnyt) tai tauti on levinnyt muualle kehoon (etäpesäkkeinen).</w:t>
      </w:r>
      <w:r w:rsidRPr="00DD063E">
        <w:rPr>
          <w:rFonts w:ascii="Imago" w:hAnsi="Imago"/>
          <w:sz w:val="24"/>
          <w:vertAlign w:val="superscript"/>
          <w:lang w:val="fi-FI"/>
        </w:rPr>
        <w:t>4,7</w:t>
      </w:r>
    </w:p>
    <w:p w:rsidR="008A44B3" w:rsidRPr="00DD063E" w:rsidRDefault="008A44B3" w:rsidP="0044666A">
      <w:pPr>
        <w:pStyle w:val="ListParagraph"/>
        <w:numPr>
          <w:ilvl w:val="0"/>
          <w:numId w:val="2"/>
        </w:numPr>
        <w:rPr>
          <w:rFonts w:ascii="Imago" w:hAnsi="Imago"/>
          <w:sz w:val="24"/>
          <w:lang w:val="fi-FI"/>
        </w:rPr>
      </w:pPr>
      <w:r w:rsidRPr="00DD063E">
        <w:rPr>
          <w:rFonts w:ascii="Imago" w:hAnsi="Imago"/>
          <w:sz w:val="24"/>
          <w:lang w:val="fi-FI"/>
        </w:rPr>
        <w:t>Vaikka arvioiden mukaan noin 10 miljoonalla ihmisellä diagnosoidaan</w:t>
      </w:r>
      <w:r w:rsidR="009102CF" w:rsidRPr="00DD063E">
        <w:rPr>
          <w:rFonts w:ascii="Imago" w:hAnsi="Imago"/>
          <w:sz w:val="24"/>
          <w:lang w:val="fi-FI"/>
        </w:rPr>
        <w:t xml:space="preserve"> vuosittain tyvisolusyöpä, vain alle yhdellä prosentilla tauti kehittyy levinneeksi tyvisolusyöväksi.</w:t>
      </w:r>
      <w:r w:rsidR="009102CF" w:rsidRPr="00DD063E">
        <w:rPr>
          <w:rFonts w:ascii="Imago" w:hAnsi="Imago"/>
          <w:sz w:val="24"/>
          <w:vertAlign w:val="superscript"/>
          <w:lang w:val="fi-FI"/>
        </w:rPr>
        <w:t>4,6</w:t>
      </w:r>
    </w:p>
    <w:p w:rsidR="009102CF" w:rsidRPr="00DD063E" w:rsidRDefault="009102CF" w:rsidP="009102CF">
      <w:pPr>
        <w:rPr>
          <w:rFonts w:ascii="Imago" w:hAnsi="Imago"/>
          <w:b/>
          <w:sz w:val="24"/>
          <w:lang w:val="fi-FI"/>
        </w:rPr>
      </w:pPr>
      <w:r w:rsidRPr="00DD063E">
        <w:rPr>
          <w:rFonts w:ascii="Imago" w:hAnsi="Imago"/>
          <w:b/>
          <w:sz w:val="24"/>
          <w:lang w:val="fi-FI"/>
        </w:rPr>
        <w:t>Altistuminen uv-säteilylle on yksi merkittävimmistä riskitekijöistä</w:t>
      </w:r>
    </w:p>
    <w:p w:rsidR="009102CF" w:rsidRPr="00DD063E" w:rsidRDefault="009102CF" w:rsidP="009102CF">
      <w:pPr>
        <w:pStyle w:val="ListParagraph"/>
        <w:numPr>
          <w:ilvl w:val="0"/>
          <w:numId w:val="3"/>
        </w:numPr>
        <w:rPr>
          <w:rFonts w:ascii="Imago" w:hAnsi="Imago"/>
          <w:sz w:val="24"/>
          <w:lang w:val="fi-FI"/>
        </w:rPr>
      </w:pPr>
      <w:r w:rsidRPr="00DD063E">
        <w:rPr>
          <w:rFonts w:ascii="Imago" w:hAnsi="Imago"/>
          <w:sz w:val="24"/>
          <w:lang w:val="fi-FI"/>
        </w:rPr>
        <w:t>Tyvisolusyövän riskitekijöitä ovat</w:t>
      </w:r>
    </w:p>
    <w:p w:rsidR="009102CF" w:rsidRPr="00DD063E" w:rsidRDefault="00C90339" w:rsidP="009102CF">
      <w:pPr>
        <w:pStyle w:val="ListParagraph"/>
        <w:numPr>
          <w:ilvl w:val="1"/>
          <w:numId w:val="3"/>
        </w:numPr>
        <w:rPr>
          <w:rFonts w:ascii="Imago" w:hAnsi="Imago"/>
          <w:sz w:val="24"/>
          <w:lang w:val="fi-FI"/>
        </w:rPr>
      </w:pPr>
      <w:r w:rsidRPr="00DD063E">
        <w:rPr>
          <w:rFonts w:ascii="Imago" w:hAnsi="Imago"/>
          <w:sz w:val="24"/>
          <w:lang w:val="fi-FI"/>
        </w:rPr>
        <w:t>Ultraviolettisäteily erityisesti vaaleaihoisilla tai niillä, jotka eivät rusketu helposti</w:t>
      </w:r>
      <w:r w:rsidRPr="00DD063E">
        <w:rPr>
          <w:rFonts w:ascii="Imago" w:hAnsi="Imago"/>
          <w:sz w:val="24"/>
          <w:vertAlign w:val="superscript"/>
          <w:lang w:val="fi-FI"/>
        </w:rPr>
        <w:t>4</w:t>
      </w:r>
      <w:r w:rsidRPr="00DD063E">
        <w:rPr>
          <w:rFonts w:ascii="Imago" w:hAnsi="Imago"/>
          <w:sz w:val="24"/>
          <w:lang w:val="fi-FI"/>
        </w:rPr>
        <w:t xml:space="preserve"> tai jotka viettävät paljon aikaa auringossa</w:t>
      </w:r>
      <w:r w:rsidRPr="00DD063E">
        <w:rPr>
          <w:rFonts w:ascii="Imago" w:hAnsi="Imago"/>
          <w:sz w:val="24"/>
          <w:vertAlign w:val="superscript"/>
          <w:lang w:val="fi-FI"/>
        </w:rPr>
        <w:t>8</w:t>
      </w:r>
    </w:p>
    <w:p w:rsidR="00C90339" w:rsidRPr="00DD063E" w:rsidRDefault="00C90339" w:rsidP="009102CF">
      <w:pPr>
        <w:pStyle w:val="ListParagraph"/>
        <w:numPr>
          <w:ilvl w:val="1"/>
          <w:numId w:val="3"/>
        </w:numPr>
        <w:rPr>
          <w:rFonts w:ascii="Imago" w:hAnsi="Imago"/>
          <w:sz w:val="24"/>
          <w:lang w:val="fi-FI"/>
        </w:rPr>
      </w:pPr>
      <w:r w:rsidRPr="00DD063E">
        <w:rPr>
          <w:rFonts w:ascii="Imago" w:hAnsi="Imago"/>
          <w:sz w:val="24"/>
          <w:lang w:val="fi-FI"/>
        </w:rPr>
        <w:t>Gorlinin syndrooma, jonka takia henkilölle voi kehittyä useita basalioomia</w:t>
      </w:r>
      <w:r w:rsidRPr="00DD063E">
        <w:rPr>
          <w:rFonts w:ascii="Imago" w:hAnsi="Imago"/>
          <w:sz w:val="24"/>
          <w:vertAlign w:val="superscript"/>
          <w:lang w:val="fi-FI"/>
        </w:rPr>
        <w:t>9</w:t>
      </w:r>
    </w:p>
    <w:p w:rsidR="00C90339" w:rsidRPr="00DD063E" w:rsidRDefault="00C90339" w:rsidP="009102CF">
      <w:pPr>
        <w:pStyle w:val="ListParagraph"/>
        <w:numPr>
          <w:ilvl w:val="1"/>
          <w:numId w:val="3"/>
        </w:numPr>
        <w:rPr>
          <w:rFonts w:ascii="Imago" w:hAnsi="Imago"/>
          <w:sz w:val="24"/>
          <w:lang w:val="fi-FI"/>
        </w:rPr>
      </w:pPr>
      <w:r w:rsidRPr="00DD063E">
        <w:rPr>
          <w:rFonts w:ascii="Imago" w:hAnsi="Imago"/>
          <w:sz w:val="24"/>
          <w:lang w:val="fi-FI"/>
        </w:rPr>
        <w:t>Altistuminen säteilylle</w:t>
      </w:r>
      <w:r w:rsidRPr="00DD063E">
        <w:rPr>
          <w:rFonts w:ascii="Imago" w:hAnsi="Imago"/>
          <w:sz w:val="24"/>
          <w:vertAlign w:val="superscript"/>
          <w:lang w:val="fi-FI"/>
        </w:rPr>
        <w:t>9</w:t>
      </w:r>
    </w:p>
    <w:p w:rsidR="00C90339" w:rsidRPr="00DD063E" w:rsidRDefault="00C90339" w:rsidP="009102CF">
      <w:pPr>
        <w:pStyle w:val="ListParagraph"/>
        <w:numPr>
          <w:ilvl w:val="1"/>
          <w:numId w:val="3"/>
        </w:numPr>
        <w:rPr>
          <w:rFonts w:ascii="Imago" w:hAnsi="Imago"/>
          <w:sz w:val="24"/>
          <w:lang w:val="fi-FI"/>
        </w:rPr>
      </w:pPr>
      <w:r w:rsidRPr="00DD063E">
        <w:rPr>
          <w:rFonts w:ascii="Imago" w:hAnsi="Imago"/>
          <w:sz w:val="24"/>
          <w:lang w:val="fi-FI"/>
        </w:rPr>
        <w:t>Altistumien</w:t>
      </w:r>
      <w:r w:rsidR="00BF1628" w:rsidRPr="00DD063E">
        <w:rPr>
          <w:rFonts w:ascii="Imago" w:hAnsi="Imago"/>
          <w:sz w:val="24"/>
          <w:lang w:val="fi-FI"/>
        </w:rPr>
        <w:t xml:space="preserve"> arsenikille</w:t>
      </w:r>
      <w:r w:rsidR="00BF1628" w:rsidRPr="00DD063E">
        <w:rPr>
          <w:rFonts w:ascii="Imago" w:hAnsi="Imago"/>
          <w:sz w:val="24"/>
          <w:vertAlign w:val="superscript"/>
          <w:lang w:val="fi-FI"/>
        </w:rPr>
        <w:t>9</w:t>
      </w:r>
    </w:p>
    <w:p w:rsidR="00BF1628" w:rsidRPr="00DD063E" w:rsidRDefault="00BF1628" w:rsidP="009102CF">
      <w:pPr>
        <w:pStyle w:val="ListParagraph"/>
        <w:numPr>
          <w:ilvl w:val="1"/>
          <w:numId w:val="3"/>
        </w:numPr>
        <w:rPr>
          <w:rFonts w:ascii="Imago" w:hAnsi="Imago"/>
          <w:sz w:val="24"/>
          <w:lang w:val="fi-FI"/>
        </w:rPr>
      </w:pPr>
      <w:r w:rsidRPr="00DD063E">
        <w:rPr>
          <w:rFonts w:ascii="Imago" w:hAnsi="Imago"/>
          <w:sz w:val="24"/>
          <w:lang w:val="fi-FI"/>
        </w:rPr>
        <w:t>Elinsiirrosta johtuva krooninen immuunivasteen heikentyminen</w:t>
      </w:r>
      <w:r w:rsidRPr="00DD063E">
        <w:rPr>
          <w:rFonts w:ascii="Imago" w:hAnsi="Imago"/>
          <w:sz w:val="24"/>
          <w:vertAlign w:val="superscript"/>
          <w:lang w:val="fi-FI"/>
        </w:rPr>
        <w:t>10</w:t>
      </w:r>
    </w:p>
    <w:p w:rsidR="00BF1628" w:rsidRPr="00DD063E" w:rsidRDefault="00BF1628" w:rsidP="00BF1628">
      <w:pPr>
        <w:pStyle w:val="ListParagraph"/>
        <w:numPr>
          <w:ilvl w:val="0"/>
          <w:numId w:val="3"/>
        </w:numPr>
        <w:rPr>
          <w:rFonts w:ascii="Imago" w:hAnsi="Imago"/>
          <w:sz w:val="24"/>
          <w:lang w:val="fi-FI"/>
        </w:rPr>
      </w:pPr>
      <w:r w:rsidRPr="00DD063E">
        <w:rPr>
          <w:rFonts w:ascii="Imago" w:hAnsi="Imago"/>
          <w:sz w:val="24"/>
          <w:lang w:val="fi-FI"/>
        </w:rPr>
        <w:t>Tyvisolusyöpä kehittyy tyypillisesti pään alueelle, niskaan ja kämmenselkään. Kasvoissa se on kehittyy usein nenään, mutta se voi olla missä tahansa kehon osassa, myös vartalossa, jaloissa ja käsissä.</w:t>
      </w:r>
      <w:r w:rsidRPr="00DD063E">
        <w:rPr>
          <w:rFonts w:ascii="Imago" w:hAnsi="Imago"/>
          <w:sz w:val="24"/>
          <w:vertAlign w:val="superscript"/>
          <w:lang w:val="fi-FI"/>
        </w:rPr>
        <w:t>11</w:t>
      </w:r>
    </w:p>
    <w:p w:rsidR="00BF1628" w:rsidRPr="00DD063E" w:rsidRDefault="00BF1628" w:rsidP="00BF1628">
      <w:pPr>
        <w:rPr>
          <w:rFonts w:ascii="Imago" w:hAnsi="Imago"/>
          <w:b/>
          <w:sz w:val="24"/>
          <w:lang w:val="fi-FI"/>
        </w:rPr>
      </w:pPr>
      <w:r w:rsidRPr="00DD063E">
        <w:rPr>
          <w:rFonts w:ascii="Imago" w:hAnsi="Imago"/>
          <w:b/>
          <w:sz w:val="24"/>
          <w:lang w:val="fi-FI"/>
        </w:rPr>
        <w:t xml:space="preserve">Levinnyt tyvisolusyöpä </w:t>
      </w:r>
      <w:r w:rsidR="000269BA" w:rsidRPr="00DD063E">
        <w:rPr>
          <w:rFonts w:ascii="Imago" w:hAnsi="Imago"/>
          <w:b/>
          <w:sz w:val="24"/>
          <w:lang w:val="fi-FI"/>
        </w:rPr>
        <w:t xml:space="preserve">saattaa </w:t>
      </w:r>
      <w:r w:rsidRPr="00DD063E">
        <w:rPr>
          <w:rFonts w:ascii="Imago" w:hAnsi="Imago"/>
          <w:b/>
          <w:sz w:val="24"/>
          <w:lang w:val="fi-FI"/>
        </w:rPr>
        <w:t>vaikuttaa ulkonäköön ja voi olla</w:t>
      </w:r>
      <w:r w:rsidR="000269BA" w:rsidRPr="00DD063E">
        <w:rPr>
          <w:rFonts w:ascii="Imago" w:hAnsi="Imago"/>
          <w:b/>
          <w:sz w:val="24"/>
          <w:lang w:val="fi-FI"/>
        </w:rPr>
        <w:t xml:space="preserve"> hengenvaarallinen</w:t>
      </w:r>
    </w:p>
    <w:p w:rsidR="00D962F0" w:rsidRPr="00DD063E" w:rsidRDefault="000269BA" w:rsidP="00D962F0">
      <w:pPr>
        <w:pStyle w:val="ListParagraph"/>
        <w:numPr>
          <w:ilvl w:val="0"/>
          <w:numId w:val="4"/>
        </w:numPr>
        <w:rPr>
          <w:rFonts w:ascii="Imago" w:hAnsi="Imago"/>
          <w:sz w:val="24"/>
          <w:lang w:val="fi-FI"/>
        </w:rPr>
      </w:pPr>
      <w:r w:rsidRPr="00DD063E">
        <w:rPr>
          <w:rFonts w:ascii="Imago" w:hAnsi="Imago"/>
          <w:sz w:val="24"/>
          <w:lang w:val="fi-FI"/>
        </w:rPr>
        <w:t>Levinnyt tyvisolusyöpä on jokaisella potilaalla erilainen, koska monissa tapauksissa tautia ei voida hoitaa tehokkaasti sädehoidolla tai leikkauksella</w:t>
      </w:r>
      <w:r w:rsidR="00D962F0" w:rsidRPr="00DD063E">
        <w:rPr>
          <w:rFonts w:ascii="Imago" w:hAnsi="Imago"/>
          <w:sz w:val="24"/>
          <w:lang w:val="fi-FI"/>
        </w:rPr>
        <w:t>. Leikattava alue päässä, kasvoissa tai niskassa voi olla niin suuri, että potilaalta joudutaan poistamaan nenä tai silmä.</w:t>
      </w:r>
      <w:r w:rsidR="00D962F0" w:rsidRPr="00DD063E">
        <w:rPr>
          <w:rFonts w:ascii="Imago" w:hAnsi="Imago"/>
          <w:sz w:val="24"/>
          <w:vertAlign w:val="superscript"/>
          <w:lang w:val="fi-FI"/>
        </w:rPr>
        <w:t>12</w:t>
      </w:r>
      <w:r w:rsidR="00D962F0" w:rsidRPr="00DD063E">
        <w:rPr>
          <w:rFonts w:ascii="Imago" w:hAnsi="Imago"/>
          <w:sz w:val="24"/>
          <w:lang w:val="fi-FI"/>
        </w:rPr>
        <w:t xml:space="preserve"> Etäpesäkkeistä tyvisolusyöpää sairastavien mediaani elinajanodote on vain 8–10 kuukautta.</w:t>
      </w:r>
      <w:r w:rsidR="00D962F0" w:rsidRPr="00DD063E">
        <w:rPr>
          <w:rFonts w:ascii="Imago" w:hAnsi="Imago"/>
          <w:sz w:val="24"/>
          <w:vertAlign w:val="superscript"/>
          <w:lang w:val="fi-FI"/>
        </w:rPr>
        <w:t>13,14</w:t>
      </w:r>
    </w:p>
    <w:p w:rsidR="00D962F0" w:rsidRPr="00DD063E" w:rsidRDefault="00D962F0" w:rsidP="00D962F0">
      <w:pPr>
        <w:pStyle w:val="Default"/>
        <w:rPr>
          <w:b/>
          <w:i/>
          <w:sz w:val="20"/>
          <w:szCs w:val="20"/>
        </w:rPr>
      </w:pPr>
      <w:proofErr w:type="spellStart"/>
      <w:r w:rsidRPr="00DD063E">
        <w:rPr>
          <w:b/>
          <w:i/>
          <w:sz w:val="20"/>
          <w:szCs w:val="20"/>
        </w:rPr>
        <w:lastRenderedPageBreak/>
        <w:t>Viitteet</w:t>
      </w:r>
      <w:proofErr w:type="spellEnd"/>
    </w:p>
    <w:p w:rsidR="00D962F0" w:rsidRPr="00DD063E" w:rsidRDefault="00D962F0" w:rsidP="00D962F0">
      <w:pPr>
        <w:pStyle w:val="Default"/>
        <w:rPr>
          <w:i/>
          <w:sz w:val="20"/>
          <w:szCs w:val="20"/>
        </w:rPr>
      </w:pPr>
      <w:r w:rsidRPr="00DD063E">
        <w:rPr>
          <w:i/>
          <w:sz w:val="20"/>
          <w:szCs w:val="20"/>
        </w:rPr>
        <w:t xml:space="preserve">1. </w:t>
      </w:r>
      <w:proofErr w:type="spellStart"/>
      <w:r w:rsidRPr="00DD063E">
        <w:rPr>
          <w:i/>
          <w:sz w:val="20"/>
          <w:szCs w:val="20"/>
        </w:rPr>
        <w:t>Telfer</w:t>
      </w:r>
      <w:proofErr w:type="spellEnd"/>
      <w:r w:rsidRPr="00DD063E">
        <w:rPr>
          <w:i/>
          <w:sz w:val="20"/>
          <w:szCs w:val="20"/>
        </w:rPr>
        <w:t xml:space="preserve"> NR, </w:t>
      </w:r>
      <w:proofErr w:type="spellStart"/>
      <w:r w:rsidRPr="00DD063E">
        <w:rPr>
          <w:i/>
          <w:sz w:val="20"/>
          <w:szCs w:val="20"/>
        </w:rPr>
        <w:t>Colver</w:t>
      </w:r>
      <w:proofErr w:type="spellEnd"/>
      <w:r w:rsidRPr="00DD063E">
        <w:rPr>
          <w:i/>
          <w:sz w:val="20"/>
          <w:szCs w:val="20"/>
        </w:rPr>
        <w:t xml:space="preserve"> GB, Morton CA; British Association of Dermatologists. </w:t>
      </w:r>
      <w:proofErr w:type="gramStart"/>
      <w:r w:rsidRPr="00DD063E">
        <w:rPr>
          <w:i/>
          <w:sz w:val="20"/>
          <w:szCs w:val="20"/>
        </w:rPr>
        <w:t>Guidelines for the management of basal cell carcinoma.</w:t>
      </w:r>
      <w:proofErr w:type="gramEnd"/>
      <w:r w:rsidRPr="00DD063E">
        <w:rPr>
          <w:i/>
          <w:sz w:val="20"/>
          <w:szCs w:val="20"/>
        </w:rPr>
        <w:t xml:space="preserve"> </w:t>
      </w:r>
      <w:r w:rsidRPr="00DD063E">
        <w:rPr>
          <w:i/>
          <w:iCs/>
          <w:sz w:val="20"/>
          <w:szCs w:val="20"/>
        </w:rPr>
        <w:t xml:space="preserve">Br J </w:t>
      </w:r>
      <w:proofErr w:type="spellStart"/>
      <w:r w:rsidRPr="00DD063E">
        <w:rPr>
          <w:i/>
          <w:iCs/>
          <w:sz w:val="20"/>
          <w:szCs w:val="20"/>
        </w:rPr>
        <w:t>Dermatol</w:t>
      </w:r>
      <w:proofErr w:type="spellEnd"/>
      <w:r w:rsidRPr="00DD063E">
        <w:rPr>
          <w:i/>
          <w:iCs/>
          <w:sz w:val="20"/>
          <w:szCs w:val="20"/>
        </w:rPr>
        <w:t xml:space="preserve"> </w:t>
      </w:r>
      <w:r w:rsidRPr="00DD063E">
        <w:rPr>
          <w:i/>
          <w:sz w:val="20"/>
          <w:szCs w:val="20"/>
        </w:rPr>
        <w:t>2008</w:t>
      </w:r>
      <w:proofErr w:type="gramStart"/>
      <w:r w:rsidRPr="00DD063E">
        <w:rPr>
          <w:i/>
          <w:sz w:val="20"/>
          <w:szCs w:val="20"/>
        </w:rPr>
        <w:t>;159:35</w:t>
      </w:r>
      <w:proofErr w:type="gramEnd"/>
      <w:r w:rsidRPr="00DD063E">
        <w:rPr>
          <w:i/>
          <w:sz w:val="20"/>
          <w:szCs w:val="20"/>
        </w:rPr>
        <w:t xml:space="preserve">-48. 2. Von Hoff DD, </w:t>
      </w:r>
      <w:proofErr w:type="spellStart"/>
      <w:r w:rsidRPr="00DD063E">
        <w:rPr>
          <w:i/>
          <w:sz w:val="20"/>
          <w:szCs w:val="20"/>
        </w:rPr>
        <w:t>LoRusso</w:t>
      </w:r>
      <w:proofErr w:type="spellEnd"/>
      <w:r w:rsidRPr="00DD063E">
        <w:rPr>
          <w:i/>
          <w:sz w:val="20"/>
          <w:szCs w:val="20"/>
        </w:rPr>
        <w:t xml:space="preserve"> PM, </w:t>
      </w:r>
      <w:proofErr w:type="spellStart"/>
      <w:r w:rsidRPr="00DD063E">
        <w:rPr>
          <w:i/>
          <w:sz w:val="20"/>
          <w:szCs w:val="20"/>
        </w:rPr>
        <w:t>Rudin</w:t>
      </w:r>
      <w:proofErr w:type="spellEnd"/>
      <w:r w:rsidRPr="00DD063E">
        <w:rPr>
          <w:i/>
          <w:sz w:val="20"/>
          <w:szCs w:val="20"/>
        </w:rPr>
        <w:t xml:space="preserve"> CM, </w:t>
      </w:r>
      <w:r w:rsidRPr="00DD063E">
        <w:rPr>
          <w:i/>
          <w:iCs/>
          <w:sz w:val="20"/>
          <w:szCs w:val="20"/>
        </w:rPr>
        <w:t>et al</w:t>
      </w:r>
      <w:r w:rsidRPr="00DD063E">
        <w:rPr>
          <w:i/>
          <w:sz w:val="20"/>
          <w:szCs w:val="20"/>
        </w:rPr>
        <w:t xml:space="preserve">. Inhibition of the hedgehog pathway in advanced basal-cell carcinoma. </w:t>
      </w:r>
      <w:r w:rsidRPr="00DD063E">
        <w:rPr>
          <w:i/>
          <w:iCs/>
          <w:sz w:val="20"/>
          <w:szCs w:val="20"/>
        </w:rPr>
        <w:t xml:space="preserve">N </w:t>
      </w:r>
      <w:proofErr w:type="spellStart"/>
      <w:r w:rsidRPr="00DD063E">
        <w:rPr>
          <w:i/>
          <w:iCs/>
          <w:sz w:val="20"/>
          <w:szCs w:val="20"/>
        </w:rPr>
        <w:t>Engl</w:t>
      </w:r>
      <w:proofErr w:type="spellEnd"/>
      <w:r w:rsidRPr="00DD063E">
        <w:rPr>
          <w:i/>
          <w:iCs/>
          <w:sz w:val="20"/>
          <w:szCs w:val="20"/>
        </w:rPr>
        <w:t xml:space="preserve"> J Med </w:t>
      </w:r>
      <w:r w:rsidRPr="00DD063E">
        <w:rPr>
          <w:i/>
          <w:sz w:val="20"/>
          <w:szCs w:val="20"/>
        </w:rPr>
        <w:t>2009</w:t>
      </w:r>
      <w:proofErr w:type="gramStart"/>
      <w:r w:rsidRPr="00DD063E">
        <w:rPr>
          <w:i/>
          <w:sz w:val="20"/>
          <w:szCs w:val="20"/>
        </w:rPr>
        <w:t>;361:1164</w:t>
      </w:r>
      <w:proofErr w:type="gramEnd"/>
      <w:r w:rsidRPr="00DD063E">
        <w:rPr>
          <w:i/>
          <w:sz w:val="20"/>
          <w:szCs w:val="20"/>
        </w:rPr>
        <w:t xml:space="preserve">-72. 3. </w:t>
      </w:r>
      <w:proofErr w:type="spellStart"/>
      <w:r w:rsidRPr="00DD063E">
        <w:rPr>
          <w:i/>
          <w:sz w:val="20"/>
          <w:szCs w:val="20"/>
        </w:rPr>
        <w:t>Gilbody</w:t>
      </w:r>
      <w:proofErr w:type="spellEnd"/>
      <w:r w:rsidRPr="00DD063E">
        <w:rPr>
          <w:i/>
          <w:sz w:val="20"/>
          <w:szCs w:val="20"/>
        </w:rPr>
        <w:t xml:space="preserve"> JS, Aitken J, Green A. What causes basal cell carcinoma to be the commonest cancer? </w:t>
      </w:r>
      <w:proofErr w:type="spellStart"/>
      <w:r w:rsidRPr="00DD063E">
        <w:rPr>
          <w:i/>
          <w:iCs/>
          <w:sz w:val="20"/>
          <w:szCs w:val="20"/>
        </w:rPr>
        <w:t>Aust</w:t>
      </w:r>
      <w:proofErr w:type="spellEnd"/>
      <w:r w:rsidRPr="00DD063E">
        <w:rPr>
          <w:i/>
          <w:iCs/>
          <w:sz w:val="20"/>
          <w:szCs w:val="20"/>
        </w:rPr>
        <w:t xml:space="preserve"> J Public Health </w:t>
      </w:r>
      <w:r w:rsidRPr="00DD063E">
        <w:rPr>
          <w:i/>
          <w:sz w:val="20"/>
          <w:szCs w:val="20"/>
        </w:rPr>
        <w:t>1994</w:t>
      </w:r>
      <w:proofErr w:type="gramStart"/>
      <w:r w:rsidRPr="00DD063E">
        <w:rPr>
          <w:i/>
          <w:sz w:val="20"/>
          <w:szCs w:val="20"/>
        </w:rPr>
        <w:t>;18:218</w:t>
      </w:r>
      <w:proofErr w:type="gramEnd"/>
      <w:r w:rsidRPr="00DD063E">
        <w:rPr>
          <w:i/>
          <w:sz w:val="20"/>
          <w:szCs w:val="20"/>
        </w:rPr>
        <w:t xml:space="preserve">-21. </w:t>
      </w:r>
    </w:p>
    <w:p w:rsidR="00D962F0" w:rsidRPr="00DD063E" w:rsidRDefault="00D962F0" w:rsidP="00D962F0">
      <w:pPr>
        <w:pStyle w:val="Default"/>
        <w:rPr>
          <w:i/>
          <w:sz w:val="20"/>
          <w:szCs w:val="20"/>
        </w:rPr>
      </w:pPr>
      <w:r w:rsidRPr="00DD063E">
        <w:rPr>
          <w:i/>
          <w:sz w:val="20"/>
          <w:szCs w:val="20"/>
        </w:rPr>
        <w:t xml:space="preserve">4. Walling HW, </w:t>
      </w:r>
      <w:proofErr w:type="spellStart"/>
      <w:r w:rsidRPr="00DD063E">
        <w:rPr>
          <w:i/>
          <w:sz w:val="20"/>
          <w:szCs w:val="20"/>
        </w:rPr>
        <w:t>Fosko</w:t>
      </w:r>
      <w:proofErr w:type="spellEnd"/>
      <w:r w:rsidRPr="00DD063E">
        <w:rPr>
          <w:i/>
          <w:sz w:val="20"/>
          <w:szCs w:val="20"/>
        </w:rPr>
        <w:t xml:space="preserve"> SW, </w:t>
      </w:r>
      <w:proofErr w:type="spellStart"/>
      <w:r w:rsidRPr="00DD063E">
        <w:rPr>
          <w:i/>
          <w:sz w:val="20"/>
          <w:szCs w:val="20"/>
        </w:rPr>
        <w:t>Geraminejad</w:t>
      </w:r>
      <w:proofErr w:type="spellEnd"/>
      <w:r w:rsidRPr="00DD063E">
        <w:rPr>
          <w:i/>
          <w:sz w:val="20"/>
          <w:szCs w:val="20"/>
        </w:rPr>
        <w:t xml:space="preserve"> PA, Whitaker DC, </w:t>
      </w:r>
      <w:proofErr w:type="spellStart"/>
      <w:r w:rsidRPr="00DD063E">
        <w:rPr>
          <w:i/>
          <w:sz w:val="20"/>
          <w:szCs w:val="20"/>
        </w:rPr>
        <w:t>Arpey</w:t>
      </w:r>
      <w:proofErr w:type="spellEnd"/>
      <w:r w:rsidRPr="00DD063E">
        <w:rPr>
          <w:i/>
          <w:sz w:val="20"/>
          <w:szCs w:val="20"/>
        </w:rPr>
        <w:t xml:space="preserve"> CJ. Aggressive basal cell carcinoma: presentation, pathogenesis, and management. </w:t>
      </w:r>
      <w:r w:rsidRPr="00DD063E">
        <w:rPr>
          <w:i/>
          <w:iCs/>
          <w:sz w:val="20"/>
          <w:szCs w:val="20"/>
        </w:rPr>
        <w:t xml:space="preserve">Cancer Metastasis Rev </w:t>
      </w:r>
      <w:r w:rsidRPr="00DD063E">
        <w:rPr>
          <w:i/>
          <w:sz w:val="20"/>
          <w:szCs w:val="20"/>
        </w:rPr>
        <w:t>2004</w:t>
      </w:r>
      <w:proofErr w:type="gramStart"/>
      <w:r w:rsidRPr="00DD063E">
        <w:rPr>
          <w:i/>
          <w:sz w:val="20"/>
          <w:szCs w:val="20"/>
        </w:rPr>
        <w:t>;23:389</w:t>
      </w:r>
      <w:proofErr w:type="gramEnd"/>
      <w:r w:rsidRPr="00DD063E">
        <w:rPr>
          <w:i/>
          <w:sz w:val="20"/>
          <w:szCs w:val="20"/>
        </w:rPr>
        <w:t xml:space="preserve">-402. </w:t>
      </w:r>
    </w:p>
    <w:p w:rsidR="00D962F0" w:rsidRPr="00DD063E" w:rsidRDefault="00D962F0" w:rsidP="00D962F0">
      <w:pPr>
        <w:pStyle w:val="Default"/>
        <w:rPr>
          <w:i/>
          <w:sz w:val="20"/>
          <w:szCs w:val="20"/>
        </w:rPr>
      </w:pPr>
      <w:r w:rsidRPr="00DD063E">
        <w:rPr>
          <w:i/>
          <w:sz w:val="20"/>
          <w:szCs w:val="20"/>
        </w:rPr>
        <w:t xml:space="preserve">5. </w:t>
      </w:r>
      <w:proofErr w:type="spellStart"/>
      <w:r w:rsidRPr="00DD063E">
        <w:rPr>
          <w:i/>
          <w:sz w:val="20"/>
          <w:szCs w:val="20"/>
        </w:rPr>
        <w:t>Sekulic</w:t>
      </w:r>
      <w:proofErr w:type="spellEnd"/>
      <w:r w:rsidRPr="00DD063E">
        <w:rPr>
          <w:i/>
          <w:sz w:val="20"/>
          <w:szCs w:val="20"/>
        </w:rPr>
        <w:t xml:space="preserve"> A, </w:t>
      </w:r>
      <w:proofErr w:type="spellStart"/>
      <w:r w:rsidRPr="00DD063E">
        <w:rPr>
          <w:i/>
          <w:sz w:val="20"/>
          <w:szCs w:val="20"/>
        </w:rPr>
        <w:t>Migden</w:t>
      </w:r>
      <w:proofErr w:type="spellEnd"/>
      <w:r w:rsidRPr="00DD063E">
        <w:rPr>
          <w:i/>
          <w:sz w:val="20"/>
          <w:szCs w:val="20"/>
        </w:rPr>
        <w:t xml:space="preserve"> MR, Oro AE, </w:t>
      </w:r>
      <w:r w:rsidRPr="00DD063E">
        <w:rPr>
          <w:i/>
          <w:iCs/>
          <w:sz w:val="20"/>
          <w:szCs w:val="20"/>
        </w:rPr>
        <w:t>et al</w:t>
      </w:r>
      <w:r w:rsidRPr="00DD063E">
        <w:rPr>
          <w:i/>
          <w:sz w:val="20"/>
          <w:szCs w:val="20"/>
        </w:rPr>
        <w:t xml:space="preserve">. Efficacy and safety of </w:t>
      </w:r>
      <w:proofErr w:type="spellStart"/>
      <w:r w:rsidRPr="00DD063E">
        <w:rPr>
          <w:i/>
          <w:sz w:val="20"/>
          <w:szCs w:val="20"/>
        </w:rPr>
        <w:t>vismodegib</w:t>
      </w:r>
      <w:proofErr w:type="spellEnd"/>
      <w:r w:rsidRPr="00DD063E">
        <w:rPr>
          <w:i/>
          <w:sz w:val="20"/>
          <w:szCs w:val="20"/>
        </w:rPr>
        <w:t xml:space="preserve"> in advanced basal-cell carcinoma. </w:t>
      </w:r>
      <w:r w:rsidRPr="00DD063E">
        <w:rPr>
          <w:i/>
          <w:iCs/>
          <w:sz w:val="20"/>
          <w:szCs w:val="20"/>
        </w:rPr>
        <w:t xml:space="preserve">N </w:t>
      </w:r>
      <w:proofErr w:type="spellStart"/>
      <w:r w:rsidRPr="00DD063E">
        <w:rPr>
          <w:i/>
          <w:iCs/>
          <w:sz w:val="20"/>
          <w:szCs w:val="20"/>
        </w:rPr>
        <w:t>Engl</w:t>
      </w:r>
      <w:proofErr w:type="spellEnd"/>
      <w:r w:rsidRPr="00DD063E">
        <w:rPr>
          <w:i/>
          <w:iCs/>
          <w:sz w:val="20"/>
          <w:szCs w:val="20"/>
        </w:rPr>
        <w:t xml:space="preserve"> J Med </w:t>
      </w:r>
      <w:r w:rsidRPr="00DD063E">
        <w:rPr>
          <w:i/>
          <w:sz w:val="20"/>
          <w:szCs w:val="20"/>
        </w:rPr>
        <w:t>2012</w:t>
      </w:r>
      <w:proofErr w:type="gramStart"/>
      <w:r w:rsidRPr="00DD063E">
        <w:rPr>
          <w:i/>
          <w:sz w:val="20"/>
          <w:szCs w:val="20"/>
        </w:rPr>
        <w:t>;366:2171</w:t>
      </w:r>
      <w:proofErr w:type="gramEnd"/>
      <w:r w:rsidRPr="00DD063E">
        <w:rPr>
          <w:i/>
          <w:sz w:val="20"/>
          <w:szCs w:val="20"/>
        </w:rPr>
        <w:t xml:space="preserve">-9. </w:t>
      </w:r>
    </w:p>
    <w:p w:rsidR="00D962F0" w:rsidRPr="00DD063E" w:rsidRDefault="00D962F0" w:rsidP="00D962F0">
      <w:pPr>
        <w:pStyle w:val="Default"/>
        <w:rPr>
          <w:i/>
          <w:sz w:val="20"/>
          <w:szCs w:val="20"/>
        </w:rPr>
      </w:pPr>
      <w:r w:rsidRPr="00DD063E">
        <w:rPr>
          <w:i/>
          <w:sz w:val="20"/>
          <w:szCs w:val="20"/>
        </w:rPr>
        <w:t xml:space="preserve">6. Lucas R, McMichael T, Smith W, Armstrong B. Solar ultraviolet radiation: global burden of disease from solar ultraviolet radiation. Geneva: </w:t>
      </w:r>
      <w:r w:rsidRPr="00DD063E">
        <w:rPr>
          <w:i/>
          <w:iCs/>
          <w:sz w:val="20"/>
          <w:szCs w:val="20"/>
        </w:rPr>
        <w:t xml:space="preserve">WHO </w:t>
      </w:r>
      <w:r w:rsidRPr="00DD063E">
        <w:rPr>
          <w:i/>
          <w:sz w:val="20"/>
          <w:szCs w:val="20"/>
        </w:rPr>
        <w:t xml:space="preserve">2006. Available at: http://www.who.int/uv/health/solaruvradfull_180706.pdf. Last accessed July 2013. </w:t>
      </w:r>
    </w:p>
    <w:p w:rsidR="00D962F0" w:rsidRPr="00DD063E" w:rsidRDefault="00D962F0" w:rsidP="00D962F0">
      <w:pPr>
        <w:pStyle w:val="Default"/>
        <w:rPr>
          <w:i/>
          <w:sz w:val="20"/>
          <w:szCs w:val="20"/>
        </w:rPr>
      </w:pPr>
      <w:r w:rsidRPr="00DD063E">
        <w:rPr>
          <w:i/>
          <w:sz w:val="20"/>
          <w:szCs w:val="20"/>
        </w:rPr>
        <w:t xml:space="preserve">7. Joshi AD, Forsyth MT, </w:t>
      </w:r>
      <w:proofErr w:type="spellStart"/>
      <w:r w:rsidRPr="00DD063E">
        <w:rPr>
          <w:i/>
          <w:sz w:val="20"/>
          <w:szCs w:val="20"/>
        </w:rPr>
        <w:t>Fryefield</w:t>
      </w:r>
      <w:proofErr w:type="spellEnd"/>
      <w:r w:rsidRPr="00DD063E">
        <w:rPr>
          <w:i/>
          <w:sz w:val="20"/>
          <w:szCs w:val="20"/>
        </w:rPr>
        <w:t xml:space="preserve"> DC, </w:t>
      </w:r>
      <w:r w:rsidRPr="00DD063E">
        <w:rPr>
          <w:i/>
          <w:iCs/>
          <w:sz w:val="20"/>
          <w:szCs w:val="20"/>
        </w:rPr>
        <w:t>et al</w:t>
      </w:r>
      <w:r w:rsidRPr="00DD063E">
        <w:rPr>
          <w:i/>
          <w:sz w:val="20"/>
          <w:szCs w:val="20"/>
        </w:rPr>
        <w:t>. Demographic and treatment characteristics for advanced basal cell carcinoma (</w:t>
      </w:r>
      <w:proofErr w:type="spellStart"/>
      <w:r w:rsidRPr="00DD063E">
        <w:rPr>
          <w:i/>
          <w:sz w:val="20"/>
          <w:szCs w:val="20"/>
        </w:rPr>
        <w:t>aBCC</w:t>
      </w:r>
      <w:proofErr w:type="spellEnd"/>
      <w:r w:rsidRPr="00DD063E">
        <w:rPr>
          <w:i/>
          <w:sz w:val="20"/>
          <w:szCs w:val="20"/>
        </w:rPr>
        <w:t xml:space="preserve">) in an oncology outpatient setting. </w:t>
      </w:r>
      <w:r w:rsidRPr="00DD063E">
        <w:rPr>
          <w:i/>
          <w:iCs/>
          <w:sz w:val="20"/>
          <w:szCs w:val="20"/>
        </w:rPr>
        <w:t xml:space="preserve">J </w:t>
      </w:r>
      <w:proofErr w:type="spellStart"/>
      <w:r w:rsidRPr="00DD063E">
        <w:rPr>
          <w:i/>
          <w:iCs/>
          <w:sz w:val="20"/>
          <w:szCs w:val="20"/>
        </w:rPr>
        <w:t>Clin</w:t>
      </w:r>
      <w:proofErr w:type="spellEnd"/>
      <w:r w:rsidRPr="00DD063E">
        <w:rPr>
          <w:i/>
          <w:iCs/>
          <w:sz w:val="20"/>
          <w:szCs w:val="20"/>
        </w:rPr>
        <w:t xml:space="preserve"> </w:t>
      </w:r>
      <w:proofErr w:type="spellStart"/>
      <w:r w:rsidRPr="00DD063E">
        <w:rPr>
          <w:i/>
          <w:iCs/>
          <w:sz w:val="20"/>
          <w:szCs w:val="20"/>
        </w:rPr>
        <w:t>Oncol</w:t>
      </w:r>
      <w:proofErr w:type="spellEnd"/>
      <w:r w:rsidRPr="00DD063E">
        <w:rPr>
          <w:i/>
          <w:iCs/>
          <w:sz w:val="20"/>
          <w:szCs w:val="20"/>
        </w:rPr>
        <w:t xml:space="preserve"> </w:t>
      </w:r>
      <w:r w:rsidRPr="00DD063E">
        <w:rPr>
          <w:i/>
          <w:sz w:val="20"/>
          <w:szCs w:val="20"/>
        </w:rPr>
        <w:t>2011</w:t>
      </w:r>
      <w:proofErr w:type="gramStart"/>
      <w:r w:rsidRPr="00DD063E">
        <w:rPr>
          <w:i/>
          <w:sz w:val="20"/>
          <w:szCs w:val="20"/>
        </w:rPr>
        <w:t>;29</w:t>
      </w:r>
      <w:proofErr w:type="gramEnd"/>
      <w:r w:rsidRPr="00DD063E">
        <w:rPr>
          <w:i/>
          <w:sz w:val="20"/>
          <w:szCs w:val="20"/>
        </w:rPr>
        <w:t xml:space="preserve">(15, </w:t>
      </w:r>
      <w:proofErr w:type="spellStart"/>
      <w:r w:rsidRPr="00DD063E">
        <w:rPr>
          <w:i/>
          <w:sz w:val="20"/>
          <w:szCs w:val="20"/>
        </w:rPr>
        <w:t>Suppl</w:t>
      </w:r>
      <w:proofErr w:type="spellEnd"/>
      <w:r w:rsidRPr="00DD063E">
        <w:rPr>
          <w:i/>
          <w:sz w:val="20"/>
          <w:szCs w:val="20"/>
        </w:rPr>
        <w:t xml:space="preserve">): abstract e19001. </w:t>
      </w:r>
    </w:p>
    <w:p w:rsidR="00D962F0" w:rsidRPr="00DD063E" w:rsidRDefault="00D962F0" w:rsidP="00D962F0">
      <w:pPr>
        <w:pStyle w:val="Default"/>
        <w:rPr>
          <w:i/>
          <w:sz w:val="20"/>
          <w:szCs w:val="20"/>
        </w:rPr>
      </w:pPr>
      <w:r w:rsidRPr="00DD063E">
        <w:rPr>
          <w:i/>
          <w:sz w:val="20"/>
          <w:szCs w:val="20"/>
        </w:rPr>
        <w:t xml:space="preserve">8. Skin Cancer Foundation. </w:t>
      </w:r>
      <w:proofErr w:type="gramStart"/>
      <w:r w:rsidRPr="00DD063E">
        <w:rPr>
          <w:i/>
          <w:sz w:val="20"/>
          <w:szCs w:val="20"/>
        </w:rPr>
        <w:t>Basal cell carcinoma - causes and risk factors.</w:t>
      </w:r>
      <w:proofErr w:type="gramEnd"/>
      <w:r w:rsidRPr="00DD063E">
        <w:rPr>
          <w:i/>
          <w:sz w:val="20"/>
          <w:szCs w:val="20"/>
        </w:rPr>
        <w:t xml:space="preserve"> Available at: http://www.skincancer.org/skin-cancer-information/basal-cell-carcinoma/bcc-causes-and-risk-factors. Last accessed May 2013. </w:t>
      </w:r>
    </w:p>
    <w:p w:rsidR="00D962F0" w:rsidRPr="00DD063E" w:rsidRDefault="00D962F0" w:rsidP="00D962F0">
      <w:pPr>
        <w:pStyle w:val="Default"/>
        <w:rPr>
          <w:i/>
          <w:sz w:val="20"/>
          <w:szCs w:val="20"/>
        </w:rPr>
      </w:pPr>
      <w:r w:rsidRPr="00DD063E">
        <w:rPr>
          <w:i/>
          <w:sz w:val="20"/>
          <w:szCs w:val="20"/>
        </w:rPr>
        <w:t xml:space="preserve">9. Bader R. Basal Cell Carcinoma. Available at: http://emedicine.medscape.com/article/276624-overview#a0156. Last accessed July 2013. </w:t>
      </w:r>
    </w:p>
    <w:p w:rsidR="00D962F0" w:rsidRPr="00DD063E" w:rsidRDefault="00D962F0" w:rsidP="00D962F0">
      <w:pPr>
        <w:pStyle w:val="Default"/>
        <w:rPr>
          <w:i/>
          <w:sz w:val="20"/>
          <w:szCs w:val="20"/>
        </w:rPr>
      </w:pPr>
      <w:r w:rsidRPr="00DD063E">
        <w:rPr>
          <w:i/>
          <w:sz w:val="20"/>
          <w:szCs w:val="20"/>
        </w:rPr>
        <w:t xml:space="preserve">10. Rubin AI, Chen EH, Ratner D. Basal-cell carcinoma. </w:t>
      </w:r>
      <w:r w:rsidRPr="00DD063E">
        <w:rPr>
          <w:i/>
          <w:iCs/>
          <w:sz w:val="20"/>
          <w:szCs w:val="20"/>
        </w:rPr>
        <w:t xml:space="preserve">N </w:t>
      </w:r>
      <w:proofErr w:type="spellStart"/>
      <w:r w:rsidRPr="00DD063E">
        <w:rPr>
          <w:i/>
          <w:iCs/>
          <w:sz w:val="20"/>
          <w:szCs w:val="20"/>
        </w:rPr>
        <w:t>Engl</w:t>
      </w:r>
      <w:proofErr w:type="spellEnd"/>
      <w:r w:rsidRPr="00DD063E">
        <w:rPr>
          <w:i/>
          <w:iCs/>
          <w:sz w:val="20"/>
          <w:szCs w:val="20"/>
        </w:rPr>
        <w:t xml:space="preserve"> J Med </w:t>
      </w:r>
      <w:r w:rsidRPr="00DD063E">
        <w:rPr>
          <w:i/>
          <w:sz w:val="20"/>
          <w:szCs w:val="20"/>
        </w:rPr>
        <w:t>2005</w:t>
      </w:r>
      <w:proofErr w:type="gramStart"/>
      <w:r w:rsidRPr="00DD063E">
        <w:rPr>
          <w:i/>
          <w:sz w:val="20"/>
          <w:szCs w:val="20"/>
        </w:rPr>
        <w:t>;353:2262</w:t>
      </w:r>
      <w:proofErr w:type="gramEnd"/>
      <w:r w:rsidRPr="00DD063E">
        <w:rPr>
          <w:i/>
          <w:sz w:val="20"/>
          <w:szCs w:val="20"/>
        </w:rPr>
        <w:t xml:space="preserve">–9. </w:t>
      </w:r>
    </w:p>
    <w:p w:rsidR="00D962F0" w:rsidRPr="00DD063E" w:rsidRDefault="00D962F0" w:rsidP="00D962F0">
      <w:pPr>
        <w:pStyle w:val="Default"/>
        <w:rPr>
          <w:i/>
          <w:sz w:val="20"/>
          <w:szCs w:val="20"/>
        </w:rPr>
      </w:pPr>
      <w:r w:rsidRPr="00DD063E">
        <w:rPr>
          <w:i/>
          <w:sz w:val="20"/>
          <w:szCs w:val="20"/>
        </w:rPr>
        <w:t xml:space="preserve">11. </w:t>
      </w:r>
      <w:proofErr w:type="spellStart"/>
      <w:r w:rsidRPr="00DD063E">
        <w:rPr>
          <w:i/>
          <w:sz w:val="20"/>
          <w:szCs w:val="20"/>
        </w:rPr>
        <w:t>Amercian</w:t>
      </w:r>
      <w:proofErr w:type="spellEnd"/>
      <w:r w:rsidRPr="00DD063E">
        <w:rPr>
          <w:i/>
          <w:sz w:val="20"/>
          <w:szCs w:val="20"/>
        </w:rPr>
        <w:t xml:space="preserve"> Academy of Dermatology. </w:t>
      </w:r>
      <w:proofErr w:type="gramStart"/>
      <w:r w:rsidRPr="00DD063E">
        <w:rPr>
          <w:i/>
          <w:sz w:val="20"/>
          <w:szCs w:val="20"/>
        </w:rPr>
        <w:t>Basal cell carcinoma.</w:t>
      </w:r>
      <w:proofErr w:type="gramEnd"/>
      <w:r w:rsidRPr="00DD063E">
        <w:rPr>
          <w:i/>
          <w:sz w:val="20"/>
          <w:szCs w:val="20"/>
        </w:rPr>
        <w:t xml:space="preserve"> Available at: http://www.aad.org/dermatology-a-to-z/diseases-and-treatments/a---d/basal-cell-carcinoma. Last accessed May 2013. </w:t>
      </w:r>
    </w:p>
    <w:p w:rsidR="00D962F0" w:rsidRPr="00DD063E" w:rsidRDefault="00D962F0" w:rsidP="00D962F0">
      <w:pPr>
        <w:pStyle w:val="Default"/>
        <w:rPr>
          <w:i/>
          <w:sz w:val="20"/>
          <w:szCs w:val="20"/>
        </w:rPr>
      </w:pPr>
      <w:r w:rsidRPr="00DD063E">
        <w:rPr>
          <w:i/>
          <w:sz w:val="20"/>
          <w:szCs w:val="20"/>
        </w:rPr>
        <w:t xml:space="preserve">12. Amin SH, </w:t>
      </w:r>
      <w:proofErr w:type="spellStart"/>
      <w:r w:rsidRPr="00DD063E">
        <w:rPr>
          <w:i/>
          <w:sz w:val="20"/>
          <w:szCs w:val="20"/>
        </w:rPr>
        <w:t>Tibes</w:t>
      </w:r>
      <w:proofErr w:type="spellEnd"/>
      <w:r w:rsidRPr="00DD063E">
        <w:rPr>
          <w:i/>
          <w:sz w:val="20"/>
          <w:szCs w:val="20"/>
        </w:rPr>
        <w:t xml:space="preserve"> R, Kim JE, </w:t>
      </w:r>
      <w:proofErr w:type="spellStart"/>
      <w:r w:rsidRPr="00DD063E">
        <w:rPr>
          <w:i/>
          <w:sz w:val="20"/>
          <w:szCs w:val="20"/>
        </w:rPr>
        <w:t>Hybarger</w:t>
      </w:r>
      <w:proofErr w:type="spellEnd"/>
      <w:r w:rsidRPr="00DD063E">
        <w:rPr>
          <w:i/>
          <w:sz w:val="20"/>
          <w:szCs w:val="20"/>
        </w:rPr>
        <w:t xml:space="preserve"> CP. Hedgehog antagonist GDC-0449 is effective in the treatment of advanced basal cell carcinoma. </w:t>
      </w:r>
      <w:r w:rsidRPr="00DD063E">
        <w:rPr>
          <w:i/>
          <w:iCs/>
          <w:sz w:val="20"/>
          <w:szCs w:val="20"/>
        </w:rPr>
        <w:t xml:space="preserve">Laryngoscope </w:t>
      </w:r>
      <w:r w:rsidRPr="00DD063E">
        <w:rPr>
          <w:i/>
          <w:sz w:val="20"/>
          <w:szCs w:val="20"/>
        </w:rPr>
        <w:t>2010</w:t>
      </w:r>
      <w:proofErr w:type="gramStart"/>
      <w:r w:rsidRPr="00DD063E">
        <w:rPr>
          <w:i/>
          <w:sz w:val="20"/>
          <w:szCs w:val="20"/>
        </w:rPr>
        <w:t>;120:2456</w:t>
      </w:r>
      <w:proofErr w:type="gramEnd"/>
      <w:r w:rsidRPr="00DD063E">
        <w:rPr>
          <w:i/>
          <w:sz w:val="20"/>
          <w:szCs w:val="20"/>
        </w:rPr>
        <w:t xml:space="preserve">–9. </w:t>
      </w:r>
    </w:p>
    <w:p w:rsidR="00D962F0" w:rsidRPr="00DD063E" w:rsidRDefault="00D962F0" w:rsidP="00D962F0">
      <w:pPr>
        <w:pStyle w:val="Default"/>
        <w:rPr>
          <w:i/>
          <w:sz w:val="20"/>
          <w:szCs w:val="20"/>
        </w:rPr>
      </w:pPr>
      <w:r w:rsidRPr="00DD063E">
        <w:rPr>
          <w:i/>
          <w:sz w:val="20"/>
          <w:szCs w:val="20"/>
        </w:rPr>
        <w:t xml:space="preserve">13. </w:t>
      </w:r>
      <w:proofErr w:type="spellStart"/>
      <w:r w:rsidRPr="00DD063E">
        <w:rPr>
          <w:i/>
          <w:sz w:val="20"/>
          <w:szCs w:val="20"/>
        </w:rPr>
        <w:t>Costanza</w:t>
      </w:r>
      <w:proofErr w:type="spellEnd"/>
      <w:r w:rsidRPr="00DD063E">
        <w:rPr>
          <w:i/>
          <w:sz w:val="20"/>
          <w:szCs w:val="20"/>
        </w:rPr>
        <w:t xml:space="preserve"> ME, </w:t>
      </w:r>
      <w:proofErr w:type="spellStart"/>
      <w:r w:rsidRPr="00DD063E">
        <w:rPr>
          <w:i/>
          <w:sz w:val="20"/>
          <w:szCs w:val="20"/>
        </w:rPr>
        <w:t>Dayal</w:t>
      </w:r>
      <w:proofErr w:type="spellEnd"/>
      <w:r w:rsidRPr="00DD063E">
        <w:rPr>
          <w:i/>
          <w:sz w:val="20"/>
          <w:szCs w:val="20"/>
        </w:rPr>
        <w:t xml:space="preserve"> Y, Binder S, </w:t>
      </w:r>
      <w:proofErr w:type="spellStart"/>
      <w:r w:rsidRPr="00DD063E">
        <w:rPr>
          <w:i/>
          <w:sz w:val="20"/>
          <w:szCs w:val="20"/>
        </w:rPr>
        <w:t>Nathanson</w:t>
      </w:r>
      <w:proofErr w:type="spellEnd"/>
      <w:r w:rsidRPr="00DD063E">
        <w:rPr>
          <w:i/>
          <w:sz w:val="20"/>
          <w:szCs w:val="20"/>
        </w:rPr>
        <w:t xml:space="preserve"> L. Metastatic basal cell carcinoma: review, report of a case, and chemotherapy. </w:t>
      </w:r>
      <w:r w:rsidRPr="00DD063E">
        <w:rPr>
          <w:i/>
          <w:iCs/>
          <w:sz w:val="20"/>
          <w:szCs w:val="20"/>
        </w:rPr>
        <w:t xml:space="preserve">Cancer </w:t>
      </w:r>
      <w:r w:rsidRPr="00DD063E">
        <w:rPr>
          <w:i/>
          <w:sz w:val="20"/>
          <w:szCs w:val="20"/>
        </w:rPr>
        <w:t>1974</w:t>
      </w:r>
      <w:proofErr w:type="gramStart"/>
      <w:r w:rsidRPr="00DD063E">
        <w:rPr>
          <w:i/>
          <w:sz w:val="20"/>
          <w:szCs w:val="20"/>
        </w:rPr>
        <w:t>;34:230</w:t>
      </w:r>
      <w:proofErr w:type="gramEnd"/>
      <w:r w:rsidRPr="00DD063E">
        <w:rPr>
          <w:i/>
          <w:sz w:val="20"/>
          <w:szCs w:val="20"/>
        </w:rPr>
        <w:t xml:space="preserve">-5. </w:t>
      </w:r>
    </w:p>
    <w:p w:rsidR="00D962F0" w:rsidRDefault="00D962F0" w:rsidP="00D962F0">
      <w:pPr>
        <w:rPr>
          <w:rFonts w:ascii="Minion" w:hAnsi="Minion"/>
          <w:i/>
          <w:sz w:val="20"/>
          <w:szCs w:val="20"/>
        </w:rPr>
      </w:pPr>
      <w:r w:rsidRPr="00DD063E">
        <w:rPr>
          <w:rFonts w:ascii="Minion" w:hAnsi="Minion"/>
          <w:i/>
          <w:sz w:val="20"/>
          <w:szCs w:val="20"/>
        </w:rPr>
        <w:t xml:space="preserve">14. Von </w:t>
      </w:r>
      <w:proofErr w:type="spellStart"/>
      <w:r w:rsidRPr="00DD063E">
        <w:rPr>
          <w:rFonts w:ascii="Minion" w:hAnsi="Minion"/>
          <w:i/>
          <w:sz w:val="20"/>
          <w:szCs w:val="20"/>
        </w:rPr>
        <w:t>Domarus</w:t>
      </w:r>
      <w:proofErr w:type="spellEnd"/>
      <w:r w:rsidRPr="00DD063E">
        <w:rPr>
          <w:rFonts w:ascii="Minion" w:hAnsi="Minion"/>
          <w:i/>
          <w:sz w:val="20"/>
          <w:szCs w:val="20"/>
        </w:rPr>
        <w:t xml:space="preserve"> H, Stevens PJ. </w:t>
      </w:r>
      <w:proofErr w:type="gramStart"/>
      <w:r w:rsidRPr="00DD063E">
        <w:rPr>
          <w:rFonts w:ascii="Minion" w:hAnsi="Minion"/>
          <w:i/>
          <w:sz w:val="20"/>
          <w:szCs w:val="20"/>
        </w:rPr>
        <w:t>Metastatic basal cell carcinoma.</w:t>
      </w:r>
      <w:proofErr w:type="gramEnd"/>
      <w:r w:rsidRPr="00DD063E">
        <w:rPr>
          <w:rFonts w:ascii="Minion" w:hAnsi="Minion"/>
          <w:i/>
          <w:sz w:val="20"/>
          <w:szCs w:val="20"/>
        </w:rPr>
        <w:t xml:space="preserve"> </w:t>
      </w:r>
      <w:proofErr w:type="gramStart"/>
      <w:r w:rsidRPr="00DD063E">
        <w:rPr>
          <w:rFonts w:ascii="Minion" w:hAnsi="Minion"/>
          <w:i/>
          <w:sz w:val="20"/>
          <w:szCs w:val="20"/>
        </w:rPr>
        <w:t>Report of five cases and review of 170 cases in the literature.</w:t>
      </w:r>
      <w:proofErr w:type="gramEnd"/>
      <w:r w:rsidRPr="00DD063E">
        <w:rPr>
          <w:rFonts w:ascii="Minion" w:hAnsi="Minion"/>
          <w:i/>
          <w:sz w:val="20"/>
          <w:szCs w:val="20"/>
        </w:rPr>
        <w:t xml:space="preserve"> </w:t>
      </w:r>
      <w:r w:rsidRPr="00DD063E">
        <w:rPr>
          <w:rFonts w:ascii="Minion" w:hAnsi="Minion"/>
          <w:i/>
          <w:iCs/>
          <w:sz w:val="20"/>
          <w:szCs w:val="20"/>
        </w:rPr>
        <w:t xml:space="preserve">J Am </w:t>
      </w:r>
      <w:proofErr w:type="spellStart"/>
      <w:r w:rsidRPr="00DD063E">
        <w:rPr>
          <w:rFonts w:ascii="Minion" w:hAnsi="Minion"/>
          <w:i/>
          <w:iCs/>
          <w:sz w:val="20"/>
          <w:szCs w:val="20"/>
        </w:rPr>
        <w:t>Acad</w:t>
      </w:r>
      <w:proofErr w:type="spellEnd"/>
      <w:r w:rsidRPr="00DD063E">
        <w:rPr>
          <w:rFonts w:ascii="Minion" w:hAnsi="Minion"/>
          <w:i/>
          <w:iCs/>
          <w:sz w:val="20"/>
          <w:szCs w:val="20"/>
        </w:rPr>
        <w:t xml:space="preserve"> </w:t>
      </w:r>
      <w:proofErr w:type="spellStart"/>
      <w:r w:rsidRPr="00DD063E">
        <w:rPr>
          <w:rFonts w:ascii="Minion" w:hAnsi="Minion"/>
          <w:i/>
          <w:iCs/>
          <w:sz w:val="20"/>
          <w:szCs w:val="20"/>
        </w:rPr>
        <w:t>Dermatol</w:t>
      </w:r>
      <w:proofErr w:type="spellEnd"/>
      <w:r w:rsidRPr="00DD063E">
        <w:rPr>
          <w:rFonts w:ascii="Minion" w:hAnsi="Minion"/>
          <w:i/>
          <w:sz w:val="20"/>
          <w:szCs w:val="20"/>
        </w:rPr>
        <w:t>. 1984</w:t>
      </w:r>
      <w:proofErr w:type="gramStart"/>
      <w:r w:rsidRPr="00DD063E">
        <w:rPr>
          <w:rFonts w:ascii="Minion" w:hAnsi="Minion"/>
          <w:i/>
          <w:sz w:val="20"/>
          <w:szCs w:val="20"/>
        </w:rPr>
        <w:t>;10:1043</w:t>
      </w:r>
      <w:proofErr w:type="gramEnd"/>
      <w:r w:rsidRPr="00DD063E">
        <w:rPr>
          <w:rFonts w:ascii="Minion" w:hAnsi="Minion"/>
          <w:i/>
          <w:sz w:val="20"/>
          <w:szCs w:val="20"/>
        </w:rPr>
        <w:t>-60.</w:t>
      </w:r>
    </w:p>
    <w:p w:rsidR="00DD063E" w:rsidRDefault="00DD063E" w:rsidP="00D962F0">
      <w:pPr>
        <w:rPr>
          <w:rFonts w:ascii="Minion" w:hAnsi="Minion"/>
          <w:i/>
          <w:sz w:val="20"/>
          <w:szCs w:val="20"/>
        </w:rPr>
      </w:pPr>
    </w:p>
    <w:p w:rsidR="00DD063E" w:rsidRPr="00DD063E" w:rsidRDefault="00DD063E" w:rsidP="00D962F0">
      <w:pPr>
        <w:rPr>
          <w:rFonts w:ascii="Minion" w:hAnsi="Minion"/>
          <w:sz w:val="24"/>
          <w:lang w:val="fi-FI"/>
        </w:rPr>
      </w:pPr>
      <w:r w:rsidRPr="00DD063E">
        <w:rPr>
          <w:rFonts w:ascii="Minion" w:hAnsi="Minion"/>
          <w:sz w:val="20"/>
          <w:szCs w:val="20"/>
        </w:rPr>
        <w:t>FI</w:t>
      </w:r>
      <w:r>
        <w:rPr>
          <w:rFonts w:ascii="Minion" w:hAnsi="Minion"/>
          <w:sz w:val="20"/>
          <w:szCs w:val="20"/>
        </w:rPr>
        <w:t>/ERIV/1405/0012</w:t>
      </w:r>
    </w:p>
    <w:p w:rsidR="009102CF" w:rsidRPr="009102CF" w:rsidRDefault="009102CF" w:rsidP="009102CF">
      <w:pPr>
        <w:pStyle w:val="ListParagraph"/>
        <w:rPr>
          <w:sz w:val="24"/>
          <w:lang w:val="fi-FI"/>
        </w:rPr>
      </w:pPr>
    </w:p>
    <w:p w:rsidR="002F3929" w:rsidRPr="002F3929" w:rsidRDefault="002F3929">
      <w:pPr>
        <w:rPr>
          <w:sz w:val="24"/>
          <w:lang w:val="fi-FI"/>
        </w:rPr>
      </w:pPr>
    </w:p>
    <w:sectPr w:rsidR="002F3929" w:rsidRPr="002F39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4B" w:rsidRDefault="0014364B" w:rsidP="005A05EF">
      <w:pPr>
        <w:spacing w:after="0" w:line="240" w:lineRule="auto"/>
      </w:pPr>
      <w:r>
        <w:separator/>
      </w:r>
    </w:p>
  </w:endnote>
  <w:endnote w:type="continuationSeparator" w:id="0">
    <w:p w:rsidR="0014364B" w:rsidRDefault="0014364B" w:rsidP="005A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">
    <w:panose1 w:val="02040503050201020203"/>
    <w:charset w:val="00"/>
    <w:family w:val="roman"/>
    <w:pitch w:val="variable"/>
    <w:sig w:usb0="E00002AF" w:usb1="5000E07B" w:usb2="00000000" w:usb3="00000000" w:csb0="0000019F" w:csb1="00000000"/>
  </w:font>
  <w:font w:name="Imago">
    <w:panose1 w:val="02000500060000020004"/>
    <w:charset w:val="00"/>
    <w:family w:val="auto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4B" w:rsidRDefault="0014364B" w:rsidP="005A05EF">
      <w:pPr>
        <w:spacing w:after="0" w:line="240" w:lineRule="auto"/>
      </w:pPr>
      <w:r>
        <w:separator/>
      </w:r>
    </w:p>
  </w:footnote>
  <w:footnote w:type="continuationSeparator" w:id="0">
    <w:p w:rsidR="0014364B" w:rsidRDefault="0014364B" w:rsidP="005A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B0E"/>
    <w:multiLevelType w:val="hybridMultilevel"/>
    <w:tmpl w:val="AD28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541D8"/>
    <w:multiLevelType w:val="hybridMultilevel"/>
    <w:tmpl w:val="62CA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40ACB"/>
    <w:multiLevelType w:val="hybridMultilevel"/>
    <w:tmpl w:val="6926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D4405"/>
    <w:multiLevelType w:val="hybridMultilevel"/>
    <w:tmpl w:val="6024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29"/>
    <w:rsid w:val="000269BA"/>
    <w:rsid w:val="0014364B"/>
    <w:rsid w:val="00147EDD"/>
    <w:rsid w:val="002F3929"/>
    <w:rsid w:val="003A596F"/>
    <w:rsid w:val="0044666A"/>
    <w:rsid w:val="005A05EF"/>
    <w:rsid w:val="008A44B3"/>
    <w:rsid w:val="009102CF"/>
    <w:rsid w:val="00A25722"/>
    <w:rsid w:val="00BF1628"/>
    <w:rsid w:val="00C90339"/>
    <w:rsid w:val="00D5498F"/>
    <w:rsid w:val="00D962F0"/>
    <w:rsid w:val="00DD063E"/>
    <w:rsid w:val="00EC723E"/>
    <w:rsid w:val="00E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929"/>
    <w:pPr>
      <w:ind w:left="720"/>
      <w:contextualSpacing/>
    </w:pPr>
  </w:style>
  <w:style w:type="paragraph" w:customStyle="1" w:styleId="Default">
    <w:name w:val="Default"/>
    <w:rsid w:val="00D962F0"/>
    <w:pPr>
      <w:autoSpaceDE w:val="0"/>
      <w:autoSpaceDN w:val="0"/>
      <w:adjustRightInd w:val="0"/>
      <w:spacing w:after="0" w:line="240" w:lineRule="auto"/>
    </w:pPr>
    <w:rPr>
      <w:rFonts w:ascii="Minion" w:hAnsi="Minion" w:cs="Minio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EF"/>
  </w:style>
  <w:style w:type="paragraph" w:styleId="Footer">
    <w:name w:val="footer"/>
    <w:basedOn w:val="Normal"/>
    <w:link w:val="FooterChar"/>
    <w:uiPriority w:val="99"/>
    <w:unhideWhenUsed/>
    <w:rsid w:val="005A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929"/>
    <w:pPr>
      <w:ind w:left="720"/>
      <w:contextualSpacing/>
    </w:pPr>
  </w:style>
  <w:style w:type="paragraph" w:customStyle="1" w:styleId="Default">
    <w:name w:val="Default"/>
    <w:rsid w:val="00D962F0"/>
    <w:pPr>
      <w:autoSpaceDE w:val="0"/>
      <w:autoSpaceDN w:val="0"/>
      <w:adjustRightInd w:val="0"/>
      <w:spacing w:after="0" w:line="240" w:lineRule="auto"/>
    </w:pPr>
    <w:rPr>
      <w:rFonts w:ascii="Minion" w:hAnsi="Minion" w:cs="Minio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EF"/>
  </w:style>
  <w:style w:type="paragraph" w:styleId="Footer">
    <w:name w:val="footer"/>
    <w:basedOn w:val="Normal"/>
    <w:link w:val="FooterChar"/>
    <w:uiPriority w:val="99"/>
    <w:unhideWhenUsed/>
    <w:rsid w:val="005A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 &amp; Knowlton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P_Raninen</dc:creator>
  <cp:lastModifiedBy>Ratia, Satu {MWMF~Espoo}</cp:lastModifiedBy>
  <cp:revision>2</cp:revision>
  <dcterms:created xsi:type="dcterms:W3CDTF">2014-05-26T10:21:00Z</dcterms:created>
  <dcterms:modified xsi:type="dcterms:W3CDTF">2014-05-26T10:21:00Z</dcterms:modified>
</cp:coreProperties>
</file>