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2548" w14:textId="77777777" w:rsidR="0067272E" w:rsidRDefault="00A46196" w:rsidP="00F61E1D">
      <w:pPr>
        <w:pStyle w:val="berschrift1"/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FDD120F" wp14:editId="7F0A7A39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C245B" w14:textId="77777777" w:rsidR="00DA6A73" w:rsidRPr="00DA6A73" w:rsidRDefault="00DA6A73" w:rsidP="00DA6A73"/>
    <w:p w14:paraId="0BCB91CD" w14:textId="77777777" w:rsidR="00DA6A73" w:rsidRDefault="00DA6A73" w:rsidP="00441DE7">
      <w:pPr>
        <w:jc w:val="right"/>
      </w:pPr>
    </w:p>
    <w:p w14:paraId="1BA517AD" w14:textId="77777777" w:rsidR="00441DE7" w:rsidRPr="006847B7" w:rsidRDefault="00441DE7" w:rsidP="00BF54F7">
      <w:pPr>
        <w:rPr>
          <w:rFonts w:ascii="Segoe UI" w:hAnsi="Segoe UI" w:cs="Segoe UI"/>
          <w:color w:val="0070C0"/>
          <w:sz w:val="56"/>
          <w:szCs w:val="56"/>
        </w:rPr>
      </w:pPr>
      <w:r w:rsidRPr="006847B7">
        <w:rPr>
          <w:rFonts w:ascii="Segoe UI" w:hAnsi="Segoe UI" w:cs="Segoe UI"/>
          <w:color w:val="0070C0"/>
          <w:sz w:val="56"/>
          <w:szCs w:val="56"/>
        </w:rPr>
        <w:t>PRESSEMITTEILUNG</w:t>
      </w:r>
    </w:p>
    <w:p w14:paraId="278A1626" w14:textId="58132410" w:rsidR="00804B56" w:rsidRPr="00114AA3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EF44C2">
        <w:rPr>
          <w:rFonts w:ascii="Segoe UI" w:hAnsi="Segoe UI" w:cs="Segoe UI"/>
          <w:noProof/>
          <w:color w:val="000000" w:themeColor="text1"/>
          <w:sz w:val="18"/>
          <w:szCs w:val="18"/>
        </w:rPr>
        <w:t>15. Juni 2026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77808286" w14:textId="77777777" w:rsidR="006A069A" w:rsidRDefault="006A069A" w:rsidP="006A069A">
      <w:pPr>
        <w:jc w:val="right"/>
      </w:pPr>
    </w:p>
    <w:p w14:paraId="552E46DE" w14:textId="4BA94DB3" w:rsidR="00C80717" w:rsidRPr="00EF44C2" w:rsidRDefault="00C80717" w:rsidP="00C80717">
      <w:pPr>
        <w:rPr>
          <w:rFonts w:ascii="Segoe UI" w:hAnsi="Segoe UI" w:cs="Segoe UI"/>
          <w:b/>
          <w:bCs/>
          <w:sz w:val="32"/>
          <w:szCs w:val="32"/>
        </w:rPr>
      </w:pPr>
      <w:r w:rsidRPr="00EF44C2">
        <w:rPr>
          <w:rFonts w:ascii="Segoe UI" w:hAnsi="Segoe UI" w:cs="Segoe UI"/>
          <w:b/>
          <w:bCs/>
          <w:sz w:val="32"/>
          <w:szCs w:val="32"/>
        </w:rPr>
        <w:t>Deutlicher Anstieg der Demenzfälle erwartet</w:t>
      </w:r>
    </w:p>
    <w:p w14:paraId="709FCD69" w14:textId="77777777" w:rsidR="00C80717" w:rsidRDefault="00C80717" w:rsidP="00F61E1D">
      <w:pPr>
        <w:rPr>
          <w:rFonts w:ascii="Segoe UI" w:hAnsi="Segoe UI" w:cs="Segoe UI"/>
          <w:sz w:val="28"/>
          <w:szCs w:val="28"/>
        </w:rPr>
      </w:pPr>
      <w:r w:rsidRPr="00C80717">
        <w:rPr>
          <w:rFonts w:ascii="Segoe UI" w:hAnsi="Segoe UI" w:cs="Segoe UI"/>
          <w:sz w:val="28"/>
          <w:szCs w:val="28"/>
        </w:rPr>
        <w:t xml:space="preserve">Eine Untersuchung unter Beteiligung der Universität Trier zeigt, dass in Deutschland bis 2060 über 2 Millionen Menschen an Demenz </w:t>
      </w:r>
      <w:proofErr w:type="gramStart"/>
      <w:r w:rsidRPr="00C80717">
        <w:rPr>
          <w:rFonts w:ascii="Segoe UI" w:hAnsi="Segoe UI" w:cs="Segoe UI"/>
          <w:sz w:val="28"/>
          <w:szCs w:val="28"/>
        </w:rPr>
        <w:t>erkrankt</w:t>
      </w:r>
      <w:proofErr w:type="gramEnd"/>
      <w:r w:rsidRPr="00C80717">
        <w:rPr>
          <w:rFonts w:ascii="Segoe UI" w:hAnsi="Segoe UI" w:cs="Segoe UI"/>
          <w:sz w:val="28"/>
          <w:szCs w:val="28"/>
        </w:rPr>
        <w:t xml:space="preserve"> sein könnten.</w:t>
      </w:r>
    </w:p>
    <w:p w14:paraId="453546F9" w14:textId="323D10BE" w:rsidR="00C80717" w:rsidRPr="00EF44C2" w:rsidRDefault="00C80717" w:rsidP="00C80717">
      <w:pPr>
        <w:rPr>
          <w:rFonts w:ascii="Segoe UI" w:hAnsi="Segoe UI" w:cs="Segoe UI"/>
          <w:sz w:val="20"/>
          <w:szCs w:val="20"/>
        </w:rPr>
      </w:pPr>
      <w:r w:rsidRPr="00EF44C2">
        <w:rPr>
          <w:rFonts w:ascii="Segoe UI" w:hAnsi="Segoe UI" w:cs="Segoe UI"/>
          <w:sz w:val="20"/>
          <w:szCs w:val="20"/>
        </w:rPr>
        <w:t xml:space="preserve">Die Zahl der Demenzfälle in der Bundesrepublik wird bei steigender Lebenserwartung von heute etwa 1,3 Millionen auf bis zu 2,1 Millionen im Jahr 2060 zunehmen. Das zeigen aktuelle </w:t>
      </w:r>
      <w:r w:rsidR="005970A4" w:rsidRPr="00EF44C2">
        <w:rPr>
          <w:rFonts w:ascii="Segoe UI" w:hAnsi="Segoe UI" w:cs="Segoe UI"/>
          <w:sz w:val="20"/>
          <w:szCs w:val="20"/>
        </w:rPr>
        <w:t>Analysen</w:t>
      </w:r>
      <w:r w:rsidRPr="00EF44C2">
        <w:rPr>
          <w:rFonts w:ascii="Segoe UI" w:hAnsi="Segoe UI" w:cs="Segoe UI"/>
          <w:sz w:val="20"/>
          <w:szCs w:val="20"/>
        </w:rPr>
        <w:t xml:space="preserve"> des Wissenschaftlichen Instituts der AOK (</w:t>
      </w:r>
      <w:proofErr w:type="spellStart"/>
      <w:r w:rsidRPr="00EF44C2">
        <w:rPr>
          <w:rFonts w:ascii="Segoe UI" w:hAnsi="Segoe UI" w:cs="Segoe UI"/>
          <w:sz w:val="20"/>
          <w:szCs w:val="20"/>
        </w:rPr>
        <w:t>WIdO</w:t>
      </w:r>
      <w:proofErr w:type="spellEnd"/>
      <w:r w:rsidRPr="00EF44C2">
        <w:rPr>
          <w:rFonts w:ascii="Segoe UI" w:hAnsi="Segoe UI" w:cs="Segoe UI"/>
          <w:sz w:val="20"/>
          <w:szCs w:val="20"/>
        </w:rPr>
        <w:t>) in Kooperation mit den Universitäten Trier, Rostock und Köln.</w:t>
      </w:r>
    </w:p>
    <w:p w14:paraId="26F2FBC2" w14:textId="748A43A9" w:rsidR="005970A4" w:rsidRPr="00EF44C2" w:rsidRDefault="00C80717" w:rsidP="00C80717">
      <w:pPr>
        <w:rPr>
          <w:rFonts w:ascii="Segoe UI" w:hAnsi="Segoe UI" w:cs="Segoe UI"/>
          <w:sz w:val="20"/>
          <w:szCs w:val="20"/>
        </w:rPr>
      </w:pPr>
      <w:r w:rsidRPr="00EF44C2">
        <w:rPr>
          <w:rFonts w:ascii="Segoe UI" w:hAnsi="Segoe UI" w:cs="Segoe UI"/>
          <w:sz w:val="20"/>
          <w:szCs w:val="20"/>
        </w:rPr>
        <w:t xml:space="preserve">Ein neuartiges </w:t>
      </w:r>
      <w:r w:rsidR="005970A4" w:rsidRPr="00EF44C2">
        <w:rPr>
          <w:rFonts w:ascii="Segoe UI" w:hAnsi="Segoe UI" w:cs="Segoe UI"/>
          <w:sz w:val="20"/>
          <w:szCs w:val="20"/>
        </w:rPr>
        <w:t xml:space="preserve">von der Forschungsgruppe </w:t>
      </w:r>
      <w:proofErr w:type="spellStart"/>
      <w:r w:rsidR="005970A4" w:rsidRPr="00EF44C2">
        <w:rPr>
          <w:rFonts w:ascii="Segoe UI" w:hAnsi="Segoe UI" w:cs="Segoe UI"/>
          <w:sz w:val="20"/>
          <w:szCs w:val="20"/>
        </w:rPr>
        <w:t>MikroSim</w:t>
      </w:r>
      <w:proofErr w:type="spellEnd"/>
      <w:r w:rsidR="005970A4" w:rsidRPr="00EF44C2">
        <w:rPr>
          <w:rFonts w:ascii="Segoe UI" w:hAnsi="Segoe UI" w:cs="Segoe UI"/>
          <w:sz w:val="20"/>
          <w:szCs w:val="20"/>
        </w:rPr>
        <w:t xml:space="preserve"> FOR2559 der DFG</w:t>
      </w:r>
      <w:r w:rsidRPr="00EF44C2">
        <w:rPr>
          <w:rFonts w:ascii="Segoe UI" w:hAnsi="Segoe UI" w:cs="Segoe UI"/>
          <w:sz w:val="20"/>
          <w:szCs w:val="20"/>
        </w:rPr>
        <w:t xml:space="preserve"> entwickeltes Simulationsverfahren ermöglicht Prognosen bis hinab zur Kreisebene. </w:t>
      </w:r>
      <w:r w:rsidR="000F2EE3" w:rsidRPr="00EF44C2">
        <w:rPr>
          <w:rFonts w:ascii="Segoe UI" w:hAnsi="Segoe UI" w:cs="Segoe UI"/>
          <w:sz w:val="20"/>
          <w:szCs w:val="20"/>
        </w:rPr>
        <w:t>„</w:t>
      </w:r>
      <w:r w:rsidR="005970A4" w:rsidRPr="00EF44C2">
        <w:rPr>
          <w:rFonts w:ascii="Segoe UI" w:hAnsi="Segoe UI" w:cs="Segoe UI"/>
          <w:sz w:val="20"/>
          <w:szCs w:val="20"/>
        </w:rPr>
        <w:t xml:space="preserve">In unserem Mikrosimulationslabor </w:t>
      </w:r>
      <w:r w:rsidR="000F2EE3" w:rsidRPr="00EF44C2">
        <w:rPr>
          <w:rFonts w:ascii="Segoe UI" w:hAnsi="Segoe UI" w:cs="Segoe UI"/>
          <w:sz w:val="20"/>
          <w:szCs w:val="20"/>
        </w:rPr>
        <w:t xml:space="preserve">entwickeln </w:t>
      </w:r>
      <w:r w:rsidR="005970A4" w:rsidRPr="00EF44C2">
        <w:rPr>
          <w:rFonts w:ascii="Segoe UI" w:hAnsi="Segoe UI" w:cs="Segoe UI"/>
          <w:sz w:val="20"/>
          <w:szCs w:val="20"/>
        </w:rPr>
        <w:t xml:space="preserve">wir </w:t>
      </w:r>
      <w:r w:rsidR="000F2EE3" w:rsidRPr="00EF44C2">
        <w:rPr>
          <w:rFonts w:ascii="Segoe UI" w:hAnsi="Segoe UI" w:cs="Segoe UI"/>
          <w:sz w:val="20"/>
          <w:szCs w:val="20"/>
        </w:rPr>
        <w:t>Modelle, die Prädiktionen zu allen erdenkliche</w:t>
      </w:r>
      <w:r w:rsidR="005970A4" w:rsidRPr="00EF44C2">
        <w:rPr>
          <w:rFonts w:ascii="Segoe UI" w:hAnsi="Segoe UI" w:cs="Segoe UI"/>
          <w:sz w:val="20"/>
          <w:szCs w:val="20"/>
        </w:rPr>
        <w:t>n</w:t>
      </w:r>
      <w:r w:rsidR="000F2EE3" w:rsidRPr="00EF44C2">
        <w:rPr>
          <w:rFonts w:ascii="Segoe UI" w:hAnsi="Segoe UI" w:cs="Segoe UI"/>
          <w:sz w:val="20"/>
          <w:szCs w:val="20"/>
        </w:rPr>
        <w:t xml:space="preserve"> demografischen Fragen</w:t>
      </w:r>
      <w:r w:rsidR="005970A4" w:rsidRPr="00EF44C2">
        <w:rPr>
          <w:rFonts w:ascii="Segoe UI" w:hAnsi="Segoe UI" w:cs="Segoe UI"/>
          <w:sz w:val="20"/>
          <w:szCs w:val="20"/>
        </w:rPr>
        <w:t xml:space="preserve"> für Deutschland</w:t>
      </w:r>
      <w:r w:rsidR="000F2EE3" w:rsidRPr="00EF44C2">
        <w:rPr>
          <w:rFonts w:ascii="Segoe UI" w:hAnsi="Segoe UI" w:cs="Segoe UI"/>
          <w:sz w:val="20"/>
          <w:szCs w:val="20"/>
        </w:rPr>
        <w:t xml:space="preserve"> bis hinab auf </w:t>
      </w:r>
      <w:r w:rsidR="000654D0" w:rsidRPr="00EF44C2">
        <w:rPr>
          <w:rFonts w:ascii="Segoe UI" w:hAnsi="Segoe UI" w:cs="Segoe UI"/>
          <w:sz w:val="20"/>
          <w:szCs w:val="20"/>
        </w:rPr>
        <w:t>Haushaltsebene</w:t>
      </w:r>
      <w:r w:rsidR="000F2EE3" w:rsidRPr="00EF44C2">
        <w:rPr>
          <w:rFonts w:ascii="Segoe UI" w:hAnsi="Segoe UI" w:cs="Segoe UI"/>
          <w:sz w:val="20"/>
          <w:szCs w:val="20"/>
        </w:rPr>
        <w:t xml:space="preserve"> erlauben</w:t>
      </w:r>
      <w:r w:rsidR="005970A4" w:rsidRPr="00EF44C2">
        <w:rPr>
          <w:rFonts w:ascii="Segoe UI" w:hAnsi="Segoe UI" w:cs="Segoe UI"/>
          <w:sz w:val="20"/>
          <w:szCs w:val="20"/>
        </w:rPr>
        <w:t xml:space="preserve">“, erklärt Prof. Dr. Ralf Münnich aus der </w:t>
      </w:r>
      <w:proofErr w:type="gramStart"/>
      <w:r w:rsidR="005970A4" w:rsidRPr="00EF44C2">
        <w:rPr>
          <w:rFonts w:ascii="Segoe UI" w:hAnsi="Segoe UI" w:cs="Segoe UI"/>
          <w:sz w:val="20"/>
          <w:szCs w:val="20"/>
        </w:rPr>
        <w:t>Wirtschafts- und Sozialstatistik</w:t>
      </w:r>
      <w:proofErr w:type="gramEnd"/>
      <w:r w:rsidR="005970A4" w:rsidRPr="00EF44C2">
        <w:rPr>
          <w:rFonts w:ascii="Segoe UI" w:hAnsi="Segoe UI" w:cs="Segoe UI"/>
          <w:sz w:val="20"/>
          <w:szCs w:val="20"/>
        </w:rPr>
        <w:t xml:space="preserve"> der </w:t>
      </w:r>
      <w:r w:rsidR="00323F5B" w:rsidRPr="00EF44C2">
        <w:rPr>
          <w:rFonts w:ascii="Segoe UI" w:hAnsi="Segoe UI" w:cs="Segoe UI"/>
          <w:sz w:val="20"/>
          <w:szCs w:val="20"/>
        </w:rPr>
        <w:t xml:space="preserve">die Forschungsgruppe an der </w:t>
      </w:r>
      <w:r w:rsidR="005970A4" w:rsidRPr="00EF44C2">
        <w:rPr>
          <w:rFonts w:ascii="Segoe UI" w:hAnsi="Segoe UI" w:cs="Segoe UI"/>
          <w:sz w:val="20"/>
          <w:szCs w:val="20"/>
        </w:rPr>
        <w:t>Universität Trier</w:t>
      </w:r>
      <w:r w:rsidR="00323F5B" w:rsidRPr="00EF44C2">
        <w:rPr>
          <w:rFonts w:ascii="Segoe UI" w:hAnsi="Segoe UI" w:cs="Segoe UI"/>
          <w:sz w:val="20"/>
          <w:szCs w:val="20"/>
        </w:rPr>
        <w:t xml:space="preserve"> leitet</w:t>
      </w:r>
      <w:r w:rsidR="005970A4" w:rsidRPr="00EF44C2">
        <w:rPr>
          <w:rFonts w:ascii="Segoe UI" w:hAnsi="Segoe UI" w:cs="Segoe UI"/>
          <w:sz w:val="20"/>
          <w:szCs w:val="20"/>
        </w:rPr>
        <w:t>.</w:t>
      </w:r>
      <w:r w:rsidR="000F2EE3" w:rsidRPr="00EF44C2">
        <w:rPr>
          <w:rFonts w:ascii="Segoe UI" w:hAnsi="Segoe UI" w:cs="Segoe UI"/>
          <w:sz w:val="20"/>
          <w:szCs w:val="20"/>
        </w:rPr>
        <w:t xml:space="preserve"> </w:t>
      </w:r>
    </w:p>
    <w:p w14:paraId="47364B7B" w14:textId="52B0FBFF" w:rsidR="005970A4" w:rsidRPr="00EF44C2" w:rsidRDefault="005970A4" w:rsidP="00C80717">
      <w:pPr>
        <w:rPr>
          <w:rFonts w:ascii="Segoe UI" w:hAnsi="Segoe UI" w:cs="Segoe UI"/>
          <w:sz w:val="20"/>
          <w:szCs w:val="20"/>
        </w:rPr>
      </w:pPr>
      <w:r w:rsidRPr="00EF44C2">
        <w:rPr>
          <w:rFonts w:ascii="Segoe UI" w:hAnsi="Segoe UI" w:cs="Segoe UI"/>
          <w:sz w:val="20"/>
          <w:szCs w:val="20"/>
        </w:rPr>
        <w:t xml:space="preserve">Die Forschenden haben ihre Modelle um epidemiologische Kennzahlen zu Demenzhäufigkeiten, Demenzneuerkrankungen sowie Demensterblichkeit aus dem </w:t>
      </w:r>
      <w:proofErr w:type="spellStart"/>
      <w:r w:rsidRPr="00EF44C2">
        <w:rPr>
          <w:rFonts w:ascii="Segoe UI" w:hAnsi="Segoe UI" w:cs="Segoe UI"/>
          <w:sz w:val="20"/>
          <w:szCs w:val="20"/>
        </w:rPr>
        <w:t>WIdO</w:t>
      </w:r>
      <w:proofErr w:type="spellEnd"/>
      <w:r w:rsidRPr="00EF44C2">
        <w:rPr>
          <w:rFonts w:ascii="Segoe UI" w:hAnsi="Segoe UI" w:cs="Segoe UI"/>
          <w:sz w:val="20"/>
          <w:szCs w:val="20"/>
        </w:rPr>
        <w:t xml:space="preserve"> erweitert. Die Entwicklung der verschiedenen Szenarien erfolgte mithilfe der Expertise von Forschenden im Bereich der Demographie und der neurodegenerativen Erkrankungen an den Universitäten Rostock und Köln. </w:t>
      </w:r>
    </w:p>
    <w:p w14:paraId="27F09FA4" w14:textId="7EBB5F5C" w:rsidR="00C80717" w:rsidRPr="00EF44C2" w:rsidRDefault="005970A4" w:rsidP="00C80717">
      <w:pPr>
        <w:rPr>
          <w:rFonts w:ascii="Segoe UI" w:hAnsi="Segoe UI" w:cs="Segoe UI"/>
          <w:sz w:val="20"/>
          <w:szCs w:val="20"/>
        </w:rPr>
      </w:pPr>
      <w:r w:rsidRPr="00EF44C2">
        <w:rPr>
          <w:rFonts w:ascii="Segoe UI" w:hAnsi="Segoe UI" w:cs="Segoe UI"/>
          <w:sz w:val="20"/>
          <w:szCs w:val="20"/>
        </w:rPr>
        <w:t xml:space="preserve">Im Ergebnis </w:t>
      </w:r>
      <w:r w:rsidR="00C80717" w:rsidRPr="00EF44C2">
        <w:rPr>
          <w:rFonts w:ascii="Segoe UI" w:hAnsi="Segoe UI" w:cs="Segoe UI"/>
          <w:sz w:val="20"/>
          <w:szCs w:val="20"/>
        </w:rPr>
        <w:t xml:space="preserve">zeigt sich eine große Spanne zwischen im Schnitt jüngeren, städtischen Umfeldern und älteren, ländlichen Regionen. Während etwa in München </w:t>
      </w:r>
      <w:r w:rsidRPr="00EF44C2">
        <w:rPr>
          <w:rFonts w:ascii="Segoe UI" w:hAnsi="Segoe UI" w:cs="Segoe UI"/>
          <w:sz w:val="20"/>
          <w:szCs w:val="20"/>
        </w:rPr>
        <w:t xml:space="preserve">für </w:t>
      </w:r>
      <w:r w:rsidR="00C80717" w:rsidRPr="00EF44C2">
        <w:rPr>
          <w:rFonts w:ascii="Segoe UI" w:hAnsi="Segoe UI" w:cs="Segoe UI"/>
          <w:sz w:val="20"/>
          <w:szCs w:val="20"/>
        </w:rPr>
        <w:t>2060 1,7 Prozent Demenzerkrankungen errechnet werden, sind es im brandenburgischen Landkreis Elbe-Elster 6,2 Prozent – also ein etwa 3,5-mal höherer Anteil der Bevölkerung.</w:t>
      </w:r>
    </w:p>
    <w:p w14:paraId="5529209B" w14:textId="28ED5E34" w:rsidR="00C80717" w:rsidRPr="00EF44C2" w:rsidRDefault="00C80717" w:rsidP="00C80717">
      <w:pPr>
        <w:rPr>
          <w:rFonts w:ascii="Segoe UI" w:hAnsi="Segoe UI" w:cs="Segoe UI"/>
          <w:sz w:val="20"/>
          <w:szCs w:val="20"/>
        </w:rPr>
      </w:pPr>
      <w:r w:rsidRPr="00EF44C2">
        <w:rPr>
          <w:rFonts w:ascii="Segoe UI" w:hAnsi="Segoe UI" w:cs="Segoe UI"/>
          <w:sz w:val="20"/>
          <w:szCs w:val="20"/>
        </w:rPr>
        <w:t xml:space="preserve">Die Forschenden </w:t>
      </w:r>
      <w:r w:rsidR="005970A4" w:rsidRPr="00EF44C2">
        <w:rPr>
          <w:rFonts w:ascii="Segoe UI" w:hAnsi="Segoe UI" w:cs="Segoe UI"/>
          <w:sz w:val="20"/>
          <w:szCs w:val="20"/>
        </w:rPr>
        <w:t>modellierten</w:t>
      </w:r>
      <w:r w:rsidRPr="00EF44C2">
        <w:rPr>
          <w:rFonts w:ascii="Segoe UI" w:hAnsi="Segoe UI" w:cs="Segoe UI"/>
          <w:sz w:val="20"/>
          <w:szCs w:val="20"/>
        </w:rPr>
        <w:t xml:space="preserve"> zudem, wie sich Rückgang der Bevölkerung im erwerbsfähigen Alter auf die Versorgung auswirkt. Während 2020 nur 2,6 Personen mit Demenz auf 100 Erwerbstätige kamen, geht die schlechteste Prognose für 20</w:t>
      </w:r>
      <w:r w:rsidR="00AF4B1B" w:rsidRPr="00EF44C2">
        <w:rPr>
          <w:rFonts w:ascii="Segoe UI" w:hAnsi="Segoe UI" w:cs="Segoe UI"/>
          <w:sz w:val="20"/>
          <w:szCs w:val="20"/>
        </w:rPr>
        <w:t>60</w:t>
      </w:r>
      <w:r w:rsidRPr="00EF44C2">
        <w:rPr>
          <w:rFonts w:ascii="Segoe UI" w:hAnsi="Segoe UI" w:cs="Segoe UI"/>
          <w:sz w:val="20"/>
          <w:szCs w:val="20"/>
        </w:rPr>
        <w:t xml:space="preserve"> von 4,7 Demenzerkrankten pro 100 Erwerbstätigen aus.</w:t>
      </w:r>
      <w:r w:rsidR="007018C4" w:rsidRPr="00EF44C2">
        <w:rPr>
          <w:rFonts w:ascii="Segoe UI" w:hAnsi="Segoe UI" w:cs="Segoe UI"/>
          <w:sz w:val="20"/>
          <w:szCs w:val="20"/>
        </w:rPr>
        <w:t xml:space="preserve"> In einzelnen Kreisen kann diese Zahl auf fast 21 steigen. </w:t>
      </w:r>
    </w:p>
    <w:p w14:paraId="2177E2CB" w14:textId="5EAA66E7" w:rsidR="005970A4" w:rsidRDefault="005970A4" w:rsidP="00C80717">
      <w:pPr>
        <w:rPr>
          <w:rFonts w:ascii="Segoe UI" w:hAnsi="Segoe UI" w:cs="Segoe UI"/>
          <w:sz w:val="20"/>
          <w:szCs w:val="20"/>
        </w:rPr>
      </w:pPr>
      <w:r w:rsidRPr="00EF44C2">
        <w:rPr>
          <w:rFonts w:ascii="Segoe UI" w:hAnsi="Segoe UI" w:cs="Segoe UI"/>
          <w:sz w:val="20"/>
          <w:szCs w:val="20"/>
        </w:rPr>
        <w:t>Die Prognosen basieren dabei auf einer eng gefassten Demenz-Falldefinition, in der reversible Fälle ausgeschlossen wurden. Es handelt sich also um konservative Schätzungen, die eher die untere Grenze der erwartbaren Fallzahlen darstellen dürften.</w:t>
      </w:r>
    </w:p>
    <w:p w14:paraId="2FC6DA84" w14:textId="77777777" w:rsidR="00EF44C2" w:rsidRDefault="00EF44C2" w:rsidP="00C80717">
      <w:pPr>
        <w:rPr>
          <w:rFonts w:ascii="Segoe UI" w:hAnsi="Segoe UI" w:cs="Segoe UI"/>
          <w:sz w:val="20"/>
          <w:szCs w:val="20"/>
        </w:rPr>
      </w:pPr>
    </w:p>
    <w:p w14:paraId="44CB5241" w14:textId="77777777" w:rsidR="00EF44C2" w:rsidRPr="00EF44C2" w:rsidRDefault="00EF44C2" w:rsidP="00C80717">
      <w:pPr>
        <w:rPr>
          <w:rFonts w:ascii="Segoe UI" w:hAnsi="Segoe UI" w:cs="Segoe UI"/>
          <w:sz w:val="20"/>
          <w:szCs w:val="20"/>
        </w:rPr>
      </w:pPr>
    </w:p>
    <w:p w14:paraId="1C847583" w14:textId="531556B1" w:rsidR="00C80717" w:rsidRPr="00EF44C2" w:rsidRDefault="00C80717" w:rsidP="00C80717">
      <w:pPr>
        <w:rPr>
          <w:rFonts w:ascii="Segoe UI" w:hAnsi="Segoe UI" w:cs="Segoe UI"/>
          <w:b/>
          <w:bCs/>
          <w:sz w:val="20"/>
          <w:szCs w:val="20"/>
        </w:rPr>
      </w:pPr>
      <w:r w:rsidRPr="00EF44C2">
        <w:rPr>
          <w:rFonts w:ascii="Segoe UI" w:hAnsi="Segoe UI" w:cs="Segoe UI"/>
          <w:b/>
          <w:bCs/>
          <w:sz w:val="20"/>
          <w:szCs w:val="20"/>
        </w:rPr>
        <w:lastRenderedPageBreak/>
        <w:t>Präventionsmaßnahmen verbessern Aussichten</w:t>
      </w:r>
    </w:p>
    <w:p w14:paraId="25D4C5D5" w14:textId="2AA8EF23" w:rsidR="00C80717" w:rsidRPr="00EF44C2" w:rsidRDefault="00C80717" w:rsidP="00C80717">
      <w:pPr>
        <w:rPr>
          <w:rFonts w:ascii="Segoe UI" w:hAnsi="Segoe UI" w:cs="Segoe UI"/>
          <w:sz w:val="20"/>
          <w:szCs w:val="20"/>
        </w:rPr>
      </w:pPr>
      <w:r w:rsidRPr="00EF44C2">
        <w:rPr>
          <w:rFonts w:ascii="Segoe UI" w:hAnsi="Segoe UI" w:cs="Segoe UI"/>
          <w:sz w:val="20"/>
          <w:szCs w:val="20"/>
        </w:rPr>
        <w:t xml:space="preserve">Unter anderem mit geeigneten Maßnahmen gegen Bluthochdruck und Diabetes würden die Zahlen sich jedoch deutlich besser entwickeln. „Durch Prävention und eine gute Behandlung von Herz-Kreislauf-Erkrankungen, den Verzicht auf das Rauchen, mehr Bildung, die Behandlung von Hörstörungen und die Vermeidung sozialer Isolation kann einer Demenzentwicklung vorgebeugt werden“, </w:t>
      </w:r>
      <w:r w:rsidR="005970A4" w:rsidRPr="00EF44C2">
        <w:rPr>
          <w:rFonts w:ascii="Segoe UI" w:hAnsi="Segoe UI" w:cs="Segoe UI"/>
          <w:sz w:val="20"/>
          <w:szCs w:val="20"/>
        </w:rPr>
        <w:t>verdeutlicht</w:t>
      </w:r>
      <w:r w:rsidRPr="00EF44C2">
        <w:rPr>
          <w:rFonts w:ascii="Segoe UI" w:hAnsi="Segoe UI" w:cs="Segoe UI"/>
          <w:sz w:val="20"/>
          <w:szCs w:val="20"/>
        </w:rPr>
        <w:t xml:space="preserve"> Helmut Schröder, Geschäftsführer des Wissenschaftlichen Instituts der AOK (</w:t>
      </w:r>
      <w:proofErr w:type="spellStart"/>
      <w:r w:rsidRPr="00EF44C2">
        <w:rPr>
          <w:rFonts w:ascii="Segoe UI" w:hAnsi="Segoe UI" w:cs="Segoe UI"/>
          <w:sz w:val="20"/>
          <w:szCs w:val="20"/>
        </w:rPr>
        <w:t>WIdO</w:t>
      </w:r>
      <w:proofErr w:type="spellEnd"/>
      <w:r w:rsidRPr="00EF44C2">
        <w:rPr>
          <w:rFonts w:ascii="Segoe UI" w:hAnsi="Segoe UI" w:cs="Segoe UI"/>
          <w:sz w:val="20"/>
          <w:szCs w:val="20"/>
        </w:rPr>
        <w:t>).</w:t>
      </w:r>
    </w:p>
    <w:p w14:paraId="6EB648F4" w14:textId="07821B7B" w:rsidR="00C80717" w:rsidRPr="00EF44C2" w:rsidRDefault="00C80717" w:rsidP="00C80717">
      <w:pPr>
        <w:rPr>
          <w:rFonts w:ascii="Segoe UI" w:hAnsi="Segoe UI" w:cs="Segoe UI"/>
          <w:sz w:val="20"/>
          <w:szCs w:val="20"/>
        </w:rPr>
      </w:pPr>
      <w:r w:rsidRPr="00EF44C2">
        <w:rPr>
          <w:rFonts w:ascii="Segoe UI" w:hAnsi="Segoe UI" w:cs="Segoe UI"/>
          <w:sz w:val="20"/>
          <w:szCs w:val="20"/>
        </w:rPr>
        <w:t>Bei optimaler Prävention ist für 206</w:t>
      </w:r>
      <w:r w:rsidR="00796B85" w:rsidRPr="00EF44C2">
        <w:rPr>
          <w:rFonts w:ascii="Segoe UI" w:hAnsi="Segoe UI" w:cs="Segoe UI"/>
          <w:sz w:val="20"/>
          <w:szCs w:val="20"/>
        </w:rPr>
        <w:t>0</w:t>
      </w:r>
      <w:r w:rsidRPr="00EF44C2">
        <w:rPr>
          <w:rFonts w:ascii="Segoe UI" w:hAnsi="Segoe UI" w:cs="Segoe UI"/>
          <w:sz w:val="20"/>
          <w:szCs w:val="20"/>
        </w:rPr>
        <w:t xml:space="preserve"> eine Stabilisation bei 1,3 - 1,5 Millionen Fällen erwartbar. Auf 100 Erwerbstätige kämen noch 2,9 Personen mit Demenz. Ein deutliches Gefälle zwischen Stadt und Land bliebe aber bestehen.</w:t>
      </w:r>
    </w:p>
    <w:p w14:paraId="577A3ADD" w14:textId="5890AB82" w:rsidR="00323F5B" w:rsidRPr="00EF44C2" w:rsidRDefault="00323F5B" w:rsidP="00C80717">
      <w:pPr>
        <w:rPr>
          <w:rFonts w:ascii="Segoe UI" w:hAnsi="Segoe UI" w:cs="Segoe UI"/>
          <w:sz w:val="20"/>
          <w:szCs w:val="20"/>
        </w:rPr>
      </w:pPr>
      <w:r w:rsidRPr="00EF44C2">
        <w:rPr>
          <w:rFonts w:ascii="Segoe UI" w:hAnsi="Segoe UI" w:cs="Segoe UI"/>
          <w:sz w:val="20"/>
          <w:szCs w:val="20"/>
        </w:rPr>
        <w:t>In der von der Deutschen Forschungsgemeinschaft (DFG) geförderten Forschungsgruppe </w:t>
      </w:r>
      <w:hyperlink r:id="rId9" w:history="1">
        <w:r w:rsidRPr="00EF44C2">
          <w:rPr>
            <w:rStyle w:val="Hyperlink"/>
            <w:rFonts w:ascii="Segoe UI" w:hAnsi="Segoe UI" w:cs="Segoe UI"/>
            <w:sz w:val="20"/>
            <w:szCs w:val="20"/>
          </w:rPr>
          <w:t>FOR 2559 „Sektorenübergreifendes kleinräumiges Mikrosimulationsmodell“ (</w:t>
        </w:r>
        <w:proofErr w:type="spellStart"/>
        <w:r w:rsidRPr="00EF44C2">
          <w:rPr>
            <w:rStyle w:val="Hyperlink"/>
            <w:rFonts w:ascii="Segoe UI" w:hAnsi="Segoe UI" w:cs="Segoe UI"/>
            <w:sz w:val="20"/>
            <w:szCs w:val="20"/>
          </w:rPr>
          <w:t>MikroSim</w:t>
        </w:r>
        <w:proofErr w:type="spellEnd"/>
        <w:r w:rsidRPr="00EF44C2">
          <w:rPr>
            <w:rStyle w:val="Hyperlink"/>
            <w:rFonts w:ascii="Segoe UI" w:hAnsi="Segoe UI" w:cs="Segoe UI"/>
            <w:sz w:val="20"/>
            <w:szCs w:val="20"/>
          </w:rPr>
          <w:t>)</w:t>
        </w:r>
      </w:hyperlink>
      <w:r w:rsidRPr="00EF44C2">
        <w:rPr>
          <w:rFonts w:ascii="Segoe UI" w:hAnsi="Segoe UI" w:cs="Segoe UI"/>
          <w:sz w:val="20"/>
          <w:szCs w:val="20"/>
        </w:rPr>
        <w:t xml:space="preserve"> wird ein Mikrosimulationsmodell der Bevölkerung der Bundesrepublik Deutschland auf der Ebene von Personen und Haushalten entwickelt. Dieses Projekt wird von Arbeitsgruppen an der Universität Trier und der Universität Duisburg-Essen in enger Kooperation mit dem Statistischen Bundesamt</w:t>
      </w:r>
      <w:r w:rsidR="008E46B6" w:rsidRPr="00EF44C2">
        <w:rPr>
          <w:rFonts w:ascii="Segoe UI" w:hAnsi="Segoe UI" w:cs="Segoe UI"/>
          <w:sz w:val="20"/>
          <w:szCs w:val="20"/>
        </w:rPr>
        <w:t xml:space="preserve"> (DESTATIS)</w:t>
      </w:r>
      <w:r w:rsidRPr="00EF44C2">
        <w:rPr>
          <w:rFonts w:ascii="Segoe UI" w:hAnsi="Segoe UI" w:cs="Segoe UI"/>
          <w:sz w:val="20"/>
          <w:szCs w:val="20"/>
        </w:rPr>
        <w:t xml:space="preserve"> </w:t>
      </w:r>
      <w:r w:rsidR="008E46B6" w:rsidRPr="00EF44C2">
        <w:rPr>
          <w:rFonts w:ascii="Segoe UI" w:hAnsi="Segoe UI" w:cs="Segoe UI"/>
          <w:sz w:val="20"/>
          <w:szCs w:val="20"/>
        </w:rPr>
        <w:t xml:space="preserve">und dem Deutschen Institut für Wirtschaftsforschung (DIW) </w:t>
      </w:r>
      <w:r w:rsidRPr="00EF44C2">
        <w:rPr>
          <w:rFonts w:ascii="Segoe UI" w:hAnsi="Segoe UI" w:cs="Segoe UI"/>
          <w:sz w:val="20"/>
          <w:szCs w:val="20"/>
        </w:rPr>
        <w:t>durchgeführt.</w:t>
      </w:r>
    </w:p>
    <w:p w14:paraId="489D7079" w14:textId="77777777" w:rsidR="00713BB0" w:rsidRPr="00EF44C2" w:rsidRDefault="00713BB0" w:rsidP="00C80717">
      <w:pPr>
        <w:rPr>
          <w:rFonts w:ascii="Segoe UI" w:hAnsi="Segoe UI" w:cs="Segoe UI"/>
          <w:sz w:val="20"/>
          <w:szCs w:val="20"/>
        </w:rPr>
      </w:pPr>
    </w:p>
    <w:p w14:paraId="0EA3EB6E" w14:textId="77777777" w:rsidR="00713BB0" w:rsidRPr="00EF44C2" w:rsidRDefault="00713BB0" w:rsidP="00713BB0">
      <w:pPr>
        <w:keepNext/>
        <w:keepLines/>
        <w:rPr>
          <w:sz w:val="20"/>
          <w:szCs w:val="20"/>
        </w:rPr>
      </w:pPr>
      <w:r w:rsidRPr="00EF44C2">
        <w:rPr>
          <w:rFonts w:ascii="Segoe UI" w:hAnsi="Segoe UI" w:cs="Segoe UI"/>
          <w:b/>
          <w:bCs/>
          <w:sz w:val="20"/>
          <w:szCs w:val="20"/>
        </w:rPr>
        <w:lastRenderedPageBreak/>
        <w:t>Zur Studie:</w:t>
      </w:r>
      <w:r w:rsidRPr="00EF44C2">
        <w:rPr>
          <w:rFonts w:ascii="Segoe UI" w:hAnsi="Segoe UI" w:cs="Segoe UI"/>
          <w:sz w:val="20"/>
          <w:szCs w:val="20"/>
        </w:rPr>
        <w:t xml:space="preserve"> </w:t>
      </w:r>
      <w:hyperlink w:history="1">
        <w:r w:rsidRPr="00EF44C2">
          <w:rPr>
            <w:rStyle w:val="Hyperlink"/>
            <w:rFonts w:ascii="Segoe UI" w:hAnsi="Segoe UI" w:cs="Segoe UI"/>
            <w:color w:val="auto"/>
            <w:sz w:val="20"/>
            <w:szCs w:val="20"/>
          </w:rPr>
          <w:t>https://doi.org/10.1007/s10654-026-01392-4</w:t>
        </w:r>
      </w:hyperlink>
    </w:p>
    <w:p w14:paraId="6616E245" w14:textId="77777777" w:rsidR="00EF44C2" w:rsidRDefault="00EF44C2" w:rsidP="00713BB0">
      <w:pPr>
        <w:keepNext/>
        <w:keepLines/>
        <w:rPr>
          <w:sz w:val="20"/>
          <w:szCs w:val="20"/>
        </w:rPr>
      </w:pPr>
    </w:p>
    <w:p w14:paraId="1383FECB" w14:textId="0C1C80C4" w:rsidR="00EF44C2" w:rsidRDefault="00EF44C2" w:rsidP="00713BB0">
      <w:pPr>
        <w:keepNext/>
        <w:keepLines/>
        <w:rPr>
          <w:sz w:val="20"/>
          <w:szCs w:val="20"/>
        </w:rPr>
      </w:pPr>
      <w:r>
        <w:rPr>
          <w:rFonts w:ascii="Segoe UI" w:hAnsi="Segoe UI" w:cs="Segoe UI"/>
          <w:b/>
          <w:noProof/>
        </w:rPr>
        <w:drawing>
          <wp:inline distT="0" distB="0" distL="0" distR="0" wp14:anchorId="3C848C3C" wp14:editId="4404BA01">
            <wp:extent cx="5401067" cy="4319025"/>
            <wp:effectExtent l="19050" t="19050" r="9525" b="24765"/>
            <wp:docPr id="1472666006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666006" name="Grafik 147266600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067" cy="43190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609AE6" w14:textId="77777777" w:rsidR="00EF44C2" w:rsidRPr="00EF44C2" w:rsidRDefault="00EF44C2" w:rsidP="00EF44C2">
      <w:pPr>
        <w:keepNext/>
        <w:keepLines/>
        <w:rPr>
          <w:sz w:val="20"/>
          <w:szCs w:val="20"/>
        </w:rPr>
      </w:pPr>
      <w:r w:rsidRPr="00EF44C2">
        <w:rPr>
          <w:sz w:val="20"/>
          <w:szCs w:val="20"/>
        </w:rPr>
        <w:t>Deutschlandkarte mit Prädiktion der Prävalenz von Demenzfällen für 2060 ohne Präventionsmaßnahmen und bei gleichbleibend steigender Lebenserwartung.</w:t>
      </w:r>
    </w:p>
    <w:p w14:paraId="2A6D6BC1" w14:textId="77777777" w:rsidR="00EF44C2" w:rsidRDefault="00EF44C2" w:rsidP="00713BB0">
      <w:pPr>
        <w:keepNext/>
        <w:keepLines/>
        <w:rPr>
          <w:sz w:val="20"/>
          <w:szCs w:val="20"/>
        </w:rPr>
      </w:pPr>
    </w:p>
    <w:p w14:paraId="19DA326F" w14:textId="07C4F172" w:rsidR="00EF44C2" w:rsidRDefault="00EF44C2" w:rsidP="00713BB0">
      <w:pPr>
        <w:keepNext/>
        <w:keepLines/>
        <w:rPr>
          <w:sz w:val="20"/>
          <w:szCs w:val="20"/>
        </w:rPr>
      </w:pPr>
      <w:r>
        <w:rPr>
          <w:rFonts w:ascii="Segoe UI" w:hAnsi="Segoe UI" w:cs="Segoe UI"/>
          <w:b/>
          <w:noProof/>
        </w:rPr>
        <w:lastRenderedPageBreak/>
        <w:drawing>
          <wp:inline distT="0" distB="0" distL="0" distR="0" wp14:anchorId="296F4CE6" wp14:editId="518A8C4F">
            <wp:extent cx="5760720" cy="6375400"/>
            <wp:effectExtent l="19050" t="19050" r="11430" b="25400"/>
            <wp:docPr id="138432806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328062" name="Grafik 13843280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754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4F7397" w14:textId="77777777" w:rsidR="00EF44C2" w:rsidRPr="00EF44C2" w:rsidRDefault="00EF44C2" w:rsidP="00EF44C2">
      <w:pPr>
        <w:keepNext/>
        <w:keepLines/>
        <w:rPr>
          <w:rFonts w:ascii="Segoe UI" w:hAnsi="Segoe UI" w:cs="Segoe UI"/>
          <w:b/>
          <w:sz w:val="20"/>
          <w:szCs w:val="20"/>
        </w:rPr>
      </w:pPr>
      <w:r w:rsidRPr="00EF44C2">
        <w:rPr>
          <w:sz w:val="20"/>
          <w:szCs w:val="20"/>
        </w:rPr>
        <w:t>Prädiktion der Demenzerkrankten pro 100 Erwerbstätiger in ausgewählten Kreisen/kreisfreien Städten für 2060 ohne Präventionsmaßnahmen und bei gleichbleibend steigender Lebenserwartung.</w:t>
      </w:r>
    </w:p>
    <w:p w14:paraId="418B9568" w14:textId="2DCFBB46" w:rsidR="00713BB0" w:rsidRPr="00EF44C2" w:rsidRDefault="00713BB0" w:rsidP="00713BB0">
      <w:pPr>
        <w:keepNext/>
        <w:keepLines/>
        <w:rPr>
          <w:sz w:val="20"/>
          <w:szCs w:val="20"/>
        </w:rPr>
      </w:pPr>
      <w:r w:rsidRPr="00EF44C2">
        <w:rPr>
          <w:sz w:val="20"/>
          <w:szCs w:val="20"/>
        </w:rPr>
        <w:t>Abbildungen</w:t>
      </w:r>
      <w:r w:rsidR="00EF44C2">
        <w:rPr>
          <w:sz w:val="20"/>
          <w:szCs w:val="20"/>
        </w:rPr>
        <w:t xml:space="preserve"> - </w:t>
      </w:r>
      <w:r w:rsidRPr="00EF44C2">
        <w:rPr>
          <w:sz w:val="20"/>
          <w:szCs w:val="20"/>
        </w:rPr>
        <w:t xml:space="preserve">Quelle jeweils </w:t>
      </w:r>
      <w:proofErr w:type="spellStart"/>
      <w:r w:rsidRPr="00EF44C2">
        <w:rPr>
          <w:sz w:val="20"/>
          <w:szCs w:val="20"/>
        </w:rPr>
        <w:t>WIdO</w:t>
      </w:r>
      <w:proofErr w:type="spellEnd"/>
      <w:r w:rsidR="00EF44C2">
        <w:rPr>
          <w:sz w:val="20"/>
          <w:szCs w:val="20"/>
        </w:rPr>
        <w:t xml:space="preserve">. </w:t>
      </w:r>
    </w:p>
    <w:p w14:paraId="5FB06F1F" w14:textId="77777777" w:rsidR="00713BB0" w:rsidRPr="00C80717" w:rsidRDefault="00713BB0" w:rsidP="00C80717">
      <w:pPr>
        <w:rPr>
          <w:rFonts w:ascii="Segoe UI" w:hAnsi="Segoe UI" w:cs="Segoe UI"/>
        </w:rPr>
      </w:pPr>
    </w:p>
    <w:p w14:paraId="21632EAE" w14:textId="77777777" w:rsidR="00323F5B" w:rsidRDefault="00323F5B" w:rsidP="00C80717">
      <w:pPr>
        <w:keepNext/>
        <w:keepLines/>
        <w:rPr>
          <w:rFonts w:ascii="Segoe UI" w:hAnsi="Segoe UI" w:cs="Segoe UI"/>
          <w:b/>
          <w:bCs/>
        </w:rPr>
      </w:pPr>
    </w:p>
    <w:p w14:paraId="286D3F44" w14:textId="77777777" w:rsidR="00713BB0" w:rsidRPr="00713BB0" w:rsidRDefault="00713BB0" w:rsidP="00713BB0">
      <w:pPr>
        <w:keepNext/>
        <w:keepLines/>
        <w:rPr>
          <w:rFonts w:ascii="Segoe UI" w:hAnsi="Segoe UI" w:cs="Segoe UI"/>
          <w:b/>
        </w:rPr>
      </w:pPr>
    </w:p>
    <w:p w14:paraId="1524F6F0" w14:textId="77777777" w:rsidR="00713BB0" w:rsidRDefault="00713BB0" w:rsidP="00713BB0">
      <w:pPr>
        <w:keepNext/>
        <w:keepLines/>
        <w:rPr>
          <w:rFonts w:ascii="Segoe UI" w:hAnsi="Segoe UI" w:cs="Segoe UI"/>
          <w:b/>
        </w:rPr>
      </w:pPr>
    </w:p>
    <w:p w14:paraId="4E86A877" w14:textId="44616459" w:rsidR="00713BB0" w:rsidRDefault="00713BB0" w:rsidP="00713BB0">
      <w:pPr>
        <w:keepNext/>
        <w:keepLines/>
        <w:rPr>
          <w:rFonts w:ascii="Segoe UI" w:hAnsi="Segoe UI" w:cs="Segoe UI"/>
          <w:b/>
        </w:rPr>
      </w:pPr>
    </w:p>
    <w:p w14:paraId="55A0EE8D" w14:textId="6729EE9D" w:rsidR="00713BB0" w:rsidRPr="00713BB0" w:rsidRDefault="00713BB0" w:rsidP="00713BB0">
      <w:pPr>
        <w:keepNext/>
        <w:keepLines/>
        <w:rPr>
          <w:rFonts w:ascii="Segoe UI" w:hAnsi="Segoe UI" w:cs="Segoe UI"/>
          <w:b/>
        </w:rPr>
      </w:pPr>
    </w:p>
    <w:sectPr w:rsidR="00713BB0" w:rsidRPr="00713BB0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EAEC" w14:textId="77777777" w:rsidR="0016005C" w:rsidRDefault="0016005C" w:rsidP="00DA6A73">
      <w:pPr>
        <w:spacing w:after="0" w:line="240" w:lineRule="auto"/>
      </w:pPr>
      <w:r>
        <w:separator/>
      </w:r>
    </w:p>
  </w:endnote>
  <w:endnote w:type="continuationSeparator" w:id="0">
    <w:p w14:paraId="1DBA1D23" w14:textId="77777777" w:rsidR="0016005C" w:rsidRDefault="0016005C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7D38" w14:textId="06F18BBF" w:rsidR="00785E24" w:rsidRDefault="00BF54F7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70C1A1F" wp14:editId="5653015C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4F5928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68080E" wp14:editId="70A1C27E">
              <wp:simplePos x="0" y="0"/>
              <wp:positionH relativeFrom="column">
                <wp:posOffset>1929130</wp:posOffset>
              </wp:positionH>
              <wp:positionV relativeFrom="page">
                <wp:posOffset>9915525</wp:posOffset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EF8C7" w14:textId="77777777" w:rsidR="00114F9C" w:rsidRPr="005D4912" w:rsidRDefault="00DD2063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Universität Trier</w:t>
                          </w:r>
                          <w:r w:rsidR="007336D7"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kommunikation@uni-trier.de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C238AC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+49 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651 201-4239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89734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</w:t>
                          </w:r>
                          <w:r w:rsidR="00BD26B8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8080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151.9pt;margin-top:780.75pt;width:24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" filled="f" stroked="f" strokeweight=".5pt">
              <v:textbox>
                <w:txbxContent>
                  <w:p w14:paraId="098EF8C7" w14:textId="77777777" w:rsidR="00114F9C" w:rsidRPr="005D4912" w:rsidRDefault="00DD2063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Universität Trier</w:t>
                    </w:r>
                    <w:r w:rsidR="007336D7"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Mail: kommunikation@uni-trier.de</w:t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 xml:space="preserve">Tel. </w:t>
                    </w:r>
                    <w:r w:rsidR="00C238AC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+49 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651 201-4239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897348"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</w:t>
                    </w:r>
                    <w:r w:rsidR="00BD26B8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463D1D" wp14:editId="16AD87F4">
              <wp:simplePos x="0" y="0"/>
              <wp:positionH relativeFrom="margin">
                <wp:posOffset>-347345</wp:posOffset>
              </wp:positionH>
              <wp:positionV relativeFrom="page">
                <wp:posOffset>9915525</wp:posOffset>
              </wp:positionV>
              <wp:extent cx="2257425" cy="714375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6E8EDA" w14:textId="7147151A" w:rsidR="00114AA3" w:rsidRPr="00323F5B" w:rsidRDefault="00FB42BC" w:rsidP="00C238AC">
                          <w:pPr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</w:pPr>
                          <w:r w:rsidRPr="00323F5B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Prof. Dr. Ralf Münnich</w:t>
                          </w:r>
                          <w:r w:rsidR="007E66B3" w:rsidRPr="00323F5B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br/>
                          </w:r>
                          <w:r w:rsidR="00323F5B" w:rsidRPr="00323F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Wirtsch</w:t>
                          </w:r>
                          <w:r w:rsidR="00323F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afts- und Sozialstatistik</w:t>
                          </w:r>
                          <w:r w:rsidR="007336D7" w:rsidRPr="00323F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  <w:t xml:space="preserve">Mail: </w:t>
                          </w:r>
                          <w:r w:rsidRPr="00323F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muennich</w:t>
                          </w:r>
                          <w:r w:rsidR="00ED15E4" w:rsidRPr="00323F5B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@uni-trier.de</w:t>
                          </w:r>
                          <w:r w:rsidR="007336D7" w:rsidRPr="00323F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  <w:t>Tel. +49 651 201-</w:t>
                          </w:r>
                          <w:r w:rsidRPr="00323F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2651</w:t>
                          </w:r>
                          <w:r w:rsidR="00114AA3" w:rsidRPr="00323F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463D1D" id="Textfeld 4" o:spid="_x0000_s1027" type="#_x0000_t202" style="position:absolute;margin-left:-27.35pt;margin-top:780.75pt;width:177.7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" filled="f" stroked="f" strokeweight=".5pt">
              <v:textbox>
                <w:txbxContent>
                  <w:p w14:paraId="5E6E8EDA" w14:textId="7147151A" w:rsidR="00114AA3" w:rsidRPr="00323F5B" w:rsidRDefault="00FB42BC" w:rsidP="00C238AC">
                    <w:pPr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</w:pPr>
                    <w:r w:rsidRPr="00323F5B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Prof. Dr. Ralf Münnich</w:t>
                    </w:r>
                    <w:r w:rsidR="007E66B3" w:rsidRPr="00323F5B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br/>
                    </w:r>
                    <w:r w:rsidR="00323F5B" w:rsidRPr="00323F5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Wirtsch</w:t>
                    </w:r>
                    <w:r w:rsidR="00323F5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afts- und Sozialstatistik</w:t>
                    </w:r>
                    <w:r w:rsidR="007336D7" w:rsidRPr="00323F5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  <w:t xml:space="preserve">Mail: </w:t>
                    </w:r>
                    <w:r w:rsidRPr="00323F5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muennich</w:t>
                    </w:r>
                    <w:r w:rsidR="00ED15E4" w:rsidRPr="00323F5B">
                      <w:rPr>
                        <w:rFonts w:ascii="Segoe UI" w:hAnsi="Segoe UI" w:cs="Segoe UI"/>
                        <w:sz w:val="18"/>
                        <w:szCs w:val="18"/>
                      </w:rPr>
                      <w:t>@uni-trier.de</w:t>
                    </w:r>
                    <w:r w:rsidR="007336D7" w:rsidRPr="00323F5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  <w:t>Tel. +49 651 201-</w:t>
                    </w:r>
                    <w:r w:rsidRPr="00323F5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2651</w:t>
                    </w:r>
                    <w:r w:rsidR="00114AA3" w:rsidRPr="00323F5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357D9" w14:textId="77777777" w:rsidR="0016005C" w:rsidRDefault="0016005C" w:rsidP="00DA6A73">
      <w:pPr>
        <w:spacing w:after="0" w:line="240" w:lineRule="auto"/>
      </w:pPr>
      <w:r>
        <w:separator/>
      </w:r>
    </w:p>
  </w:footnote>
  <w:footnote w:type="continuationSeparator" w:id="0">
    <w:p w14:paraId="40628DC3" w14:textId="77777777" w:rsidR="0016005C" w:rsidRDefault="0016005C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3C06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0BFC"/>
    <w:multiLevelType w:val="hybridMultilevel"/>
    <w:tmpl w:val="003EB7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F6E28"/>
    <w:multiLevelType w:val="hybridMultilevel"/>
    <w:tmpl w:val="65E0BFD8"/>
    <w:lvl w:ilvl="0" w:tplc="62EC52B6">
      <w:start w:val="1"/>
      <w:numFmt w:val="decimal"/>
      <w:lvlText w:val="%1)"/>
      <w:lvlJc w:val="left"/>
      <w:pPr>
        <w:ind w:left="76" w:hanging="360"/>
      </w:pPr>
      <w:rPr>
        <w:rFonts w:hint="default"/>
        <w:lang w:val="de-DE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055093">
    <w:abstractNumId w:val="1"/>
  </w:num>
  <w:num w:numId="2" w16cid:durableId="314534691">
    <w:abstractNumId w:val="4"/>
  </w:num>
  <w:num w:numId="3" w16cid:durableId="644358702">
    <w:abstractNumId w:val="2"/>
  </w:num>
  <w:num w:numId="4" w16cid:durableId="71465270">
    <w:abstractNumId w:val="6"/>
  </w:num>
  <w:num w:numId="5" w16cid:durableId="1050110089">
    <w:abstractNumId w:val="3"/>
  </w:num>
  <w:num w:numId="6" w16cid:durableId="1019693998">
    <w:abstractNumId w:val="5"/>
  </w:num>
  <w:num w:numId="7" w16cid:durableId="46543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E8"/>
    <w:rsid w:val="000013DC"/>
    <w:rsid w:val="0002102B"/>
    <w:rsid w:val="00023D33"/>
    <w:rsid w:val="0003146F"/>
    <w:rsid w:val="00034C1D"/>
    <w:rsid w:val="0003778B"/>
    <w:rsid w:val="00053D58"/>
    <w:rsid w:val="000558A0"/>
    <w:rsid w:val="00061896"/>
    <w:rsid w:val="000620F7"/>
    <w:rsid w:val="000654D0"/>
    <w:rsid w:val="00067D65"/>
    <w:rsid w:val="00074363"/>
    <w:rsid w:val="000751E5"/>
    <w:rsid w:val="00084656"/>
    <w:rsid w:val="000A46B3"/>
    <w:rsid w:val="000B2056"/>
    <w:rsid w:val="000E473C"/>
    <w:rsid w:val="000F2EE3"/>
    <w:rsid w:val="00106F98"/>
    <w:rsid w:val="00114AA3"/>
    <w:rsid w:val="00114F9C"/>
    <w:rsid w:val="00116AD8"/>
    <w:rsid w:val="00136765"/>
    <w:rsid w:val="001463B6"/>
    <w:rsid w:val="0016005C"/>
    <w:rsid w:val="0016667B"/>
    <w:rsid w:val="001901D5"/>
    <w:rsid w:val="0019387F"/>
    <w:rsid w:val="001A511E"/>
    <w:rsid w:val="001B0BD4"/>
    <w:rsid w:val="001B700C"/>
    <w:rsid w:val="001C0DAC"/>
    <w:rsid w:val="001C6F6F"/>
    <w:rsid w:val="001D4ADB"/>
    <w:rsid w:val="001D57F7"/>
    <w:rsid w:val="00204E5D"/>
    <w:rsid w:val="00206691"/>
    <w:rsid w:val="00210FDC"/>
    <w:rsid w:val="002156F0"/>
    <w:rsid w:val="0021740E"/>
    <w:rsid w:val="00242C6D"/>
    <w:rsid w:val="00242F3A"/>
    <w:rsid w:val="002516AD"/>
    <w:rsid w:val="00252E50"/>
    <w:rsid w:val="002563C0"/>
    <w:rsid w:val="00264AF7"/>
    <w:rsid w:val="00271503"/>
    <w:rsid w:val="00274AD7"/>
    <w:rsid w:val="0028364D"/>
    <w:rsid w:val="002B3EFE"/>
    <w:rsid w:val="002C22E8"/>
    <w:rsid w:val="002E60C5"/>
    <w:rsid w:val="002E6588"/>
    <w:rsid w:val="00315B27"/>
    <w:rsid w:val="00323F5B"/>
    <w:rsid w:val="00326402"/>
    <w:rsid w:val="00326AAC"/>
    <w:rsid w:val="003503D7"/>
    <w:rsid w:val="003650A7"/>
    <w:rsid w:val="003669BC"/>
    <w:rsid w:val="00380186"/>
    <w:rsid w:val="003929B4"/>
    <w:rsid w:val="003978EB"/>
    <w:rsid w:val="003A715E"/>
    <w:rsid w:val="003A79A7"/>
    <w:rsid w:val="003B2E66"/>
    <w:rsid w:val="003C2258"/>
    <w:rsid w:val="003C3BB0"/>
    <w:rsid w:val="003E376E"/>
    <w:rsid w:val="0041679A"/>
    <w:rsid w:val="004207F1"/>
    <w:rsid w:val="00441DE7"/>
    <w:rsid w:val="00442689"/>
    <w:rsid w:val="00444C14"/>
    <w:rsid w:val="0045605F"/>
    <w:rsid w:val="004564B8"/>
    <w:rsid w:val="00457534"/>
    <w:rsid w:val="00466D2D"/>
    <w:rsid w:val="004822CB"/>
    <w:rsid w:val="004B2A58"/>
    <w:rsid w:val="004B30DB"/>
    <w:rsid w:val="004C02D2"/>
    <w:rsid w:val="004D2D2B"/>
    <w:rsid w:val="004F30C6"/>
    <w:rsid w:val="00523AD7"/>
    <w:rsid w:val="00533696"/>
    <w:rsid w:val="00554AC8"/>
    <w:rsid w:val="00555FDF"/>
    <w:rsid w:val="00567590"/>
    <w:rsid w:val="005929F9"/>
    <w:rsid w:val="00595179"/>
    <w:rsid w:val="005970A4"/>
    <w:rsid w:val="005B074F"/>
    <w:rsid w:val="005B1619"/>
    <w:rsid w:val="005C1395"/>
    <w:rsid w:val="005C2131"/>
    <w:rsid w:val="005D4912"/>
    <w:rsid w:val="005E3269"/>
    <w:rsid w:val="005E3667"/>
    <w:rsid w:val="005E6185"/>
    <w:rsid w:val="005F370B"/>
    <w:rsid w:val="005F77D1"/>
    <w:rsid w:val="006047BB"/>
    <w:rsid w:val="006056DA"/>
    <w:rsid w:val="006104E3"/>
    <w:rsid w:val="00612336"/>
    <w:rsid w:val="00617D0B"/>
    <w:rsid w:val="00623753"/>
    <w:rsid w:val="006403D5"/>
    <w:rsid w:val="006634B6"/>
    <w:rsid w:val="00663AA4"/>
    <w:rsid w:val="0067196D"/>
    <w:rsid w:val="0067272E"/>
    <w:rsid w:val="006847B7"/>
    <w:rsid w:val="00684F2B"/>
    <w:rsid w:val="00691D1F"/>
    <w:rsid w:val="00696D3F"/>
    <w:rsid w:val="006A069A"/>
    <w:rsid w:val="006A0B16"/>
    <w:rsid w:val="006A7A3B"/>
    <w:rsid w:val="006B43C5"/>
    <w:rsid w:val="006C2F69"/>
    <w:rsid w:val="006C599C"/>
    <w:rsid w:val="006C7D81"/>
    <w:rsid w:val="006F2BC4"/>
    <w:rsid w:val="006F309B"/>
    <w:rsid w:val="007018C4"/>
    <w:rsid w:val="00713BB0"/>
    <w:rsid w:val="00714FC7"/>
    <w:rsid w:val="007322FB"/>
    <w:rsid w:val="007336D7"/>
    <w:rsid w:val="00737143"/>
    <w:rsid w:val="00743975"/>
    <w:rsid w:val="007768FD"/>
    <w:rsid w:val="00777DFA"/>
    <w:rsid w:val="00785E24"/>
    <w:rsid w:val="00796B85"/>
    <w:rsid w:val="007B5130"/>
    <w:rsid w:val="007B654C"/>
    <w:rsid w:val="007C5950"/>
    <w:rsid w:val="007D275B"/>
    <w:rsid w:val="007D5AE4"/>
    <w:rsid w:val="007E0D3F"/>
    <w:rsid w:val="007E66B3"/>
    <w:rsid w:val="007F646D"/>
    <w:rsid w:val="00804B56"/>
    <w:rsid w:val="00814E20"/>
    <w:rsid w:val="00834502"/>
    <w:rsid w:val="0085213C"/>
    <w:rsid w:val="00856688"/>
    <w:rsid w:val="00863AB6"/>
    <w:rsid w:val="008654F6"/>
    <w:rsid w:val="00883960"/>
    <w:rsid w:val="00893ADF"/>
    <w:rsid w:val="00897348"/>
    <w:rsid w:val="008B7960"/>
    <w:rsid w:val="008C16E8"/>
    <w:rsid w:val="008C7B20"/>
    <w:rsid w:val="008D5536"/>
    <w:rsid w:val="008E1ACC"/>
    <w:rsid w:val="008E46B6"/>
    <w:rsid w:val="009012D9"/>
    <w:rsid w:val="009243E1"/>
    <w:rsid w:val="009509BC"/>
    <w:rsid w:val="00952724"/>
    <w:rsid w:val="009568B5"/>
    <w:rsid w:val="0097094F"/>
    <w:rsid w:val="00972728"/>
    <w:rsid w:val="00982994"/>
    <w:rsid w:val="009A489B"/>
    <w:rsid w:val="009B25C6"/>
    <w:rsid w:val="009C58F4"/>
    <w:rsid w:val="009C62DF"/>
    <w:rsid w:val="009D0048"/>
    <w:rsid w:val="009D2AB6"/>
    <w:rsid w:val="009E3CD6"/>
    <w:rsid w:val="009E7129"/>
    <w:rsid w:val="009F0D45"/>
    <w:rsid w:val="009F4132"/>
    <w:rsid w:val="009F49F0"/>
    <w:rsid w:val="009F6A68"/>
    <w:rsid w:val="00A216FC"/>
    <w:rsid w:val="00A343F7"/>
    <w:rsid w:val="00A4549C"/>
    <w:rsid w:val="00A45B7C"/>
    <w:rsid w:val="00A46196"/>
    <w:rsid w:val="00A53802"/>
    <w:rsid w:val="00A55CA1"/>
    <w:rsid w:val="00A80D86"/>
    <w:rsid w:val="00A92E97"/>
    <w:rsid w:val="00AA126F"/>
    <w:rsid w:val="00AA2D69"/>
    <w:rsid w:val="00AA5B62"/>
    <w:rsid w:val="00AA7D45"/>
    <w:rsid w:val="00AD3FF8"/>
    <w:rsid w:val="00AE2510"/>
    <w:rsid w:val="00AE6DE1"/>
    <w:rsid w:val="00AF4B1B"/>
    <w:rsid w:val="00B013D9"/>
    <w:rsid w:val="00B03EA9"/>
    <w:rsid w:val="00B10D85"/>
    <w:rsid w:val="00B21FFF"/>
    <w:rsid w:val="00B235C0"/>
    <w:rsid w:val="00B24685"/>
    <w:rsid w:val="00B25A5E"/>
    <w:rsid w:val="00B3061B"/>
    <w:rsid w:val="00B50E00"/>
    <w:rsid w:val="00B61771"/>
    <w:rsid w:val="00B8070B"/>
    <w:rsid w:val="00B8568A"/>
    <w:rsid w:val="00BA709C"/>
    <w:rsid w:val="00BD0F19"/>
    <w:rsid w:val="00BD2436"/>
    <w:rsid w:val="00BD26B8"/>
    <w:rsid w:val="00BE56ED"/>
    <w:rsid w:val="00BE704E"/>
    <w:rsid w:val="00BF54F7"/>
    <w:rsid w:val="00C030D7"/>
    <w:rsid w:val="00C072F1"/>
    <w:rsid w:val="00C21AB4"/>
    <w:rsid w:val="00C238AC"/>
    <w:rsid w:val="00C4053A"/>
    <w:rsid w:val="00C41E8A"/>
    <w:rsid w:val="00C654F4"/>
    <w:rsid w:val="00C67B6F"/>
    <w:rsid w:val="00C80717"/>
    <w:rsid w:val="00C85FA4"/>
    <w:rsid w:val="00C86FFA"/>
    <w:rsid w:val="00CA0EC2"/>
    <w:rsid w:val="00CB5F79"/>
    <w:rsid w:val="00CC45D6"/>
    <w:rsid w:val="00CD0D8C"/>
    <w:rsid w:val="00D2237E"/>
    <w:rsid w:val="00D32935"/>
    <w:rsid w:val="00D45199"/>
    <w:rsid w:val="00D45C89"/>
    <w:rsid w:val="00D53357"/>
    <w:rsid w:val="00D537CC"/>
    <w:rsid w:val="00D935E7"/>
    <w:rsid w:val="00D97B51"/>
    <w:rsid w:val="00DA6A73"/>
    <w:rsid w:val="00DB2B1E"/>
    <w:rsid w:val="00DB4B86"/>
    <w:rsid w:val="00DB4FF7"/>
    <w:rsid w:val="00DB69D5"/>
    <w:rsid w:val="00DC5BC1"/>
    <w:rsid w:val="00DD2063"/>
    <w:rsid w:val="00DE3067"/>
    <w:rsid w:val="00DE7A50"/>
    <w:rsid w:val="00E068BA"/>
    <w:rsid w:val="00E14709"/>
    <w:rsid w:val="00E21D85"/>
    <w:rsid w:val="00E23231"/>
    <w:rsid w:val="00E452A2"/>
    <w:rsid w:val="00E4610D"/>
    <w:rsid w:val="00E56EE2"/>
    <w:rsid w:val="00E6292C"/>
    <w:rsid w:val="00E75F19"/>
    <w:rsid w:val="00E80749"/>
    <w:rsid w:val="00E97C5F"/>
    <w:rsid w:val="00EA6EE0"/>
    <w:rsid w:val="00EB226C"/>
    <w:rsid w:val="00EB572C"/>
    <w:rsid w:val="00EC5DAB"/>
    <w:rsid w:val="00ED15E4"/>
    <w:rsid w:val="00EF285C"/>
    <w:rsid w:val="00EF44C2"/>
    <w:rsid w:val="00EF6EE2"/>
    <w:rsid w:val="00EF7568"/>
    <w:rsid w:val="00F0270C"/>
    <w:rsid w:val="00F26196"/>
    <w:rsid w:val="00F46589"/>
    <w:rsid w:val="00F533A4"/>
    <w:rsid w:val="00F53AEF"/>
    <w:rsid w:val="00F61E1D"/>
    <w:rsid w:val="00F70988"/>
    <w:rsid w:val="00F859C1"/>
    <w:rsid w:val="00F872EC"/>
    <w:rsid w:val="00F87C12"/>
    <w:rsid w:val="00F91B2D"/>
    <w:rsid w:val="00F924C7"/>
    <w:rsid w:val="00FA5D6E"/>
    <w:rsid w:val="00FB1352"/>
    <w:rsid w:val="00FB42BC"/>
    <w:rsid w:val="00FE221D"/>
    <w:rsid w:val="00FE4309"/>
    <w:rsid w:val="00FF1E53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6ED8"/>
  <w15:chartTrackingRefBased/>
  <w15:docId w15:val="{CC0C6BFF-9FA3-4F85-A9D0-A74BE6FD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61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07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3AD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156F0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B57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57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57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57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572C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1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807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ett">
    <w:name w:val="Strong"/>
    <w:basedOn w:val="Absatz-Standardschriftart"/>
    <w:uiPriority w:val="22"/>
    <w:qFormat/>
    <w:rsid w:val="00C807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mikrosim.uni-trier.de/de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js\Desktop\Organisatorisches\Vorlagen\Briefkopf%20PM%202022_Kommunikation%20und%20Mark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PM 2022_Kommunikation und Marketing</Template>
  <TotalTime>0</TotalTime>
  <Pages>4</Pages>
  <Words>557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Thijs, Simon, Dr. phil.</dc:creator>
  <cp:keywords/>
  <dc:description/>
  <cp:lastModifiedBy>Hurka, Susanne</cp:lastModifiedBy>
  <cp:revision>2</cp:revision>
  <cp:lastPrinted>2025-01-06T09:49:00Z</cp:lastPrinted>
  <dcterms:created xsi:type="dcterms:W3CDTF">2026-06-15T07:49:00Z</dcterms:created>
  <dcterms:modified xsi:type="dcterms:W3CDTF">2026-06-15T07:49:00Z</dcterms:modified>
</cp:coreProperties>
</file>