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DD" w:rsidRPr="00BF24C8" w:rsidRDefault="002618DD" w:rsidP="002618DD">
      <w:pPr>
        <w:rPr>
          <w:rFonts w:ascii="Verdana" w:hAnsi="Verdana"/>
          <w:b/>
        </w:rPr>
      </w:pPr>
      <w:r>
        <w:rPr>
          <w:rFonts w:ascii="Verdana" w:hAnsi="Verdana"/>
          <w:b/>
        </w:rPr>
        <w:t xml:space="preserve">500 </w:t>
      </w:r>
      <w:r w:rsidR="004C5047">
        <w:rPr>
          <w:rFonts w:ascii="Verdana" w:hAnsi="Verdana"/>
          <w:b/>
        </w:rPr>
        <w:t xml:space="preserve">sjællandske </w:t>
      </w:r>
      <w:r>
        <w:rPr>
          <w:rFonts w:ascii="Verdana" w:hAnsi="Verdana"/>
          <w:b/>
        </w:rPr>
        <w:t>virksomheder har fået finansiering fra Vækstfonden</w:t>
      </w:r>
    </w:p>
    <w:p w:rsidR="002618DD" w:rsidRDefault="002618DD" w:rsidP="002618DD">
      <w:pPr>
        <w:rPr>
          <w:rFonts w:ascii="Verdana" w:hAnsi="Verdana"/>
          <w:sz w:val="20"/>
          <w:szCs w:val="20"/>
        </w:rPr>
      </w:pPr>
    </w:p>
    <w:p w:rsidR="002618DD" w:rsidRDefault="002618DD" w:rsidP="002618DD">
      <w:pPr>
        <w:rPr>
          <w:rFonts w:ascii="Verdana" w:hAnsi="Verdana"/>
          <w:sz w:val="20"/>
          <w:szCs w:val="20"/>
        </w:rPr>
      </w:pPr>
      <w:r>
        <w:rPr>
          <w:rFonts w:ascii="Verdana" w:hAnsi="Verdana"/>
          <w:sz w:val="20"/>
          <w:szCs w:val="20"/>
        </w:rPr>
        <w:t>Helt nye tal viser, at Vækstfonden siden 1992 har medfinansieret 471</w:t>
      </w:r>
      <w:r w:rsidRPr="00A14F16">
        <w:rPr>
          <w:rFonts w:ascii="Verdana" w:hAnsi="Verdana"/>
          <w:sz w:val="20"/>
          <w:szCs w:val="20"/>
        </w:rPr>
        <w:t xml:space="preserve"> vi</w:t>
      </w:r>
      <w:r>
        <w:rPr>
          <w:rFonts w:ascii="Verdana" w:hAnsi="Verdana"/>
          <w:sz w:val="20"/>
          <w:szCs w:val="20"/>
        </w:rPr>
        <w:t>rksomheder i Region Sjælland for et samlet lånebeløb på 737 mio. kr. Beregninger fra CBS viser, at hver gang Vækstfonden har finansieret virksomheder for 1 mio. kr., har vir</w:t>
      </w:r>
      <w:r w:rsidR="00C632B9">
        <w:rPr>
          <w:rFonts w:ascii="Verdana" w:hAnsi="Verdana"/>
          <w:sz w:val="20"/>
          <w:szCs w:val="20"/>
        </w:rPr>
        <w:t>ksomhederne i gennemsnit skabt tre</w:t>
      </w:r>
      <w:r>
        <w:rPr>
          <w:rFonts w:ascii="Verdana" w:hAnsi="Verdana"/>
          <w:sz w:val="20"/>
          <w:szCs w:val="20"/>
        </w:rPr>
        <w:t xml:space="preserve"> nye arbejds</w:t>
      </w:r>
      <w:r w:rsidR="00C632B9">
        <w:rPr>
          <w:rFonts w:ascii="Verdana" w:hAnsi="Verdana"/>
          <w:sz w:val="20"/>
          <w:szCs w:val="20"/>
        </w:rPr>
        <w:t>pladser over en 5-årig periode.</w:t>
      </w:r>
    </w:p>
    <w:p w:rsidR="002618DD" w:rsidRDefault="002618DD" w:rsidP="002618DD">
      <w:pPr>
        <w:rPr>
          <w:rFonts w:ascii="Verdana" w:hAnsi="Verdana"/>
          <w:sz w:val="20"/>
          <w:szCs w:val="20"/>
        </w:rPr>
      </w:pPr>
    </w:p>
    <w:p w:rsidR="002618DD" w:rsidRDefault="002618DD" w:rsidP="002618DD">
      <w:pPr>
        <w:rPr>
          <w:rFonts w:ascii="Verdana" w:hAnsi="Verdana"/>
          <w:sz w:val="20"/>
          <w:szCs w:val="20"/>
        </w:rPr>
      </w:pPr>
      <w:r w:rsidRPr="00706888">
        <w:rPr>
          <w:rFonts w:ascii="Verdana" w:hAnsi="Verdana"/>
          <w:b/>
          <w:sz w:val="20"/>
          <w:szCs w:val="20"/>
        </w:rPr>
        <w:t>Vækstfonden er rela</w:t>
      </w:r>
      <w:r w:rsidR="00C632B9">
        <w:rPr>
          <w:rFonts w:ascii="Verdana" w:hAnsi="Verdana"/>
          <w:b/>
          <w:sz w:val="20"/>
          <w:szCs w:val="20"/>
        </w:rPr>
        <w:t>tivt vel</w:t>
      </w:r>
      <w:r>
        <w:rPr>
          <w:rFonts w:ascii="Verdana" w:hAnsi="Verdana"/>
          <w:b/>
          <w:sz w:val="20"/>
          <w:szCs w:val="20"/>
        </w:rPr>
        <w:t xml:space="preserve">repræsenteret på Sjælland </w:t>
      </w:r>
    </w:p>
    <w:p w:rsidR="002618DD" w:rsidRDefault="004C5047" w:rsidP="002618DD">
      <w:pPr>
        <w:rPr>
          <w:rFonts w:ascii="Verdana" w:hAnsi="Verdana"/>
          <w:sz w:val="20"/>
          <w:szCs w:val="20"/>
        </w:rPr>
      </w:pPr>
      <w:r>
        <w:rPr>
          <w:rFonts w:ascii="Verdana" w:hAnsi="Verdana"/>
          <w:sz w:val="20"/>
          <w:szCs w:val="20"/>
        </w:rPr>
        <w:t>Region Sjælland står for 9</w:t>
      </w:r>
      <w:r w:rsidR="002618DD" w:rsidRPr="0008540C">
        <w:rPr>
          <w:rFonts w:ascii="Verdana" w:hAnsi="Verdana"/>
          <w:sz w:val="20"/>
          <w:szCs w:val="20"/>
        </w:rPr>
        <w:t xml:space="preserve"> pct. af det antal virksomheder, Vækstfonden har medfinansieret siden 1992. Til sammenligni</w:t>
      </w:r>
      <w:r w:rsidR="00C632B9">
        <w:rPr>
          <w:rFonts w:ascii="Verdana" w:hAnsi="Verdana"/>
          <w:sz w:val="20"/>
          <w:szCs w:val="20"/>
        </w:rPr>
        <w:t>ng står r</w:t>
      </w:r>
      <w:r>
        <w:rPr>
          <w:rFonts w:ascii="Verdana" w:hAnsi="Verdana"/>
          <w:sz w:val="20"/>
          <w:szCs w:val="20"/>
        </w:rPr>
        <w:t>egionen</w:t>
      </w:r>
      <w:r w:rsidR="002618DD">
        <w:rPr>
          <w:rFonts w:ascii="Verdana" w:hAnsi="Verdana"/>
          <w:sz w:val="20"/>
          <w:szCs w:val="20"/>
        </w:rPr>
        <w:t xml:space="preserve"> for </w:t>
      </w:r>
      <w:r>
        <w:rPr>
          <w:rFonts w:ascii="Verdana" w:hAnsi="Verdana"/>
          <w:sz w:val="20"/>
          <w:szCs w:val="20"/>
        </w:rPr>
        <w:t>10 pct. af BNP. Vækstfonden vil gerne hjælpe endnu flere</w:t>
      </w:r>
      <w:r w:rsidR="00C632B9">
        <w:rPr>
          <w:rFonts w:ascii="Verdana" w:hAnsi="Verdana"/>
          <w:sz w:val="20"/>
          <w:szCs w:val="20"/>
        </w:rPr>
        <w:t>.</w:t>
      </w:r>
    </w:p>
    <w:p w:rsidR="002618DD" w:rsidRPr="0008540C" w:rsidRDefault="002618DD" w:rsidP="002618DD">
      <w:pPr>
        <w:rPr>
          <w:rFonts w:ascii="Verdana" w:hAnsi="Verdana"/>
          <w:sz w:val="20"/>
          <w:szCs w:val="20"/>
        </w:rPr>
      </w:pPr>
    </w:p>
    <w:p w:rsidR="002618DD" w:rsidRDefault="002618DD" w:rsidP="002618DD">
      <w:pPr>
        <w:rPr>
          <w:rFonts w:ascii="Verdana" w:hAnsi="Verdana"/>
          <w:sz w:val="20"/>
          <w:szCs w:val="20"/>
        </w:rPr>
      </w:pPr>
    </w:p>
    <w:p w:rsidR="002618DD" w:rsidRPr="007516AF" w:rsidRDefault="002618DD" w:rsidP="002618DD">
      <w:pPr>
        <w:rPr>
          <w:rFonts w:ascii="Verdana" w:hAnsi="Verdana"/>
          <w:sz w:val="20"/>
          <w:szCs w:val="20"/>
        </w:rPr>
      </w:pPr>
      <w:r w:rsidRPr="007516AF">
        <w:rPr>
          <w:rFonts w:ascii="Verdana" w:hAnsi="Verdana"/>
          <w:sz w:val="20"/>
          <w:szCs w:val="20"/>
        </w:rPr>
        <w:t xml:space="preserve">REGIONAL FORDELING AF VÆKSTFONDENS AKTIVITET </w:t>
      </w:r>
      <w:r>
        <w:rPr>
          <w:rFonts w:ascii="Verdana" w:hAnsi="Verdana"/>
          <w:sz w:val="20"/>
          <w:szCs w:val="20"/>
        </w:rPr>
        <w:t>OG R</w:t>
      </w:r>
      <w:r w:rsidRPr="007516AF">
        <w:rPr>
          <w:rFonts w:ascii="Verdana" w:hAnsi="Verdana"/>
          <w:sz w:val="20"/>
          <w:szCs w:val="20"/>
        </w:rPr>
        <w:t>EGIONAL</w:t>
      </w:r>
      <w:r>
        <w:rPr>
          <w:rFonts w:ascii="Verdana" w:hAnsi="Verdana"/>
          <w:sz w:val="20"/>
          <w:szCs w:val="20"/>
        </w:rPr>
        <w:t>E</w:t>
      </w:r>
      <w:r w:rsidRPr="007516AF">
        <w:rPr>
          <w:rFonts w:ascii="Verdana" w:hAnsi="Verdana"/>
          <w:sz w:val="20"/>
          <w:szCs w:val="20"/>
        </w:rPr>
        <w:t xml:space="preserve"> TAL FOR BNP</w:t>
      </w:r>
    </w:p>
    <w:tbl>
      <w:tblPr>
        <w:tblW w:w="8017" w:type="dxa"/>
        <w:tblCellMar>
          <w:left w:w="0" w:type="dxa"/>
          <w:right w:w="0" w:type="dxa"/>
        </w:tblCellMar>
        <w:tblLook w:val="04A0" w:firstRow="1" w:lastRow="0" w:firstColumn="1" w:lastColumn="0" w:noHBand="0" w:noVBand="1"/>
      </w:tblPr>
      <w:tblGrid>
        <w:gridCol w:w="2351"/>
        <w:gridCol w:w="1623"/>
        <w:gridCol w:w="1648"/>
        <w:gridCol w:w="2395"/>
      </w:tblGrid>
      <w:tr w:rsidR="002618DD" w:rsidTr="00E06EE5">
        <w:trPr>
          <w:trHeight w:val="325"/>
        </w:trPr>
        <w:tc>
          <w:tcPr>
            <w:tcW w:w="2351" w:type="dxa"/>
            <w:tcBorders>
              <w:top w:val="single" w:sz="8" w:space="0" w:color="auto"/>
              <w:left w:val="nil"/>
              <w:bottom w:val="double" w:sz="6" w:space="0" w:color="auto"/>
              <w:right w:val="nil"/>
            </w:tcBorders>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 </w:t>
            </w:r>
          </w:p>
        </w:tc>
        <w:tc>
          <w:tcPr>
            <w:tcW w:w="1623" w:type="dxa"/>
            <w:tcBorders>
              <w:top w:val="single" w:sz="8" w:space="0" w:color="auto"/>
              <w:left w:val="nil"/>
              <w:bottom w:val="double" w:sz="6" w:space="0" w:color="auto"/>
              <w:right w:val="nil"/>
            </w:tcBorders>
            <w:noWrap/>
            <w:tcMar>
              <w:top w:w="0" w:type="dxa"/>
              <w:left w:w="70" w:type="dxa"/>
              <w:bottom w:w="0" w:type="dxa"/>
              <w:right w:w="70" w:type="dxa"/>
            </w:tcMar>
            <w:vAlign w:val="bottom"/>
            <w:hideMark/>
          </w:tcPr>
          <w:p w:rsidR="002618DD" w:rsidRDefault="002618DD" w:rsidP="00E06EE5">
            <w:pPr>
              <w:rPr>
                <w:b/>
                <w:bCs/>
                <w:color w:val="000000"/>
                <w:lang w:eastAsia="da-DK"/>
              </w:rPr>
            </w:pPr>
            <w:r>
              <w:rPr>
                <w:b/>
                <w:bCs/>
                <w:color w:val="000000"/>
                <w:lang w:eastAsia="da-DK"/>
              </w:rPr>
              <w:t>Antal VF virks.</w:t>
            </w:r>
          </w:p>
        </w:tc>
        <w:tc>
          <w:tcPr>
            <w:tcW w:w="1648" w:type="dxa"/>
            <w:tcBorders>
              <w:top w:val="single" w:sz="8" w:space="0" w:color="auto"/>
              <w:left w:val="nil"/>
              <w:bottom w:val="double" w:sz="6" w:space="0" w:color="auto"/>
              <w:right w:val="nil"/>
            </w:tcBorders>
            <w:noWrap/>
            <w:tcMar>
              <w:top w:w="0" w:type="dxa"/>
              <w:left w:w="70" w:type="dxa"/>
              <w:bottom w:w="0" w:type="dxa"/>
              <w:right w:w="70" w:type="dxa"/>
            </w:tcMar>
            <w:vAlign w:val="bottom"/>
            <w:hideMark/>
          </w:tcPr>
          <w:p w:rsidR="002618DD" w:rsidRDefault="002618DD" w:rsidP="00E06EE5">
            <w:pPr>
              <w:rPr>
                <w:b/>
                <w:bCs/>
                <w:color w:val="000000"/>
                <w:lang w:eastAsia="da-DK"/>
              </w:rPr>
            </w:pPr>
            <w:r>
              <w:rPr>
                <w:b/>
                <w:bCs/>
                <w:color w:val="000000"/>
                <w:lang w:eastAsia="da-DK"/>
              </w:rPr>
              <w:t>Andel VF virks.</w:t>
            </w:r>
          </w:p>
        </w:tc>
        <w:tc>
          <w:tcPr>
            <w:tcW w:w="2395" w:type="dxa"/>
            <w:tcBorders>
              <w:top w:val="single" w:sz="8" w:space="0" w:color="auto"/>
              <w:left w:val="nil"/>
              <w:bottom w:val="double" w:sz="6" w:space="0" w:color="auto"/>
              <w:right w:val="nil"/>
            </w:tcBorders>
            <w:noWrap/>
            <w:tcMar>
              <w:top w:w="0" w:type="dxa"/>
              <w:left w:w="70" w:type="dxa"/>
              <w:bottom w:w="0" w:type="dxa"/>
              <w:right w:w="70" w:type="dxa"/>
            </w:tcMar>
            <w:vAlign w:val="bottom"/>
            <w:hideMark/>
          </w:tcPr>
          <w:p w:rsidR="002618DD" w:rsidRDefault="00981D75" w:rsidP="00E06EE5">
            <w:pPr>
              <w:rPr>
                <w:b/>
                <w:bCs/>
                <w:color w:val="000000"/>
                <w:lang w:eastAsia="da-DK"/>
              </w:rPr>
            </w:pPr>
            <w:r>
              <w:rPr>
                <w:b/>
                <w:bCs/>
                <w:color w:val="000000"/>
                <w:lang w:eastAsia="da-DK"/>
              </w:rPr>
              <w:t xml:space="preserve">Regionens </w:t>
            </w:r>
            <w:r w:rsidR="002618DD">
              <w:rPr>
                <w:b/>
                <w:bCs/>
                <w:color w:val="000000"/>
                <w:lang w:eastAsia="da-DK"/>
              </w:rPr>
              <w:t>andel af BNP</w:t>
            </w:r>
          </w:p>
        </w:tc>
      </w:tr>
      <w:tr w:rsidR="002618DD" w:rsidTr="00E06EE5">
        <w:trPr>
          <w:trHeight w:val="325"/>
        </w:trPr>
        <w:tc>
          <w:tcPr>
            <w:tcW w:w="2351"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Region Hovedstaden</w:t>
            </w:r>
          </w:p>
        </w:tc>
        <w:tc>
          <w:tcPr>
            <w:tcW w:w="1623"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 xml:space="preserve">                   1.258 </w:t>
            </w:r>
          </w:p>
        </w:tc>
        <w:tc>
          <w:tcPr>
            <w:tcW w:w="1648"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25%</w:t>
            </w:r>
          </w:p>
        </w:tc>
        <w:tc>
          <w:tcPr>
            <w:tcW w:w="2395" w:type="dxa"/>
            <w:noWrap/>
            <w:tcMar>
              <w:top w:w="0" w:type="dxa"/>
              <w:left w:w="70" w:type="dxa"/>
              <w:bottom w:w="0" w:type="dxa"/>
              <w:right w:w="70" w:type="dxa"/>
            </w:tcMar>
            <w:vAlign w:val="bottom"/>
            <w:hideMark/>
          </w:tcPr>
          <w:p w:rsidR="002618DD" w:rsidRDefault="002618DD" w:rsidP="00E06EE5">
            <w:pPr>
              <w:jc w:val="right"/>
              <w:rPr>
                <w:color w:val="000000"/>
                <w:lang w:eastAsia="da-DK"/>
              </w:rPr>
            </w:pPr>
            <w:bookmarkStart w:id="0" w:name="_GoBack"/>
            <w:bookmarkEnd w:id="0"/>
            <w:r>
              <w:rPr>
                <w:color w:val="000000"/>
                <w:lang w:eastAsia="da-DK"/>
              </w:rPr>
              <w:t>38%</w:t>
            </w:r>
          </w:p>
        </w:tc>
      </w:tr>
      <w:tr w:rsidR="002618DD" w:rsidTr="00E06EE5">
        <w:trPr>
          <w:trHeight w:val="309"/>
        </w:trPr>
        <w:tc>
          <w:tcPr>
            <w:tcW w:w="2351"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Region Sjælland</w:t>
            </w:r>
          </w:p>
        </w:tc>
        <w:tc>
          <w:tcPr>
            <w:tcW w:w="1623"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 xml:space="preserve">                      471 </w:t>
            </w:r>
          </w:p>
        </w:tc>
        <w:tc>
          <w:tcPr>
            <w:tcW w:w="1648"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9%</w:t>
            </w:r>
          </w:p>
        </w:tc>
        <w:tc>
          <w:tcPr>
            <w:tcW w:w="2395"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10%</w:t>
            </w:r>
          </w:p>
        </w:tc>
      </w:tr>
      <w:tr w:rsidR="002618DD" w:rsidTr="00E06EE5">
        <w:trPr>
          <w:trHeight w:val="309"/>
        </w:trPr>
        <w:tc>
          <w:tcPr>
            <w:tcW w:w="2351"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Region Syddanmark</w:t>
            </w:r>
          </w:p>
        </w:tc>
        <w:tc>
          <w:tcPr>
            <w:tcW w:w="1623"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 xml:space="preserve">                   1.011 </w:t>
            </w:r>
          </w:p>
        </w:tc>
        <w:tc>
          <w:tcPr>
            <w:tcW w:w="1648"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20%</w:t>
            </w:r>
          </w:p>
        </w:tc>
        <w:tc>
          <w:tcPr>
            <w:tcW w:w="2395"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19%</w:t>
            </w:r>
          </w:p>
        </w:tc>
      </w:tr>
      <w:tr w:rsidR="002618DD" w:rsidTr="00E06EE5">
        <w:trPr>
          <w:trHeight w:val="309"/>
        </w:trPr>
        <w:tc>
          <w:tcPr>
            <w:tcW w:w="2351"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Region Midtjylland</w:t>
            </w:r>
          </w:p>
        </w:tc>
        <w:tc>
          <w:tcPr>
            <w:tcW w:w="1623"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 xml:space="preserve">                   1.222 </w:t>
            </w:r>
          </w:p>
        </w:tc>
        <w:tc>
          <w:tcPr>
            <w:tcW w:w="1648"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24%</w:t>
            </w:r>
          </w:p>
        </w:tc>
        <w:tc>
          <w:tcPr>
            <w:tcW w:w="2395"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20%</w:t>
            </w:r>
          </w:p>
        </w:tc>
      </w:tr>
      <w:tr w:rsidR="002618DD" w:rsidTr="00E06EE5">
        <w:trPr>
          <w:trHeight w:val="309"/>
        </w:trPr>
        <w:tc>
          <w:tcPr>
            <w:tcW w:w="2351"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Region Nordjylland</w:t>
            </w:r>
          </w:p>
        </w:tc>
        <w:tc>
          <w:tcPr>
            <w:tcW w:w="1623"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 xml:space="preserve">                   1.038 </w:t>
            </w:r>
          </w:p>
        </w:tc>
        <w:tc>
          <w:tcPr>
            <w:tcW w:w="1648"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21%</w:t>
            </w:r>
          </w:p>
        </w:tc>
        <w:tc>
          <w:tcPr>
            <w:tcW w:w="2395"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9%</w:t>
            </w:r>
          </w:p>
        </w:tc>
      </w:tr>
      <w:tr w:rsidR="002618DD" w:rsidTr="00E06EE5">
        <w:trPr>
          <w:trHeight w:val="309"/>
        </w:trPr>
        <w:tc>
          <w:tcPr>
            <w:tcW w:w="2351"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Uden for regioner</w:t>
            </w:r>
          </w:p>
        </w:tc>
        <w:tc>
          <w:tcPr>
            <w:tcW w:w="1623" w:type="dxa"/>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 xml:space="preserve">                          -   </w:t>
            </w:r>
          </w:p>
        </w:tc>
        <w:tc>
          <w:tcPr>
            <w:tcW w:w="1648"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0%</w:t>
            </w:r>
          </w:p>
        </w:tc>
        <w:tc>
          <w:tcPr>
            <w:tcW w:w="2395" w:type="dxa"/>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3%</w:t>
            </w:r>
          </w:p>
        </w:tc>
      </w:tr>
      <w:tr w:rsidR="002618DD" w:rsidTr="00E06EE5">
        <w:trPr>
          <w:trHeight w:val="325"/>
        </w:trPr>
        <w:tc>
          <w:tcPr>
            <w:tcW w:w="2351"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Hele landet</w:t>
            </w:r>
          </w:p>
        </w:tc>
        <w:tc>
          <w:tcPr>
            <w:tcW w:w="1623"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2618DD" w:rsidRDefault="002618DD" w:rsidP="00E06EE5">
            <w:pPr>
              <w:rPr>
                <w:color w:val="000000"/>
                <w:lang w:eastAsia="da-DK"/>
              </w:rPr>
            </w:pPr>
            <w:r>
              <w:rPr>
                <w:color w:val="000000"/>
                <w:lang w:eastAsia="da-DK"/>
              </w:rPr>
              <w:t xml:space="preserve">                   5.000 </w:t>
            </w:r>
          </w:p>
        </w:tc>
        <w:tc>
          <w:tcPr>
            <w:tcW w:w="1648"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100%</w:t>
            </w:r>
          </w:p>
        </w:tc>
        <w:tc>
          <w:tcPr>
            <w:tcW w:w="2395"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2618DD" w:rsidRDefault="002618DD" w:rsidP="00E06EE5">
            <w:pPr>
              <w:jc w:val="right"/>
              <w:rPr>
                <w:color w:val="000000"/>
                <w:lang w:eastAsia="da-DK"/>
              </w:rPr>
            </w:pPr>
            <w:r>
              <w:rPr>
                <w:color w:val="000000"/>
                <w:lang w:eastAsia="da-DK"/>
              </w:rPr>
              <w:t>100%</w:t>
            </w:r>
          </w:p>
        </w:tc>
      </w:tr>
    </w:tbl>
    <w:p w:rsidR="002618DD" w:rsidRPr="007516AF" w:rsidRDefault="002618DD" w:rsidP="002618DD">
      <w:pPr>
        <w:rPr>
          <w:rFonts w:ascii="Verdana" w:hAnsi="Verdana"/>
          <w:sz w:val="20"/>
          <w:szCs w:val="20"/>
        </w:rPr>
      </w:pPr>
    </w:p>
    <w:p w:rsidR="002618DD" w:rsidRDefault="002618DD" w:rsidP="002618DD">
      <w:pPr>
        <w:rPr>
          <w:rFonts w:ascii="Verdana" w:hAnsi="Verdana"/>
          <w:sz w:val="20"/>
          <w:szCs w:val="20"/>
          <w:highlight w:val="yellow"/>
        </w:rPr>
      </w:pPr>
    </w:p>
    <w:p w:rsidR="002618DD" w:rsidRPr="007516AF" w:rsidRDefault="002618DD" w:rsidP="002618DD">
      <w:pPr>
        <w:rPr>
          <w:rFonts w:ascii="Verdana" w:hAnsi="Verdana"/>
          <w:sz w:val="20"/>
          <w:szCs w:val="20"/>
        </w:rPr>
      </w:pPr>
      <w:r w:rsidRPr="007516AF">
        <w:rPr>
          <w:rFonts w:ascii="Verdana" w:hAnsi="Verdana"/>
          <w:sz w:val="20"/>
          <w:szCs w:val="20"/>
        </w:rPr>
        <w:t>VÆKS</w:t>
      </w:r>
      <w:r>
        <w:rPr>
          <w:rFonts w:ascii="Verdana" w:hAnsi="Verdana"/>
          <w:sz w:val="20"/>
          <w:szCs w:val="20"/>
        </w:rPr>
        <w:t>TFONDENS AKTIVITET I REGION SJÆLLAND</w:t>
      </w:r>
      <w:r w:rsidRPr="007516AF">
        <w:rPr>
          <w:rFonts w:ascii="Verdana" w:hAnsi="Verdana"/>
          <w:sz w:val="20"/>
          <w:szCs w:val="20"/>
        </w:rPr>
        <w:t xml:space="preserve"> FORDELT PÅ BRANCHER</w:t>
      </w:r>
    </w:p>
    <w:p w:rsidR="002618DD" w:rsidRDefault="002618DD" w:rsidP="002618DD">
      <w:pPr>
        <w:rPr>
          <w:rFonts w:ascii="Verdana" w:hAnsi="Verdana"/>
          <w:sz w:val="20"/>
          <w:szCs w:val="20"/>
        </w:rPr>
      </w:pPr>
      <w:r>
        <w:rPr>
          <w:noProof/>
          <w:lang w:eastAsia="da-DK"/>
        </w:rPr>
        <w:drawing>
          <wp:inline distT="0" distB="0" distL="0" distR="0" wp14:anchorId="00BF40F9" wp14:editId="35F3A32D">
            <wp:extent cx="5943600" cy="19812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18DD" w:rsidRDefault="002618DD" w:rsidP="002618DD">
      <w:pPr>
        <w:rPr>
          <w:rFonts w:ascii="Verdana" w:hAnsi="Verdana"/>
          <w:sz w:val="20"/>
          <w:szCs w:val="20"/>
        </w:rPr>
      </w:pPr>
    </w:p>
    <w:p w:rsidR="002618DD" w:rsidRDefault="002618DD" w:rsidP="002618DD">
      <w:pPr>
        <w:rPr>
          <w:rFonts w:ascii="Verdana" w:hAnsi="Verdana"/>
          <w:sz w:val="20"/>
          <w:szCs w:val="20"/>
        </w:rPr>
      </w:pPr>
      <w:r>
        <w:rPr>
          <w:rFonts w:ascii="Verdana" w:hAnsi="Verdana"/>
          <w:sz w:val="20"/>
          <w:szCs w:val="20"/>
        </w:rPr>
        <w:t>VÆKSTFONDENS AKTIVITET I REGION SJÆLLAND FORDELT PÅ FINANSIERINGSFORMÅL</w:t>
      </w:r>
    </w:p>
    <w:p w:rsidR="002618DD" w:rsidRDefault="002618DD" w:rsidP="002618DD">
      <w:pPr>
        <w:rPr>
          <w:rFonts w:ascii="Verdana" w:hAnsi="Verdana"/>
          <w:sz w:val="20"/>
          <w:szCs w:val="20"/>
        </w:rPr>
      </w:pPr>
      <w:r>
        <w:rPr>
          <w:noProof/>
          <w:lang w:eastAsia="da-DK"/>
        </w:rPr>
        <w:drawing>
          <wp:inline distT="0" distB="0" distL="0" distR="0" wp14:anchorId="2E9C0F51" wp14:editId="178F61B8">
            <wp:extent cx="5972175" cy="189547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18DD" w:rsidRDefault="002618DD" w:rsidP="002618DD">
      <w:pPr>
        <w:rPr>
          <w:rFonts w:ascii="Verdana" w:hAnsi="Verdana"/>
          <w:b/>
          <w:sz w:val="20"/>
          <w:szCs w:val="20"/>
        </w:rPr>
      </w:pPr>
    </w:p>
    <w:p w:rsidR="004C5047" w:rsidRDefault="004C5047" w:rsidP="002618DD">
      <w:pPr>
        <w:rPr>
          <w:rFonts w:ascii="Verdana" w:hAnsi="Verdana"/>
          <w:b/>
          <w:sz w:val="20"/>
          <w:szCs w:val="20"/>
        </w:rPr>
      </w:pPr>
      <w:r>
        <w:rPr>
          <w:rFonts w:ascii="Verdana" w:hAnsi="Verdana"/>
          <w:b/>
        </w:rPr>
        <w:t>Vækstfonden har 6 mia. kr. til små og mellemstore virksomheder</w:t>
      </w:r>
    </w:p>
    <w:p w:rsidR="004C5047" w:rsidRDefault="004C5047" w:rsidP="002618DD">
      <w:pPr>
        <w:rPr>
          <w:rFonts w:ascii="Verdana" w:hAnsi="Verdana"/>
          <w:b/>
          <w:sz w:val="20"/>
          <w:szCs w:val="20"/>
        </w:rPr>
      </w:pPr>
    </w:p>
    <w:p w:rsidR="002618DD" w:rsidRPr="005A3B2F" w:rsidRDefault="004C5047" w:rsidP="002618DD">
      <w:pPr>
        <w:rPr>
          <w:rFonts w:ascii="Verdana" w:hAnsi="Verdana"/>
          <w:b/>
          <w:sz w:val="20"/>
          <w:szCs w:val="20"/>
        </w:rPr>
      </w:pPr>
      <w:r>
        <w:rPr>
          <w:rFonts w:ascii="Verdana" w:hAnsi="Verdana"/>
          <w:b/>
          <w:sz w:val="20"/>
          <w:szCs w:val="20"/>
        </w:rPr>
        <w:t>G</w:t>
      </w:r>
      <w:r w:rsidR="002618DD">
        <w:rPr>
          <w:rFonts w:ascii="Verdana" w:hAnsi="Verdana"/>
          <w:b/>
          <w:sz w:val="20"/>
          <w:szCs w:val="20"/>
        </w:rPr>
        <w:t>ratis informationsmøde i Roskilde den 1</w:t>
      </w:r>
      <w:r w:rsidR="002618DD" w:rsidRPr="005A3B2F">
        <w:rPr>
          <w:rFonts w:ascii="Verdana" w:hAnsi="Verdana"/>
          <w:b/>
          <w:sz w:val="20"/>
          <w:szCs w:val="20"/>
        </w:rPr>
        <w:t>. oktober</w:t>
      </w:r>
    </w:p>
    <w:p w:rsidR="002618DD" w:rsidRDefault="002618DD" w:rsidP="002618DD">
      <w:pPr>
        <w:pStyle w:val="BasicParagraph"/>
        <w:rPr>
          <w:rFonts w:ascii="Verdana" w:hAnsi="Verdana"/>
          <w:sz w:val="20"/>
          <w:szCs w:val="20"/>
        </w:rPr>
      </w:pPr>
      <w:r>
        <w:rPr>
          <w:rFonts w:ascii="Verdana" w:hAnsi="Verdana"/>
          <w:sz w:val="20"/>
          <w:szCs w:val="20"/>
        </w:rPr>
        <w:t xml:space="preserve">Har du planer om at udvikle din virksomhed eller købe en ny, og kræver det mere finansiering, end din bank kan komme med? Så kan et lån eller en kaution fra Vækstfonden være løsningen. </w:t>
      </w:r>
    </w:p>
    <w:p w:rsidR="002618DD" w:rsidRDefault="002618DD" w:rsidP="002618DD">
      <w:pPr>
        <w:pStyle w:val="BasicParagraph"/>
        <w:rPr>
          <w:rFonts w:ascii="Verdana" w:hAnsi="Verdana"/>
          <w:sz w:val="20"/>
          <w:szCs w:val="20"/>
        </w:rPr>
      </w:pPr>
    </w:p>
    <w:p w:rsidR="002618DD" w:rsidRDefault="002618DD" w:rsidP="002618DD">
      <w:pPr>
        <w:pStyle w:val="BasicParagraph"/>
        <w:rPr>
          <w:rFonts w:ascii="Verdana" w:hAnsi="Verdana"/>
          <w:sz w:val="20"/>
          <w:szCs w:val="20"/>
        </w:rPr>
      </w:pPr>
      <w:r>
        <w:rPr>
          <w:rFonts w:ascii="Verdana" w:hAnsi="Verdana"/>
          <w:sz w:val="20"/>
          <w:szCs w:val="20"/>
        </w:rPr>
        <w:t xml:space="preserve">På mødet kan du høre mere om dine muligheder for at få finansiering og møde </w:t>
      </w:r>
      <w:r w:rsidR="00FE4EF9">
        <w:rPr>
          <w:rFonts w:ascii="Verdana" w:hAnsi="Verdana"/>
          <w:sz w:val="20"/>
          <w:szCs w:val="20"/>
          <w:shd w:val="clear" w:color="auto" w:fill="FFFFFF"/>
        </w:rPr>
        <w:t>CEO Søren</w:t>
      </w:r>
      <w:r w:rsidR="00C632B9">
        <w:rPr>
          <w:rFonts w:ascii="Verdana" w:hAnsi="Verdana"/>
          <w:sz w:val="20"/>
          <w:szCs w:val="20"/>
          <w:shd w:val="clear" w:color="auto" w:fill="FFFFFF"/>
        </w:rPr>
        <w:t xml:space="preserve"> Halskov Nissen fra Drivr samt k</w:t>
      </w:r>
      <w:r w:rsidR="00FE4EF9">
        <w:rPr>
          <w:rFonts w:ascii="Verdana" w:hAnsi="Verdana"/>
          <w:sz w:val="20"/>
          <w:szCs w:val="20"/>
          <w:shd w:val="clear" w:color="auto" w:fill="FFFFFF"/>
        </w:rPr>
        <w:t>reativ direktør Troels Seidenfaden og direktør Jonas Sverdrup-Jensen fra Seidenfaden Design Copenhagen</w:t>
      </w:r>
      <w:r>
        <w:rPr>
          <w:rFonts w:ascii="Verdana" w:hAnsi="Verdana"/>
          <w:sz w:val="20"/>
          <w:szCs w:val="20"/>
        </w:rPr>
        <w:t xml:space="preserve">, som allerede har fået </w:t>
      </w:r>
      <w:r w:rsidRPr="00DB4E07">
        <w:rPr>
          <w:rFonts w:ascii="Verdana" w:hAnsi="Verdana"/>
          <w:sz w:val="20"/>
          <w:szCs w:val="20"/>
        </w:rPr>
        <w:t>hjælp</w:t>
      </w:r>
      <w:r>
        <w:rPr>
          <w:rFonts w:ascii="Verdana" w:hAnsi="Verdana"/>
          <w:sz w:val="20"/>
          <w:szCs w:val="20"/>
        </w:rPr>
        <w:t xml:space="preserve"> fra Vækstfonden. </w:t>
      </w:r>
    </w:p>
    <w:p w:rsidR="002618DD" w:rsidRDefault="002618DD" w:rsidP="002618DD">
      <w:pPr>
        <w:pStyle w:val="BasicParagraph"/>
        <w:rPr>
          <w:rFonts w:ascii="Verdana" w:hAnsi="Verdana"/>
          <w:sz w:val="20"/>
          <w:szCs w:val="20"/>
        </w:rPr>
      </w:pPr>
    </w:p>
    <w:p w:rsidR="002618DD" w:rsidRDefault="0095646B" w:rsidP="002618DD">
      <w:pPr>
        <w:pStyle w:val="BasicParagraph"/>
        <w:rPr>
          <w:rFonts w:ascii="Verdana" w:hAnsi="Verdana"/>
          <w:sz w:val="20"/>
          <w:szCs w:val="20"/>
        </w:rPr>
      </w:pPr>
      <w:hyperlink r:id="rId9" w:history="1">
        <w:r w:rsidR="002618DD" w:rsidRPr="005521DA">
          <w:rPr>
            <w:rStyle w:val="Hyperlink"/>
            <w:rFonts w:ascii="Verdana" w:hAnsi="Verdana"/>
            <w:sz w:val="20"/>
            <w:szCs w:val="20"/>
          </w:rPr>
          <w:t>http://vf.dk/nyheder-og-analyser/nyheder/2014/20140917-regionale-informationsmoeder.aspx</w:t>
        </w:r>
      </w:hyperlink>
      <w:r w:rsidR="002618DD">
        <w:rPr>
          <w:rFonts w:ascii="Verdana" w:hAnsi="Verdana"/>
          <w:sz w:val="20"/>
          <w:szCs w:val="20"/>
        </w:rPr>
        <w:t xml:space="preserve"> </w:t>
      </w:r>
    </w:p>
    <w:p w:rsidR="002618DD" w:rsidRDefault="002618DD" w:rsidP="002618DD">
      <w:pPr>
        <w:pStyle w:val="BasicParagraph"/>
        <w:rPr>
          <w:rFonts w:ascii="Verdana" w:hAnsi="Verdana"/>
          <w:sz w:val="20"/>
          <w:szCs w:val="20"/>
        </w:rPr>
      </w:pPr>
    </w:p>
    <w:p w:rsidR="002618DD" w:rsidRPr="00BF24C8" w:rsidRDefault="002618DD" w:rsidP="002618DD">
      <w:pPr>
        <w:rPr>
          <w:rFonts w:ascii="Verdana" w:hAnsi="Verdana"/>
          <w:b/>
          <w:sz w:val="20"/>
          <w:szCs w:val="20"/>
        </w:rPr>
      </w:pPr>
      <w:r w:rsidRPr="00BF24C8">
        <w:rPr>
          <w:rFonts w:ascii="Verdana" w:hAnsi="Verdana"/>
          <w:b/>
          <w:sz w:val="20"/>
          <w:szCs w:val="20"/>
        </w:rPr>
        <w:t>Effekten af Vækstfondens aktiviteter</w:t>
      </w:r>
      <w:r>
        <w:rPr>
          <w:rFonts w:ascii="Verdana" w:hAnsi="Verdana"/>
          <w:b/>
          <w:sz w:val="20"/>
          <w:szCs w:val="20"/>
        </w:rPr>
        <w:t>: 6.600 arbejdspladser om året</w:t>
      </w:r>
    </w:p>
    <w:p w:rsidR="002618DD" w:rsidRDefault="002618DD" w:rsidP="002618DD">
      <w:pPr>
        <w:rPr>
          <w:rFonts w:ascii="Verdana" w:hAnsi="Verdana"/>
          <w:sz w:val="20"/>
          <w:szCs w:val="20"/>
        </w:rPr>
      </w:pPr>
      <w:r w:rsidRPr="00BF24C8">
        <w:rPr>
          <w:rFonts w:ascii="Verdana" w:hAnsi="Verdana"/>
          <w:sz w:val="20"/>
          <w:szCs w:val="20"/>
        </w:rPr>
        <w:t>Nye tal fra Vækstfonden viser, at årtiers finansiering af vækst i små og mellemstore virksomheder har en gavnlig effekt på samfundet. Resultatet er flere tusind nye arbejdspladser hvert år, en forøgelse af BNP og en forbedring af den offentlige saldo.</w:t>
      </w:r>
    </w:p>
    <w:p w:rsidR="002618DD" w:rsidRDefault="002618DD" w:rsidP="002618DD">
      <w:pPr>
        <w:rPr>
          <w:rFonts w:ascii="Verdana" w:hAnsi="Verdana"/>
          <w:sz w:val="20"/>
          <w:szCs w:val="20"/>
        </w:rPr>
      </w:pPr>
    </w:p>
    <w:p w:rsidR="002618DD" w:rsidRDefault="002618DD" w:rsidP="002618DD">
      <w:pPr>
        <w:rPr>
          <w:rFonts w:ascii="Verdana" w:hAnsi="Verdana"/>
          <w:sz w:val="20"/>
          <w:szCs w:val="20"/>
        </w:rPr>
      </w:pPr>
      <w:r>
        <w:rPr>
          <w:rFonts w:ascii="Verdana" w:hAnsi="Verdana"/>
          <w:sz w:val="20"/>
          <w:szCs w:val="20"/>
        </w:rPr>
        <w:t xml:space="preserve">Vækstfondens aftryk på den danske økonomi: </w:t>
      </w:r>
      <w:hyperlink r:id="rId10" w:history="1">
        <w:r w:rsidRPr="008664A0">
          <w:rPr>
            <w:rStyle w:val="Hyperlink"/>
            <w:rFonts w:ascii="Verdana" w:hAnsi="Verdana"/>
            <w:sz w:val="20"/>
            <w:szCs w:val="20"/>
          </w:rPr>
          <w:t>http://vf.dk/nyheder-og-analyser/temaer/vaekstfondens-aftryk-paa-samfundsokonomien.aspx</w:t>
        </w:r>
      </w:hyperlink>
      <w:r>
        <w:rPr>
          <w:rFonts w:ascii="Verdana" w:hAnsi="Verdana"/>
          <w:sz w:val="20"/>
          <w:szCs w:val="20"/>
        </w:rPr>
        <w:t xml:space="preserve"> </w:t>
      </w:r>
    </w:p>
    <w:p w:rsidR="002618DD" w:rsidRDefault="002618DD" w:rsidP="002618DD">
      <w:pPr>
        <w:rPr>
          <w:rFonts w:ascii="Verdana" w:hAnsi="Verdana"/>
          <w:sz w:val="20"/>
          <w:szCs w:val="20"/>
        </w:rPr>
      </w:pPr>
    </w:p>
    <w:p w:rsidR="002618DD" w:rsidRDefault="002618DD" w:rsidP="002618DD">
      <w:pPr>
        <w:rPr>
          <w:rFonts w:ascii="Verdana" w:hAnsi="Verdana"/>
          <w:sz w:val="20"/>
          <w:szCs w:val="20"/>
        </w:rPr>
      </w:pPr>
    </w:p>
    <w:p w:rsidR="002618DD" w:rsidRPr="008F3111" w:rsidRDefault="002618DD" w:rsidP="002618DD">
      <w:r w:rsidRPr="008F3111">
        <w:t xml:space="preserve"> </w:t>
      </w:r>
    </w:p>
    <w:p w:rsidR="00441E91" w:rsidRPr="008F3111" w:rsidRDefault="00441E91" w:rsidP="008F3111"/>
    <w:sectPr w:rsidR="00441E91" w:rsidRPr="008F3111" w:rsidSect="0014638A">
      <w:pgSz w:w="11906" w:h="16838" w:code="9"/>
      <w:pgMar w:top="1701" w:right="1134" w:bottom="1701" w:left="1134" w:header="709" w:footer="709" w:gutter="0"/>
      <w:paperSrc w:first="7" w:other="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DD" w:rsidRDefault="002618DD" w:rsidP="002618DD">
      <w:r>
        <w:separator/>
      </w:r>
    </w:p>
  </w:endnote>
  <w:endnote w:type="continuationSeparator" w:id="0">
    <w:p w:rsidR="002618DD" w:rsidRDefault="002618DD" w:rsidP="0026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DD" w:rsidRDefault="002618DD" w:rsidP="002618DD">
      <w:r>
        <w:separator/>
      </w:r>
    </w:p>
  </w:footnote>
  <w:footnote w:type="continuationSeparator" w:id="0">
    <w:p w:rsidR="002618DD" w:rsidRDefault="002618DD" w:rsidP="00261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4C34"/>
    <w:multiLevelType w:val="hybridMultilevel"/>
    <w:tmpl w:val="6152E8A4"/>
    <w:lvl w:ilvl="0" w:tplc="2EE8C89E">
      <w:start w:val="1"/>
      <w:numFmt w:val="bullet"/>
      <w:pStyle w:val="Listeafsnit"/>
      <w:lvlText w:val=""/>
      <w:lvlJc w:val="left"/>
      <w:pPr>
        <w:ind w:left="1797" w:hanging="360"/>
      </w:pPr>
      <w:rPr>
        <w:rFonts w:ascii="Symbol" w:hAnsi="Symbol" w:hint="default"/>
      </w:rPr>
    </w:lvl>
    <w:lvl w:ilvl="1" w:tplc="04060003" w:tentative="1">
      <w:start w:val="1"/>
      <w:numFmt w:val="bullet"/>
      <w:lvlText w:val="o"/>
      <w:lvlJc w:val="left"/>
      <w:pPr>
        <w:ind w:left="2517" w:hanging="360"/>
      </w:pPr>
      <w:rPr>
        <w:rFonts w:ascii="Courier New" w:hAnsi="Courier New" w:cs="Courier New" w:hint="default"/>
      </w:rPr>
    </w:lvl>
    <w:lvl w:ilvl="2" w:tplc="04060005" w:tentative="1">
      <w:start w:val="1"/>
      <w:numFmt w:val="bullet"/>
      <w:lvlText w:val=""/>
      <w:lvlJc w:val="left"/>
      <w:pPr>
        <w:ind w:left="3237" w:hanging="360"/>
      </w:pPr>
      <w:rPr>
        <w:rFonts w:ascii="Wingdings" w:hAnsi="Wingdings" w:hint="default"/>
      </w:rPr>
    </w:lvl>
    <w:lvl w:ilvl="3" w:tplc="04060001" w:tentative="1">
      <w:start w:val="1"/>
      <w:numFmt w:val="bullet"/>
      <w:lvlText w:val=""/>
      <w:lvlJc w:val="left"/>
      <w:pPr>
        <w:ind w:left="3957" w:hanging="360"/>
      </w:pPr>
      <w:rPr>
        <w:rFonts w:ascii="Symbol" w:hAnsi="Symbol" w:hint="default"/>
      </w:rPr>
    </w:lvl>
    <w:lvl w:ilvl="4" w:tplc="04060003" w:tentative="1">
      <w:start w:val="1"/>
      <w:numFmt w:val="bullet"/>
      <w:lvlText w:val="o"/>
      <w:lvlJc w:val="left"/>
      <w:pPr>
        <w:ind w:left="4677" w:hanging="360"/>
      </w:pPr>
      <w:rPr>
        <w:rFonts w:ascii="Courier New" w:hAnsi="Courier New" w:cs="Courier New" w:hint="default"/>
      </w:rPr>
    </w:lvl>
    <w:lvl w:ilvl="5" w:tplc="04060005" w:tentative="1">
      <w:start w:val="1"/>
      <w:numFmt w:val="bullet"/>
      <w:lvlText w:val=""/>
      <w:lvlJc w:val="left"/>
      <w:pPr>
        <w:ind w:left="5397" w:hanging="360"/>
      </w:pPr>
      <w:rPr>
        <w:rFonts w:ascii="Wingdings" w:hAnsi="Wingdings" w:hint="default"/>
      </w:rPr>
    </w:lvl>
    <w:lvl w:ilvl="6" w:tplc="04060001" w:tentative="1">
      <w:start w:val="1"/>
      <w:numFmt w:val="bullet"/>
      <w:lvlText w:val=""/>
      <w:lvlJc w:val="left"/>
      <w:pPr>
        <w:ind w:left="6117" w:hanging="360"/>
      </w:pPr>
      <w:rPr>
        <w:rFonts w:ascii="Symbol" w:hAnsi="Symbol" w:hint="default"/>
      </w:rPr>
    </w:lvl>
    <w:lvl w:ilvl="7" w:tplc="04060003" w:tentative="1">
      <w:start w:val="1"/>
      <w:numFmt w:val="bullet"/>
      <w:lvlText w:val="o"/>
      <w:lvlJc w:val="left"/>
      <w:pPr>
        <w:ind w:left="6837" w:hanging="360"/>
      </w:pPr>
      <w:rPr>
        <w:rFonts w:ascii="Courier New" w:hAnsi="Courier New" w:cs="Courier New" w:hint="default"/>
      </w:rPr>
    </w:lvl>
    <w:lvl w:ilvl="8" w:tplc="04060005" w:tentative="1">
      <w:start w:val="1"/>
      <w:numFmt w:val="bullet"/>
      <w:lvlText w:val=""/>
      <w:lvlJc w:val="left"/>
      <w:pPr>
        <w:ind w:left="7557" w:hanging="360"/>
      </w:pPr>
      <w:rPr>
        <w:rFonts w:ascii="Wingdings" w:hAnsi="Wingdings" w:hint="default"/>
      </w:rPr>
    </w:lvl>
  </w:abstractNum>
  <w:abstractNum w:abstractNumId="1">
    <w:nsid w:val="4E380EB6"/>
    <w:multiLevelType w:val="hybridMultilevel"/>
    <w:tmpl w:val="1DE09832"/>
    <w:lvl w:ilvl="0" w:tplc="E1D08DCA">
      <w:start w:val="1"/>
      <w:numFmt w:val="lowerRoman"/>
      <w:pStyle w:val="Indrykiii"/>
      <w:lvlText w:val="(%1)"/>
      <w:lvlJc w:val="left"/>
      <w:pPr>
        <w:tabs>
          <w:tab w:val="num" w:pos="1134"/>
        </w:tabs>
        <w:ind w:left="1134"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DD"/>
    <w:rsid w:val="00010992"/>
    <w:rsid w:val="000112C1"/>
    <w:rsid w:val="00063A28"/>
    <w:rsid w:val="0007404A"/>
    <w:rsid w:val="000C5BA8"/>
    <w:rsid w:val="0014638A"/>
    <w:rsid w:val="001857F8"/>
    <w:rsid w:val="001B3531"/>
    <w:rsid w:val="00206F54"/>
    <w:rsid w:val="00242851"/>
    <w:rsid w:val="002618DD"/>
    <w:rsid w:val="0028123D"/>
    <w:rsid w:val="002A0E37"/>
    <w:rsid w:val="003A4F6A"/>
    <w:rsid w:val="003D6186"/>
    <w:rsid w:val="00410948"/>
    <w:rsid w:val="00440716"/>
    <w:rsid w:val="00441E91"/>
    <w:rsid w:val="00450ACB"/>
    <w:rsid w:val="00464E0F"/>
    <w:rsid w:val="00474C23"/>
    <w:rsid w:val="004C5047"/>
    <w:rsid w:val="004D7E5A"/>
    <w:rsid w:val="00595391"/>
    <w:rsid w:val="005A1E99"/>
    <w:rsid w:val="0060401D"/>
    <w:rsid w:val="00703034"/>
    <w:rsid w:val="007B079C"/>
    <w:rsid w:val="007B103A"/>
    <w:rsid w:val="00870390"/>
    <w:rsid w:val="008A35C5"/>
    <w:rsid w:val="008D730A"/>
    <w:rsid w:val="008F3111"/>
    <w:rsid w:val="0090266E"/>
    <w:rsid w:val="00960985"/>
    <w:rsid w:val="009615B0"/>
    <w:rsid w:val="00966068"/>
    <w:rsid w:val="00981D75"/>
    <w:rsid w:val="009E0CE5"/>
    <w:rsid w:val="00A42327"/>
    <w:rsid w:val="00B911AE"/>
    <w:rsid w:val="00BE2DA9"/>
    <w:rsid w:val="00C10648"/>
    <w:rsid w:val="00C11150"/>
    <w:rsid w:val="00C22653"/>
    <w:rsid w:val="00C24C84"/>
    <w:rsid w:val="00C47474"/>
    <w:rsid w:val="00C632B9"/>
    <w:rsid w:val="00C67591"/>
    <w:rsid w:val="00C90388"/>
    <w:rsid w:val="00CE7A01"/>
    <w:rsid w:val="00DA02D1"/>
    <w:rsid w:val="00DB205A"/>
    <w:rsid w:val="00DD5D03"/>
    <w:rsid w:val="00DE1176"/>
    <w:rsid w:val="00F234F7"/>
    <w:rsid w:val="00F57BB3"/>
    <w:rsid w:val="00FE4EF9"/>
    <w:rsid w:val="00FF76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44B222-0100-4788-B377-3589810E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8DD"/>
    <w:rPr>
      <w:rFonts w:ascii="Calibri" w:eastAsiaTheme="minorHAnsi" w:hAnsi="Calibri"/>
      <w:sz w:val="22"/>
      <w:szCs w:val="22"/>
      <w:lang w:eastAsia="en-US"/>
    </w:rPr>
  </w:style>
  <w:style w:type="paragraph" w:styleId="Overskrift1">
    <w:name w:val="heading 1"/>
    <w:basedOn w:val="Normal"/>
    <w:next w:val="Normal"/>
    <w:autoRedefine/>
    <w:qFormat/>
    <w:rsid w:val="00441E91"/>
    <w:pPr>
      <w:keepNext/>
      <w:spacing w:before="240" w:after="60"/>
      <w:outlineLvl w:val="0"/>
    </w:pPr>
    <w:rPr>
      <w:caps/>
      <w:kern w:val="28"/>
      <w:sz w:val="24"/>
    </w:rPr>
  </w:style>
  <w:style w:type="paragraph" w:styleId="Overskrift2">
    <w:name w:val="heading 2"/>
    <w:basedOn w:val="Normal"/>
    <w:next w:val="Normal"/>
    <w:autoRedefine/>
    <w:qFormat/>
    <w:rsid w:val="00441E91"/>
    <w:pPr>
      <w:keepNext/>
      <w:spacing w:before="240" w:after="60"/>
      <w:outlineLvl w:val="1"/>
    </w:pPr>
    <w:rPr>
      <w:b/>
      <w:caps/>
    </w:rPr>
  </w:style>
  <w:style w:type="paragraph" w:styleId="Overskrift3">
    <w:name w:val="heading 3"/>
    <w:basedOn w:val="Normal"/>
    <w:next w:val="Normal"/>
    <w:autoRedefine/>
    <w:qFormat/>
    <w:rsid w:val="00441E91"/>
    <w:pPr>
      <w:keepNext/>
      <w:spacing w:before="240" w:after="60"/>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rykiii">
    <w:name w:val="Indryk (iii)"/>
    <w:basedOn w:val="Sidefod"/>
    <w:rsid w:val="00450ACB"/>
    <w:pPr>
      <w:numPr>
        <w:numId w:val="1"/>
      </w:numPr>
      <w:spacing w:after="240" w:line="300" w:lineRule="atLeast"/>
    </w:pPr>
    <w:rPr>
      <w:spacing w:val="2"/>
    </w:rPr>
  </w:style>
  <w:style w:type="paragraph" w:styleId="Sidefod">
    <w:name w:val="footer"/>
    <w:basedOn w:val="Normal"/>
    <w:rsid w:val="00450ACB"/>
    <w:pPr>
      <w:tabs>
        <w:tab w:val="center" w:pos="4819"/>
        <w:tab w:val="right" w:pos="9638"/>
      </w:tabs>
    </w:pPr>
  </w:style>
  <w:style w:type="paragraph" w:styleId="Titel">
    <w:name w:val="Title"/>
    <w:basedOn w:val="Normal"/>
    <w:next w:val="Normal"/>
    <w:link w:val="TitelTegn"/>
    <w:qFormat/>
    <w:rsid w:val="00441E91"/>
    <w:pPr>
      <w:spacing w:after="300"/>
      <w:contextualSpacing/>
    </w:pPr>
    <w:rPr>
      <w:rFonts w:eastAsiaTheme="majorEastAsia" w:cstheme="majorBidi"/>
      <w:caps/>
      <w:spacing w:val="5"/>
      <w:kern w:val="28"/>
      <w:sz w:val="24"/>
      <w:szCs w:val="52"/>
    </w:rPr>
  </w:style>
  <w:style w:type="character" w:customStyle="1" w:styleId="TitelTegn">
    <w:name w:val="Titel Tegn"/>
    <w:basedOn w:val="Standardskrifttypeiafsnit"/>
    <w:link w:val="Titel"/>
    <w:rsid w:val="00441E91"/>
    <w:rPr>
      <w:rFonts w:ascii="Verdana" w:eastAsiaTheme="majorEastAsia" w:hAnsi="Verdana" w:cstheme="majorBidi"/>
      <w:caps/>
      <w:spacing w:val="5"/>
      <w:kern w:val="28"/>
      <w:sz w:val="24"/>
      <w:szCs w:val="52"/>
    </w:rPr>
  </w:style>
  <w:style w:type="paragraph" w:styleId="Ingenafstand">
    <w:name w:val="No Spacing"/>
    <w:uiPriority w:val="1"/>
    <w:qFormat/>
    <w:rsid w:val="00441E91"/>
    <w:rPr>
      <w:rFonts w:ascii="Verdana" w:hAnsi="Verdana"/>
      <w:sz w:val="18"/>
    </w:rPr>
  </w:style>
  <w:style w:type="character" w:styleId="Svagfremhvning">
    <w:name w:val="Subtle Emphasis"/>
    <w:basedOn w:val="Standardskrifttypeiafsnit"/>
    <w:uiPriority w:val="19"/>
    <w:qFormat/>
    <w:rsid w:val="00441E91"/>
    <w:rPr>
      <w:rFonts w:ascii="Verdana" w:hAnsi="Verdana"/>
      <w:i/>
      <w:iCs/>
      <w:color w:val="808080" w:themeColor="text1" w:themeTint="7F"/>
      <w:sz w:val="18"/>
    </w:rPr>
  </w:style>
  <w:style w:type="paragraph" w:styleId="Listeafsnit">
    <w:name w:val="List Paragraph"/>
    <w:basedOn w:val="Normal"/>
    <w:uiPriority w:val="34"/>
    <w:qFormat/>
    <w:rsid w:val="00441E91"/>
    <w:pPr>
      <w:numPr>
        <w:numId w:val="2"/>
      </w:numPr>
      <w:spacing w:line="300" w:lineRule="atLeast"/>
      <w:contextualSpacing/>
    </w:pPr>
  </w:style>
  <w:style w:type="paragraph" w:styleId="Sidehoved">
    <w:name w:val="header"/>
    <w:basedOn w:val="Normal"/>
    <w:link w:val="SidehovedTegn"/>
    <w:unhideWhenUsed/>
    <w:rsid w:val="002618DD"/>
    <w:pPr>
      <w:tabs>
        <w:tab w:val="center" w:pos="4819"/>
        <w:tab w:val="right" w:pos="9638"/>
      </w:tabs>
    </w:pPr>
  </w:style>
  <w:style w:type="character" w:customStyle="1" w:styleId="SidehovedTegn">
    <w:name w:val="Sidehoved Tegn"/>
    <w:basedOn w:val="Standardskrifttypeiafsnit"/>
    <w:link w:val="Sidehoved"/>
    <w:rsid w:val="002618DD"/>
    <w:rPr>
      <w:rFonts w:ascii="Verdana" w:hAnsi="Verdana"/>
      <w:sz w:val="18"/>
    </w:rPr>
  </w:style>
  <w:style w:type="paragraph" w:customStyle="1" w:styleId="BasicParagraph">
    <w:name w:val="[Basic Paragraph]"/>
    <w:basedOn w:val="Normal"/>
    <w:uiPriority w:val="99"/>
    <w:rsid w:val="002618DD"/>
    <w:pPr>
      <w:autoSpaceDE w:val="0"/>
      <w:autoSpaceDN w:val="0"/>
      <w:spacing w:line="288" w:lineRule="auto"/>
    </w:pPr>
    <w:rPr>
      <w:rFonts w:ascii="Minion Pro" w:hAnsi="Minion Pro"/>
      <w:color w:val="000000"/>
      <w:sz w:val="24"/>
      <w:szCs w:val="24"/>
    </w:rPr>
  </w:style>
  <w:style w:type="character" w:styleId="Hyperlink">
    <w:name w:val="Hyperlink"/>
    <w:basedOn w:val="Standardskrifttypeiafsnit"/>
    <w:unhideWhenUsed/>
    <w:rsid w:val="00261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f.dk/nyheder-og-analyser/temaer/vaekstfondens-aftryk-paa-samfundsokonomien.aspx" TargetMode="External"/><Relationship Id="rId4" Type="http://schemas.openxmlformats.org/officeDocument/2006/relationships/webSettings" Target="webSettings.xml"/><Relationship Id="rId9" Type="http://schemas.openxmlformats.org/officeDocument/2006/relationships/hyperlink" Target="http://vf.dk/nyheder-og-analyser/nyheder/2014/20140917-regionale-informationsmoeder.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f-filesrv\userprofiles$\seb\home\Temanumre\Regionale%20tal\Kopi%20af%20Regioner%20og%20l&#229;neform&#229;l%20for%20LK%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f-filesrv\userprofiles$\seb\home\Temanumre\Regionale%20tal\Kopi%20af%20Regioner%20og%20l&#229;neform&#229;l%20for%20LK%20(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Region Sjælland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a-DK"/>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'Ark1'!$A$51:$A$55</c:f>
              <c:strCache>
                <c:ptCount val="5"/>
                <c:pt idx="0">
                  <c:v>Bygge og anlæg</c:v>
                </c:pt>
                <c:pt idx="1">
                  <c:v>Detail- og engroshandel</c:v>
                </c:pt>
                <c:pt idx="2">
                  <c:v>Forretningsservice og anden service</c:v>
                </c:pt>
                <c:pt idx="3">
                  <c:v>Fremstilling</c:v>
                </c:pt>
                <c:pt idx="4">
                  <c:v>Landbrug</c:v>
                </c:pt>
              </c:strCache>
            </c:strRef>
          </c:cat>
          <c:val>
            <c:numRef>
              <c:f>'Ark1'!$E$51:$E$55</c:f>
              <c:numCache>
                <c:formatCode>General</c:formatCode>
                <c:ptCount val="5"/>
                <c:pt idx="0">
                  <c:v>29</c:v>
                </c:pt>
                <c:pt idx="1">
                  <c:v>104</c:v>
                </c:pt>
                <c:pt idx="2">
                  <c:v>103</c:v>
                </c:pt>
                <c:pt idx="3">
                  <c:v>57</c:v>
                </c:pt>
                <c:pt idx="4">
                  <c:v>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Region Sjælland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a-DK"/>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'Ark1'!$A$60:$A$64</c:f>
              <c:strCache>
                <c:ptCount val="5"/>
                <c:pt idx="0">
                  <c:v>Driftfinansiering</c:v>
                </c:pt>
                <c:pt idx="1">
                  <c:v>Fornyelse og udvikling</c:v>
                </c:pt>
                <c:pt idx="2">
                  <c:v>Generations- og ejerskifte</c:v>
                </c:pt>
                <c:pt idx="3">
                  <c:v>Investeringer</c:v>
                </c:pt>
                <c:pt idx="4">
                  <c:v>Start af ny virksomhed</c:v>
                </c:pt>
              </c:strCache>
            </c:strRef>
          </c:cat>
          <c:val>
            <c:numRef>
              <c:f>'Ark1'!$E$60:$E$64</c:f>
              <c:numCache>
                <c:formatCode>General</c:formatCode>
                <c:ptCount val="5"/>
                <c:pt idx="0">
                  <c:v>50</c:v>
                </c:pt>
                <c:pt idx="1">
                  <c:v>52</c:v>
                </c:pt>
                <c:pt idx="2">
                  <c:v>110</c:v>
                </c:pt>
                <c:pt idx="3">
                  <c:v>47</c:v>
                </c:pt>
                <c:pt idx="4">
                  <c:v>88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8EB081B1</Template>
  <TotalTime>1</TotalTime>
  <Pages>2</Pages>
  <Words>314</Words>
  <Characters>2294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Emilie Boas</dc:creator>
  <cp:keywords/>
  <dc:description/>
  <cp:lastModifiedBy>Peter Bruun</cp:lastModifiedBy>
  <cp:revision>2</cp:revision>
  <dcterms:created xsi:type="dcterms:W3CDTF">2014-09-25T11:25:00Z</dcterms:created>
  <dcterms:modified xsi:type="dcterms:W3CDTF">2014-09-25T11:25:00Z</dcterms:modified>
</cp:coreProperties>
</file>