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CB3" w:rsidRPr="00C350CA" w:rsidRDefault="00EF4790" w:rsidP="002F5612">
      <w:pPr>
        <w:rPr>
          <w:b/>
        </w:rPr>
      </w:pPr>
      <w:bookmarkStart w:id="0" w:name="marker"/>
      <w:bookmarkEnd w:id="0"/>
      <w:r w:rsidRPr="00C350CA">
        <w:rPr>
          <w:b/>
        </w:rPr>
        <w:t>EU-domstolen underkänner de svenska reglerna om ränteavdragsbegränsningar</w:t>
      </w:r>
    </w:p>
    <w:p w:rsidR="00EF4790" w:rsidRDefault="00EF4790" w:rsidP="002F5612"/>
    <w:p w:rsidR="00EF4790" w:rsidRDefault="00EF4790" w:rsidP="002F5612">
      <w:r>
        <w:t xml:space="preserve">EU-domstolen har den 20 januari 2021 meddelat dom i målet C-484/19, </w:t>
      </w:r>
      <w:proofErr w:type="spellStart"/>
      <w:r>
        <w:t>Lexel</w:t>
      </w:r>
      <w:proofErr w:type="spellEnd"/>
      <w:r>
        <w:t xml:space="preserve"> AB. I avgörandet meddelar EU-domstolen att de</w:t>
      </w:r>
      <w:r w:rsidR="00B34C11">
        <w:t>t</w:t>
      </w:r>
      <w:r>
        <w:t xml:space="preserve"> s.k. undantag</w:t>
      </w:r>
      <w:r w:rsidR="00B34C11">
        <w:t>et från 10-procentsregeln</w:t>
      </w:r>
      <w:r>
        <w:t xml:space="preserve"> (numera upphävd</w:t>
      </w:r>
      <w:r w:rsidR="00B703BE">
        <w:t>a</w:t>
      </w:r>
      <w:r>
        <w:t xml:space="preserve">, 24 kap. 10 d § </w:t>
      </w:r>
      <w:r w:rsidR="00B34C11">
        <w:t xml:space="preserve">tredje </w:t>
      </w:r>
      <w:r w:rsidR="00106578">
        <w:t xml:space="preserve">stycket </w:t>
      </w:r>
      <w:r>
        <w:t>inkomstskattelagen</w:t>
      </w:r>
      <w:r w:rsidR="00B34C11">
        <w:t>, nedan kallad ”undantagsregeln”</w:t>
      </w:r>
      <w:r>
        <w:t xml:space="preserve">) i de svenska reglerna om ränteavdragsbegränsningar strider mot etableringsfriheten i artikel 49 FEUF. Avgörandet innebär att bolag som tidigare vägrats avdrag för räntekostnader enligt undantagsregeln kan komma att ha rätt till avdrag vid ett omprövningsförfarande eller resning. </w:t>
      </w:r>
    </w:p>
    <w:p w:rsidR="00C350CA" w:rsidRDefault="00C350CA" w:rsidP="002F5612"/>
    <w:p w:rsidR="00C350CA" w:rsidRPr="00C350CA" w:rsidRDefault="007F715E" w:rsidP="002F5612">
      <w:pPr>
        <w:rPr>
          <w:u w:val="single"/>
        </w:rPr>
      </w:pPr>
      <w:r w:rsidRPr="008E4DC3">
        <w:rPr>
          <w:b/>
          <w:u w:val="single"/>
        </w:rPr>
        <w:t>Målet som prövats</w:t>
      </w:r>
    </w:p>
    <w:p w:rsidR="00C350CA" w:rsidRDefault="00C350CA" w:rsidP="002F5612">
      <w:pPr>
        <w:rPr>
          <w:b/>
        </w:rPr>
      </w:pPr>
    </w:p>
    <w:p w:rsidR="00EA295D" w:rsidRDefault="00EA295D" w:rsidP="002F5612">
      <w:r>
        <w:t xml:space="preserve">Målet </w:t>
      </w:r>
      <w:r w:rsidR="00704F8C">
        <w:t>rörde ett svenskt dotterbolag</w:t>
      </w:r>
      <w:r w:rsidR="00CF7403">
        <w:t xml:space="preserve">, </w:t>
      </w:r>
      <w:proofErr w:type="spellStart"/>
      <w:r w:rsidR="00CF7403">
        <w:t>Lexel</w:t>
      </w:r>
      <w:proofErr w:type="spellEnd"/>
      <w:r w:rsidR="00CF7403">
        <w:t xml:space="preserve"> AB,</w:t>
      </w:r>
      <w:r w:rsidR="00704F8C">
        <w:t xml:space="preserve"> som ingick i en internationell koncern med ett franskt moderbolag. Det svenska dotterbolaget förvärvade under 2011 en andel av aktierna i ett bolag inom koncernen</w:t>
      </w:r>
      <w:r w:rsidR="00106578">
        <w:t>.</w:t>
      </w:r>
      <w:r w:rsidR="00704F8C">
        <w:t xml:space="preserve"> </w:t>
      </w:r>
      <w:r w:rsidR="00106578">
        <w:t>F</w:t>
      </w:r>
      <w:r w:rsidR="00704F8C">
        <w:t>ör att finansiera förvärvet tog det svenska dotterbolaget ett lån från ett annat bolag inom koncernen beläget i Frankrike. Under 2013 och 2014 erlade det svenska dotterbolaget ränta som uppgick till cirka 120 miljoner kronor. Ränteinkomsterna var skattepliktiga i det franska bolaget till en skattesats om 34,43 procent</w:t>
      </w:r>
      <w:r w:rsidR="00106578">
        <w:t>.</w:t>
      </w:r>
      <w:r w:rsidR="00704F8C">
        <w:t xml:space="preserve"> </w:t>
      </w:r>
      <w:r w:rsidR="00B34C11">
        <w:t>Någon faktisk beskattning</w:t>
      </w:r>
      <w:r w:rsidR="007F715E">
        <w:t xml:space="preserve"> av ränteinkomsten skedde däremot inte för mottagaren, eftersom </w:t>
      </w:r>
      <w:r w:rsidR="00704F8C">
        <w:t xml:space="preserve">det förelåg </w:t>
      </w:r>
      <w:r w:rsidR="00CF7403">
        <w:t>skattemässiga</w:t>
      </w:r>
      <w:r w:rsidR="00704F8C">
        <w:t xml:space="preserve"> underskott. </w:t>
      </w:r>
    </w:p>
    <w:p w:rsidR="00704F8C" w:rsidRDefault="00704F8C" w:rsidP="002F5612"/>
    <w:p w:rsidR="00704F8C" w:rsidRDefault="00704F8C" w:rsidP="002F5612">
      <w:r>
        <w:t xml:space="preserve">Skatteverket nekade det svenska dotterbolaget avdrag för räntekostnaderna med motiveringen att det huvudsakliga skälet till att skuldförhållandet uppkommit </w:t>
      </w:r>
      <w:r w:rsidR="00C34700">
        <w:t>var</w:t>
      </w:r>
      <w:r>
        <w:t xml:space="preserve"> för att få en väsentlig skatteförmån</w:t>
      </w:r>
      <w:r w:rsidR="002A7E62">
        <w:t xml:space="preserve">, dvs. genom tillämpning av undantagsregeln. Bolaget överklagade Skatteverkets beslut och anförde att undantagsregeln inte var förenlig med etableringsfriheten i artikel 49 FEUF. </w:t>
      </w:r>
    </w:p>
    <w:p w:rsidR="002A7E62" w:rsidRDefault="002A7E62" w:rsidP="002F5612"/>
    <w:p w:rsidR="002A7E62" w:rsidRDefault="002A7E62" w:rsidP="002F5612">
      <w:r>
        <w:t xml:space="preserve">Förvaltningsrätten instämde i </w:t>
      </w:r>
      <w:r w:rsidR="00FD3C64">
        <w:t>S</w:t>
      </w:r>
      <w:r>
        <w:t xml:space="preserve">katteverkets bedömning om att räntekostnaderna inte var avdragsgilla med hänsyn till undantagsregeln. </w:t>
      </w:r>
    </w:p>
    <w:p w:rsidR="002A7E62" w:rsidRDefault="002A7E62" w:rsidP="002F5612"/>
    <w:p w:rsidR="008A7202" w:rsidRDefault="002A7E62" w:rsidP="002F5612">
      <w:r>
        <w:t xml:space="preserve">Målet överklagades till kammarrätten som fann att undantagsregeln utgjorde en inskränkning i etableringsfriheten men att inskränkningen kunde motiveras eftersom den motverkade skatteflykt och var ändamålsenlig för att säkerhetsställa en välavvägd fördelning av beskattningsrätten mellan medlemsstaterna. </w:t>
      </w:r>
    </w:p>
    <w:p w:rsidR="008A7202" w:rsidRDefault="008A7202" w:rsidP="002F5612"/>
    <w:p w:rsidR="008A7202" w:rsidRDefault="008A7202" w:rsidP="002F5612">
      <w:r>
        <w:t xml:space="preserve">Högsta förvaltningsdomstolen meddelade prövningstillstånd i målet och beslutade i oktober 2018 att inhämta ett förhandsavgörande från EU-domstolen. </w:t>
      </w:r>
    </w:p>
    <w:p w:rsidR="008A7202" w:rsidRDefault="008A7202" w:rsidP="002F5612"/>
    <w:p w:rsidR="00106578" w:rsidRDefault="008A7202" w:rsidP="002F5612">
      <w:r>
        <w:t xml:space="preserve">EU-domstolen fann att undantagsregeln innebar en inskränkning i etableringsfriheten i artikel 49 FEUF då bolaget skulle haft rätt till avdrag för räntekostnaderna om mottagaren hade haft hemvist i Sverige på grund av att det då skulle förelegat koncernbidragsrätt mellan bolagen. </w:t>
      </w:r>
      <w:r w:rsidR="007F715E">
        <w:t xml:space="preserve">Koncernbidragsrätt kan dock aldrig aktualiseras i förhållande till utländska koncernbolag, utan endast mellan svenska. </w:t>
      </w:r>
    </w:p>
    <w:p w:rsidR="00106578" w:rsidRDefault="00106578" w:rsidP="002F5612"/>
    <w:p w:rsidR="002A7E62" w:rsidRDefault="008A7202" w:rsidP="002F5612">
      <w:r>
        <w:lastRenderedPageBreak/>
        <w:t xml:space="preserve">EU-domstolen </w:t>
      </w:r>
      <w:r w:rsidR="00CF7403">
        <w:t>prövade</w:t>
      </w:r>
      <w:r>
        <w:t xml:space="preserve"> </w:t>
      </w:r>
      <w:r w:rsidR="007F715E">
        <w:t xml:space="preserve">härefter </w:t>
      </w:r>
      <w:r>
        <w:t xml:space="preserve">om skillnaden i behandling kunde motiveras av tvingande skäl av allmänintresse, närmare bestämt om inskränkningen kunde motiveras </w:t>
      </w:r>
      <w:r w:rsidR="00CF7403">
        <w:t xml:space="preserve">(i) </w:t>
      </w:r>
      <w:r>
        <w:t>med intresset av att bekämpa skatteundandragande och skatteflykt</w:t>
      </w:r>
      <w:r w:rsidR="00CF7403">
        <w:t>,</w:t>
      </w:r>
      <w:r>
        <w:t xml:space="preserve"> (ii) för säkerställandet av en välavvägd </w:t>
      </w:r>
      <w:r w:rsidR="00CF7403">
        <w:t>fördelning av beskattningsrätten mellan medlemsstaterna samt (iii) med ett gemensamt beaktande av behovet av att bekämpa skatteundandragande och skatteflykt och behovet av att säkerställa en välavvägd fördelning av beskattningsrätten mellan medlemsstaterna.</w:t>
      </w:r>
      <w:r w:rsidR="00106578">
        <w:t xml:space="preserve"> </w:t>
      </w:r>
      <w:r w:rsidR="00C350CA">
        <w:t>EU-domstolen fann att ingen av ovannämnda befrielsegrunder k</w:t>
      </w:r>
      <w:r w:rsidR="00106578">
        <w:t>unde</w:t>
      </w:r>
      <w:r w:rsidR="00C350CA">
        <w:t xml:space="preserve"> godtas som motivering för inskränkningen. Undantagsregeln </w:t>
      </w:r>
      <w:r w:rsidR="00536465">
        <w:t>bedömdes</w:t>
      </w:r>
      <w:r w:rsidR="00C350CA">
        <w:t xml:space="preserve"> således </w:t>
      </w:r>
      <w:r w:rsidR="00536465">
        <w:t xml:space="preserve">som </w:t>
      </w:r>
      <w:r w:rsidR="00C350CA">
        <w:t>i</w:t>
      </w:r>
      <w:r w:rsidR="00536465">
        <w:t>cke</w:t>
      </w:r>
      <w:r w:rsidR="00C350CA">
        <w:t xml:space="preserve"> förenlig </w:t>
      </w:r>
      <w:r w:rsidR="00FD3C64">
        <w:t xml:space="preserve">med </w:t>
      </w:r>
      <w:r w:rsidR="00C350CA">
        <w:t xml:space="preserve">etableringsfriheten i artikel 49 FEUF. </w:t>
      </w:r>
      <w:r w:rsidR="00CF7403">
        <w:t xml:space="preserve"> </w:t>
      </w:r>
      <w:r>
        <w:t xml:space="preserve"> </w:t>
      </w:r>
    </w:p>
    <w:p w:rsidR="00CF7403" w:rsidRDefault="00CF7403" w:rsidP="002F5612"/>
    <w:p w:rsidR="00CF7403" w:rsidRDefault="00C350CA" w:rsidP="002F5612">
      <w:pPr>
        <w:rPr>
          <w:u w:val="single"/>
        </w:rPr>
      </w:pPr>
      <w:r>
        <w:rPr>
          <w:u w:val="single"/>
        </w:rPr>
        <w:t xml:space="preserve">Vad händer nu? </w:t>
      </w:r>
    </w:p>
    <w:p w:rsidR="00106578" w:rsidRPr="00C350CA" w:rsidRDefault="007F715E" w:rsidP="00106578">
      <w:r w:rsidRPr="008E4DC3">
        <w:t xml:space="preserve">EU-domstolens dom får anses vara en av de större nyheterna på det skatterättsliga området på länge, även om lagen som underkänts har upphört att gälla. </w:t>
      </w:r>
      <w:r>
        <w:t>R</w:t>
      </w:r>
      <w:r w:rsidR="00106578">
        <w:t>änteavdragsbegränsningsreglerna</w:t>
      </w:r>
      <w:r>
        <w:t xml:space="preserve"> som berörs av domen</w:t>
      </w:r>
      <w:r w:rsidR="00106578">
        <w:t xml:space="preserve"> infördes den 1 januari 2013 och upphävdes den 1 januari 2019.</w:t>
      </w:r>
      <w:r>
        <w:t xml:space="preserve"> Det föreligger dock ännu möjlighet till om</w:t>
      </w:r>
      <w:r w:rsidR="00106578">
        <w:t>prövning</w:t>
      </w:r>
      <w:r w:rsidR="00C34700">
        <w:t xml:space="preserve"> av beskattningen</w:t>
      </w:r>
      <w:r>
        <w:t>, vilket kan begäras</w:t>
      </w:r>
      <w:r w:rsidR="00106578">
        <w:t xml:space="preserve"> sex år tillbaka i tiden</w:t>
      </w:r>
      <w:r>
        <w:t xml:space="preserve">. Det är därför möjligt att med det ordinarie omprövningsförfarandet begära </w:t>
      </w:r>
      <w:r w:rsidR="00106578">
        <w:t>omprövning</w:t>
      </w:r>
      <w:r w:rsidR="00536465">
        <w:t xml:space="preserve"> för beskattningsåren </w:t>
      </w:r>
      <w:proofErr w:type="gramStart"/>
      <w:r w:rsidR="00536465">
        <w:t>2015-2018</w:t>
      </w:r>
      <w:proofErr w:type="gramEnd"/>
      <w:r w:rsidR="00536465">
        <w:t xml:space="preserve"> med anledning av EU-domstolens dom. </w:t>
      </w:r>
    </w:p>
    <w:p w:rsidR="00106578" w:rsidRDefault="00106578" w:rsidP="002F5612"/>
    <w:p w:rsidR="0027378D" w:rsidRDefault="007F715E" w:rsidP="002F5612">
      <w:r>
        <w:t xml:space="preserve">Härigenom öppnas en möjlighet för bolag </w:t>
      </w:r>
      <w:r w:rsidR="00C350CA">
        <w:t xml:space="preserve">som </w:t>
      </w:r>
      <w:r>
        <w:t xml:space="preserve">antingen </w:t>
      </w:r>
      <w:r w:rsidR="00C350CA">
        <w:t xml:space="preserve">har </w:t>
      </w:r>
      <w:r>
        <w:t>för</w:t>
      </w:r>
      <w:r w:rsidR="00C350CA">
        <w:t>vägrats</w:t>
      </w:r>
      <w:r>
        <w:t>,</w:t>
      </w:r>
      <w:r w:rsidR="00C350CA">
        <w:t xml:space="preserve"> eller valt att inte </w:t>
      </w:r>
      <w:r>
        <w:t>yrka</w:t>
      </w:r>
      <w:r w:rsidR="00C350CA">
        <w:t xml:space="preserve"> avdrag för räntekostnader till utländska koncernbolag</w:t>
      </w:r>
      <w:r w:rsidR="00106578">
        <w:t xml:space="preserve"> inom EU</w:t>
      </w:r>
      <w:r w:rsidR="00536465">
        <w:t>/EES</w:t>
      </w:r>
      <w:r>
        <w:t xml:space="preserve"> att i efterhand </w:t>
      </w:r>
      <w:r w:rsidR="00C350CA">
        <w:t xml:space="preserve">återfå </w:t>
      </w:r>
      <w:r w:rsidR="00106578">
        <w:t>skatt</w:t>
      </w:r>
      <w:r>
        <w:t>ekostnaden som varit</w:t>
      </w:r>
      <w:r w:rsidR="00106578">
        <w:t xml:space="preserve"> hänförlig till räntekostnaderna</w:t>
      </w:r>
      <w:r w:rsidR="00C350CA">
        <w:t>.</w:t>
      </w:r>
      <w:r w:rsidR="0027378D">
        <w:t xml:space="preserve"> </w:t>
      </w:r>
    </w:p>
    <w:p w:rsidR="007F715E" w:rsidRDefault="007F715E" w:rsidP="002F5612"/>
    <w:p w:rsidR="007F715E" w:rsidRDefault="007F715E" w:rsidP="002F5612">
      <w:r>
        <w:t xml:space="preserve">Vi på Wistrand Advokatbyrå är gärna behjälpliga med allmänna frågor i anledning av detta eller </w:t>
      </w:r>
      <w:r w:rsidR="00D631FE">
        <w:t xml:space="preserve">med omprövningar. </w:t>
      </w:r>
      <w:r>
        <w:t xml:space="preserve"> </w:t>
      </w:r>
    </w:p>
    <w:p w:rsidR="00484BC9" w:rsidRDefault="00484BC9" w:rsidP="002F5612"/>
    <w:p w:rsidR="00484BC9" w:rsidRDefault="00484BC9" w:rsidP="002F5612"/>
    <w:p w:rsidR="0027378D" w:rsidRDefault="0027378D" w:rsidP="002F5612"/>
    <w:p w:rsidR="00536465" w:rsidRDefault="00536465" w:rsidP="002F5612"/>
    <w:p w:rsidR="00536465" w:rsidRPr="00536465" w:rsidRDefault="00536465" w:rsidP="002F5612">
      <w:bookmarkStart w:id="1" w:name="_GoBack"/>
      <w:bookmarkEnd w:id="1"/>
    </w:p>
    <w:p w:rsidR="00106578" w:rsidRDefault="00106578" w:rsidP="002F5612"/>
    <w:p w:rsidR="00106578" w:rsidRPr="00C350CA" w:rsidRDefault="00106578"/>
    <w:sectPr w:rsidR="00106578" w:rsidRPr="00C350CA" w:rsidSect="00F95D51">
      <w:pgSz w:w="11906" w:h="16838" w:code="9"/>
      <w:pgMar w:top="1985" w:right="851" w:bottom="1985"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00E" w:rsidRDefault="00DF200E" w:rsidP="00565B39">
      <w:pPr>
        <w:spacing w:line="240" w:lineRule="auto"/>
      </w:pPr>
      <w:r>
        <w:separator/>
      </w:r>
    </w:p>
  </w:endnote>
  <w:endnote w:type="continuationSeparator" w:id="0">
    <w:p w:rsidR="00DF200E" w:rsidRDefault="00DF200E" w:rsidP="0056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00E" w:rsidRDefault="00DF200E" w:rsidP="00565B39">
      <w:pPr>
        <w:spacing w:line="240" w:lineRule="auto"/>
      </w:pPr>
      <w:r>
        <w:separator/>
      </w:r>
    </w:p>
  </w:footnote>
  <w:footnote w:type="continuationSeparator" w:id="0">
    <w:p w:rsidR="00DF200E" w:rsidRDefault="00DF200E" w:rsidP="00565B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7CCDB80"/>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1" w15:restartNumberingAfterBreak="0">
    <w:nsid w:val="FFFFFF83"/>
    <w:multiLevelType w:val="singleLevel"/>
    <w:tmpl w:val="99EC860C"/>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0D065BA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B12CC"/>
    <w:multiLevelType w:val="hybridMultilevel"/>
    <w:tmpl w:val="AFD0341A"/>
    <w:lvl w:ilvl="0" w:tplc="C130DB1A">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CFF237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DB4BB1"/>
    <w:multiLevelType w:val="multilevel"/>
    <w:tmpl w:val="91CA6DB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0E457FC"/>
    <w:multiLevelType w:val="multilevel"/>
    <w:tmpl w:val="18FCEA26"/>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0E92749"/>
    <w:multiLevelType w:val="multilevel"/>
    <w:tmpl w:val="20EC790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94202A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D241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F1E4F46"/>
    <w:multiLevelType w:val="multilevel"/>
    <w:tmpl w:val="192C35C8"/>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6DD03F7"/>
    <w:multiLevelType w:val="multilevel"/>
    <w:tmpl w:val="C062285E"/>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pStyle w:val="Rubrik8"/>
      <w:lvlText w:val="%1.%2.%3.%4.%5.%6.%7.%8"/>
      <w:lvlJc w:val="left"/>
      <w:pPr>
        <w:tabs>
          <w:tab w:val="num" w:pos="2574"/>
        </w:tabs>
        <w:ind w:left="2574" w:hanging="1440"/>
      </w:pPr>
      <w:rPr>
        <w:rFonts w:hint="default"/>
      </w:rPr>
    </w:lvl>
    <w:lvl w:ilvl="8">
      <w:start w:val="1"/>
      <w:numFmt w:val="decimal"/>
      <w:pStyle w:val="Rubrik9"/>
      <w:lvlText w:val="%1.%2.%3.%4.%5.%6.%7.%8.%9"/>
      <w:lvlJc w:val="left"/>
      <w:pPr>
        <w:tabs>
          <w:tab w:val="num" w:pos="2718"/>
        </w:tabs>
        <w:ind w:left="2718" w:hanging="1584"/>
      </w:pPr>
      <w:rPr>
        <w:rFonts w:hint="default"/>
      </w:rPr>
    </w:lvl>
  </w:abstractNum>
  <w:abstractNum w:abstractNumId="12" w15:restartNumberingAfterBreak="0">
    <w:nsid w:val="77304370"/>
    <w:multiLevelType w:val="multilevel"/>
    <w:tmpl w:val="F53A511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7B98402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E5F5E2D"/>
    <w:multiLevelType w:val="multilevel"/>
    <w:tmpl w:val="5CC8DC5A"/>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
  </w:num>
  <w:num w:numId="26">
    <w:abstractNumId w:val="1"/>
  </w:num>
  <w:num w:numId="27">
    <w:abstractNumId w:val="0"/>
  </w:num>
  <w:num w:numId="28">
    <w:abstractNumId w:val="0"/>
  </w:num>
  <w:num w:numId="29">
    <w:abstractNumId w:val="5"/>
  </w:num>
  <w:num w:numId="30">
    <w:abstractNumId w:val="3"/>
  </w:num>
  <w:num w:numId="31">
    <w:abstractNumId w:val="5"/>
  </w:num>
  <w:num w:numId="32">
    <w:abstractNumId w:val="5"/>
  </w:num>
  <w:num w:numId="33">
    <w:abstractNumId w:val="5"/>
  </w:num>
  <w:num w:numId="34">
    <w:abstractNumId w:val="11"/>
  </w:num>
  <w:num w:numId="35">
    <w:abstractNumId w:val="9"/>
  </w:num>
  <w:num w:numId="36">
    <w:abstractNumId w:val="4"/>
  </w:num>
  <w:num w:numId="37">
    <w:abstractNumId w:val="7"/>
  </w:num>
  <w:num w:numId="38">
    <w:abstractNumId w:val="14"/>
  </w:num>
  <w:num w:numId="39">
    <w:abstractNumId w:val="6"/>
  </w:num>
  <w:num w:numId="40">
    <w:abstractNumId w:val="10"/>
  </w:num>
  <w:num w:numId="41">
    <w:abstractNumId w:val="13"/>
  </w:num>
  <w:num w:numId="42">
    <w:abstractNumId w:val="2"/>
  </w:num>
  <w:num w:numId="43">
    <w:abstractNumId w:val="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90"/>
    <w:rsid w:val="00030415"/>
    <w:rsid w:val="000656D4"/>
    <w:rsid w:val="00082E77"/>
    <w:rsid w:val="000B7847"/>
    <w:rsid w:val="00106578"/>
    <w:rsid w:val="001670CC"/>
    <w:rsid w:val="00176E13"/>
    <w:rsid w:val="001872C6"/>
    <w:rsid w:val="001952D1"/>
    <w:rsid w:val="001B1212"/>
    <w:rsid w:val="002351CC"/>
    <w:rsid w:val="00265048"/>
    <w:rsid w:val="00267C2A"/>
    <w:rsid w:val="0027378D"/>
    <w:rsid w:val="002A7E62"/>
    <w:rsid w:val="002E5FFB"/>
    <w:rsid w:val="002F5612"/>
    <w:rsid w:val="00327EC2"/>
    <w:rsid w:val="003A1C45"/>
    <w:rsid w:val="003B7D1E"/>
    <w:rsid w:val="003C66AC"/>
    <w:rsid w:val="003D79B2"/>
    <w:rsid w:val="003E5536"/>
    <w:rsid w:val="00484BC9"/>
    <w:rsid w:val="004C4461"/>
    <w:rsid w:val="004E59C8"/>
    <w:rsid w:val="00520A8C"/>
    <w:rsid w:val="00536465"/>
    <w:rsid w:val="00565B39"/>
    <w:rsid w:val="00586803"/>
    <w:rsid w:val="00595CE2"/>
    <w:rsid w:val="005C2902"/>
    <w:rsid w:val="0060336C"/>
    <w:rsid w:val="006450F2"/>
    <w:rsid w:val="00704F8C"/>
    <w:rsid w:val="00762D5F"/>
    <w:rsid w:val="00786F94"/>
    <w:rsid w:val="007F715E"/>
    <w:rsid w:val="008A7202"/>
    <w:rsid w:val="008C4CB3"/>
    <w:rsid w:val="008E4DC3"/>
    <w:rsid w:val="009452F1"/>
    <w:rsid w:val="0095407B"/>
    <w:rsid w:val="00956162"/>
    <w:rsid w:val="0097031C"/>
    <w:rsid w:val="009B02A4"/>
    <w:rsid w:val="00A03FC5"/>
    <w:rsid w:val="00A334DA"/>
    <w:rsid w:val="00A70AD8"/>
    <w:rsid w:val="00A76AB7"/>
    <w:rsid w:val="00A8527E"/>
    <w:rsid w:val="00B34C11"/>
    <w:rsid w:val="00B703BE"/>
    <w:rsid w:val="00BE78AF"/>
    <w:rsid w:val="00C34700"/>
    <w:rsid w:val="00C350CA"/>
    <w:rsid w:val="00C6387D"/>
    <w:rsid w:val="00C81EB1"/>
    <w:rsid w:val="00CF7403"/>
    <w:rsid w:val="00D631FE"/>
    <w:rsid w:val="00D712EA"/>
    <w:rsid w:val="00D722F2"/>
    <w:rsid w:val="00DD2677"/>
    <w:rsid w:val="00DF0D83"/>
    <w:rsid w:val="00DF200E"/>
    <w:rsid w:val="00E33FB4"/>
    <w:rsid w:val="00EA295D"/>
    <w:rsid w:val="00EF4790"/>
    <w:rsid w:val="00F95D51"/>
    <w:rsid w:val="00F97C9D"/>
    <w:rsid w:val="00FD3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FA459-766D-4E23-94CD-C24AAA63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4CB3"/>
    <w:pPr>
      <w:spacing w:line="288" w:lineRule="auto"/>
    </w:pPr>
    <w:rPr>
      <w:rFonts w:ascii="Verdana" w:hAnsi="Verdana"/>
      <w:szCs w:val="24"/>
    </w:rPr>
  </w:style>
  <w:style w:type="paragraph" w:styleId="Rubrik1">
    <w:name w:val="heading 1"/>
    <w:next w:val="Normaltindrag"/>
    <w:qFormat/>
    <w:rsid w:val="008C4CB3"/>
    <w:pPr>
      <w:keepNext/>
      <w:numPr>
        <w:numId w:val="34"/>
      </w:numPr>
      <w:spacing w:before="360" w:after="120" w:line="288" w:lineRule="auto"/>
      <w:outlineLvl w:val="0"/>
    </w:pPr>
    <w:rPr>
      <w:rFonts w:ascii="Verdana" w:hAnsi="Verdana" w:cs="Arial"/>
      <w:b/>
      <w:bCs/>
      <w:smallCaps/>
      <w:kern w:val="32"/>
      <w:sz w:val="22"/>
      <w:szCs w:val="24"/>
    </w:rPr>
  </w:style>
  <w:style w:type="paragraph" w:styleId="Rubrik2">
    <w:name w:val="heading 2"/>
    <w:next w:val="Normaltindrag"/>
    <w:qFormat/>
    <w:rsid w:val="008C4CB3"/>
    <w:pPr>
      <w:keepNext/>
      <w:numPr>
        <w:ilvl w:val="1"/>
        <w:numId w:val="34"/>
      </w:numPr>
      <w:spacing w:before="240" w:after="120" w:line="288" w:lineRule="auto"/>
      <w:outlineLvl w:val="1"/>
    </w:pPr>
    <w:rPr>
      <w:rFonts w:ascii="Verdana" w:hAnsi="Verdana" w:cs="Arial"/>
      <w:b/>
      <w:bCs/>
      <w:iCs/>
      <w:szCs w:val="28"/>
    </w:rPr>
  </w:style>
  <w:style w:type="paragraph" w:styleId="Rubrik3">
    <w:name w:val="heading 3"/>
    <w:next w:val="Normaltindrag"/>
    <w:qFormat/>
    <w:rsid w:val="008C4CB3"/>
    <w:pPr>
      <w:keepNext/>
      <w:numPr>
        <w:ilvl w:val="2"/>
        <w:numId w:val="34"/>
      </w:numPr>
      <w:spacing w:before="240" w:after="120" w:line="288" w:lineRule="auto"/>
      <w:outlineLvl w:val="2"/>
    </w:pPr>
    <w:rPr>
      <w:rFonts w:ascii="Verdana" w:hAnsi="Verdana" w:cs="Arial"/>
      <w:b/>
      <w:bCs/>
      <w:i/>
      <w:szCs w:val="26"/>
    </w:rPr>
  </w:style>
  <w:style w:type="paragraph" w:styleId="Rubrik4">
    <w:name w:val="heading 4"/>
    <w:next w:val="Normaltindrag"/>
    <w:qFormat/>
    <w:rsid w:val="008C4CB3"/>
    <w:pPr>
      <w:keepNext/>
      <w:numPr>
        <w:ilvl w:val="3"/>
        <w:numId w:val="34"/>
      </w:numPr>
      <w:spacing w:before="240" w:after="120" w:line="288" w:lineRule="auto"/>
      <w:outlineLvl w:val="3"/>
    </w:pPr>
    <w:rPr>
      <w:rFonts w:ascii="Verdana" w:hAnsi="Verdana"/>
      <w:bCs/>
      <w:i/>
      <w:szCs w:val="28"/>
    </w:rPr>
  </w:style>
  <w:style w:type="paragraph" w:styleId="Rubrik5">
    <w:name w:val="heading 5"/>
    <w:next w:val="Normaltindrag"/>
    <w:qFormat/>
    <w:rsid w:val="008C4CB3"/>
    <w:pPr>
      <w:keepNext/>
      <w:numPr>
        <w:ilvl w:val="4"/>
        <w:numId w:val="34"/>
      </w:numPr>
      <w:spacing w:before="240" w:after="120" w:line="288" w:lineRule="auto"/>
      <w:outlineLvl w:val="4"/>
    </w:pPr>
    <w:rPr>
      <w:rFonts w:ascii="Verdana" w:hAnsi="Verdana"/>
      <w:bCs/>
      <w:iCs/>
      <w:szCs w:val="26"/>
    </w:rPr>
  </w:style>
  <w:style w:type="paragraph" w:styleId="Rubrik6">
    <w:name w:val="heading 6"/>
    <w:qFormat/>
    <w:rsid w:val="008C4CB3"/>
    <w:pPr>
      <w:numPr>
        <w:ilvl w:val="5"/>
        <w:numId w:val="34"/>
      </w:numPr>
      <w:spacing w:before="240" w:after="60" w:line="288" w:lineRule="auto"/>
      <w:outlineLvl w:val="5"/>
    </w:pPr>
    <w:rPr>
      <w:rFonts w:ascii="Verdana" w:hAnsi="Verdana"/>
      <w:bCs/>
      <w:szCs w:val="22"/>
    </w:rPr>
  </w:style>
  <w:style w:type="paragraph" w:styleId="Rubrik7">
    <w:name w:val="heading 7"/>
    <w:qFormat/>
    <w:rsid w:val="002F5612"/>
    <w:pPr>
      <w:numPr>
        <w:ilvl w:val="6"/>
        <w:numId w:val="34"/>
      </w:numPr>
      <w:spacing w:before="240" w:after="60" w:line="288" w:lineRule="auto"/>
      <w:outlineLvl w:val="6"/>
    </w:pPr>
    <w:rPr>
      <w:rFonts w:ascii="Verdana" w:hAnsi="Verdana"/>
      <w:szCs w:val="24"/>
    </w:rPr>
  </w:style>
  <w:style w:type="paragraph" w:styleId="Rubrik8">
    <w:name w:val="heading 8"/>
    <w:basedOn w:val="Normal"/>
    <w:next w:val="Normal"/>
    <w:rsid w:val="004E59C8"/>
    <w:pPr>
      <w:numPr>
        <w:ilvl w:val="7"/>
        <w:numId w:val="34"/>
      </w:numPr>
      <w:spacing w:before="240" w:after="60"/>
      <w:outlineLvl w:val="7"/>
    </w:pPr>
    <w:rPr>
      <w:i/>
      <w:iCs/>
    </w:rPr>
  </w:style>
  <w:style w:type="paragraph" w:styleId="Rubrik9">
    <w:name w:val="heading 9"/>
    <w:basedOn w:val="Normal"/>
    <w:next w:val="Normal"/>
    <w:rsid w:val="004E59C8"/>
    <w:pPr>
      <w:numPr>
        <w:ilvl w:val="8"/>
        <w:numId w:val="3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rsid w:val="004E59C8"/>
    <w:pPr>
      <w:jc w:val="center"/>
    </w:pPr>
    <w:rPr>
      <w:b/>
      <w:caps/>
      <w:sz w:val="32"/>
      <w:szCs w:val="32"/>
    </w:rPr>
  </w:style>
  <w:style w:type="paragraph" w:customStyle="1" w:styleId="Niv1-utanrubrik">
    <w:name w:val="Nivå 1 - utan rubrik"/>
    <w:basedOn w:val="Rubrik1"/>
    <w:next w:val="Normaltindrag"/>
    <w:qFormat/>
    <w:rsid w:val="002F5612"/>
    <w:pPr>
      <w:keepNext w:val="0"/>
      <w:spacing w:after="0"/>
    </w:pPr>
    <w:rPr>
      <w:b w:val="0"/>
      <w:smallCaps w:val="0"/>
      <w:sz w:val="20"/>
    </w:rPr>
  </w:style>
  <w:style w:type="paragraph" w:styleId="Normaltindrag">
    <w:name w:val="Normal Indent"/>
    <w:qFormat/>
    <w:rsid w:val="008C4CB3"/>
    <w:pPr>
      <w:spacing w:line="288" w:lineRule="auto"/>
      <w:ind w:left="1134"/>
    </w:pPr>
    <w:rPr>
      <w:rFonts w:ascii="Verdana" w:hAnsi="Verdana"/>
      <w:szCs w:val="24"/>
    </w:rPr>
  </w:style>
  <w:style w:type="paragraph" w:customStyle="1" w:styleId="Niv2-utanrubrik">
    <w:name w:val="Nivå 2 - utan rubrik"/>
    <w:basedOn w:val="Rubrik2"/>
    <w:next w:val="Normaltindrag"/>
    <w:qFormat/>
    <w:rsid w:val="004E59C8"/>
    <w:pPr>
      <w:keepNext w:val="0"/>
      <w:spacing w:after="0"/>
    </w:pPr>
    <w:rPr>
      <w:b w:val="0"/>
    </w:rPr>
  </w:style>
  <w:style w:type="paragraph" w:customStyle="1" w:styleId="Niv3-utanrubrik">
    <w:name w:val="Nivå 3 - utan rubrik"/>
    <w:basedOn w:val="Rubrik3"/>
    <w:next w:val="Normaltindrag"/>
    <w:qFormat/>
    <w:rsid w:val="004E59C8"/>
    <w:pPr>
      <w:keepNext w:val="0"/>
      <w:spacing w:after="0"/>
    </w:pPr>
    <w:rPr>
      <w:b w:val="0"/>
      <w:i w:val="0"/>
    </w:rPr>
  </w:style>
  <w:style w:type="paragraph" w:customStyle="1" w:styleId="Niv4-utanrubrik">
    <w:name w:val="Nivå 4 - utan rubrik"/>
    <w:basedOn w:val="Rubrik4"/>
    <w:next w:val="Normaltindrag"/>
    <w:qFormat/>
    <w:rsid w:val="004E59C8"/>
    <w:pPr>
      <w:keepNext w:val="0"/>
      <w:spacing w:after="0"/>
    </w:pPr>
    <w:rPr>
      <w:i w:val="0"/>
    </w:rPr>
  </w:style>
  <w:style w:type="paragraph" w:customStyle="1" w:styleId="Niv5-utanrubrik">
    <w:name w:val="Nivå 5 - utan rubrik"/>
    <w:basedOn w:val="Rubrik5"/>
    <w:next w:val="Normaltindrag"/>
    <w:qFormat/>
    <w:rsid w:val="004E59C8"/>
    <w:pPr>
      <w:keepNext w:val="0"/>
      <w:spacing w:after="0"/>
    </w:pPr>
  </w:style>
  <w:style w:type="paragraph" w:styleId="Ballongtext">
    <w:name w:val="Balloon Text"/>
    <w:basedOn w:val="Normal"/>
    <w:semiHidden/>
    <w:rsid w:val="004E59C8"/>
    <w:rPr>
      <w:rFonts w:ascii="Tahoma" w:hAnsi="Tahoma" w:cs="Tahoma"/>
      <w:sz w:val="16"/>
      <w:szCs w:val="16"/>
    </w:rPr>
  </w:style>
  <w:style w:type="paragraph" w:styleId="Beskrivning">
    <w:name w:val="caption"/>
    <w:basedOn w:val="Normal"/>
    <w:next w:val="Normal"/>
    <w:rsid w:val="004E59C8"/>
    <w:pPr>
      <w:spacing w:before="120" w:after="120"/>
    </w:pPr>
    <w:rPr>
      <w:b/>
      <w:bCs/>
      <w:szCs w:val="20"/>
    </w:rPr>
  </w:style>
  <w:style w:type="paragraph" w:styleId="Citatfrteckning">
    <w:name w:val="table of authorities"/>
    <w:basedOn w:val="Normal"/>
    <w:next w:val="Normal"/>
    <w:semiHidden/>
    <w:rsid w:val="004E59C8"/>
    <w:pPr>
      <w:ind w:left="240" w:hanging="240"/>
    </w:pPr>
  </w:style>
  <w:style w:type="paragraph" w:styleId="Citatfrteckningsrubrik">
    <w:name w:val="toa heading"/>
    <w:basedOn w:val="Normal"/>
    <w:next w:val="Normal"/>
    <w:semiHidden/>
    <w:rsid w:val="004E59C8"/>
    <w:pPr>
      <w:spacing w:before="120"/>
    </w:pPr>
    <w:rPr>
      <w:rFonts w:ascii="Arial" w:hAnsi="Arial" w:cs="Arial"/>
      <w:b/>
      <w:bCs/>
    </w:rPr>
  </w:style>
  <w:style w:type="paragraph" w:styleId="Dokumentversikt">
    <w:name w:val="Document Map"/>
    <w:basedOn w:val="Normal"/>
    <w:semiHidden/>
    <w:rsid w:val="004E59C8"/>
    <w:pPr>
      <w:shd w:val="clear" w:color="auto" w:fill="000080"/>
    </w:pPr>
    <w:rPr>
      <w:rFonts w:ascii="Tahoma" w:hAnsi="Tahoma" w:cs="Tahoma"/>
    </w:rPr>
  </w:style>
  <w:style w:type="paragraph" w:styleId="Figurfrteckning">
    <w:name w:val="table of figures"/>
    <w:basedOn w:val="Normal"/>
    <w:next w:val="Normal"/>
    <w:semiHidden/>
    <w:rsid w:val="004E59C8"/>
    <w:pPr>
      <w:ind w:left="480" w:hanging="480"/>
    </w:pPr>
  </w:style>
  <w:style w:type="character" w:styleId="Fotnotsreferens">
    <w:name w:val="footnote reference"/>
    <w:basedOn w:val="Standardstycketeckensnitt"/>
    <w:semiHidden/>
    <w:rsid w:val="004E59C8"/>
    <w:rPr>
      <w:vertAlign w:val="superscript"/>
    </w:rPr>
  </w:style>
  <w:style w:type="paragraph" w:styleId="Fotnotstext">
    <w:name w:val="footnote text"/>
    <w:basedOn w:val="Normal"/>
    <w:semiHidden/>
    <w:rsid w:val="00A8527E"/>
    <w:rPr>
      <w:sz w:val="16"/>
      <w:szCs w:val="20"/>
    </w:rPr>
  </w:style>
  <w:style w:type="character" w:styleId="Hyperlnk">
    <w:name w:val="Hyperlink"/>
    <w:basedOn w:val="Standardstycketeckensnitt"/>
    <w:rsid w:val="004E59C8"/>
    <w:rPr>
      <w:color w:val="0000FF"/>
      <w:u w:val="single"/>
    </w:rPr>
  </w:style>
  <w:style w:type="paragraph" w:styleId="Index1">
    <w:name w:val="index 1"/>
    <w:basedOn w:val="Normal"/>
    <w:next w:val="Normal"/>
    <w:autoRedefine/>
    <w:semiHidden/>
    <w:rsid w:val="004E59C8"/>
    <w:pPr>
      <w:ind w:left="240" w:hanging="240"/>
    </w:pPr>
  </w:style>
  <w:style w:type="paragraph" w:styleId="Index2">
    <w:name w:val="index 2"/>
    <w:basedOn w:val="Normal"/>
    <w:next w:val="Normal"/>
    <w:autoRedefine/>
    <w:semiHidden/>
    <w:rsid w:val="004E59C8"/>
    <w:pPr>
      <w:ind w:left="480" w:hanging="240"/>
    </w:pPr>
  </w:style>
  <w:style w:type="paragraph" w:styleId="Index3">
    <w:name w:val="index 3"/>
    <w:basedOn w:val="Normal"/>
    <w:next w:val="Normal"/>
    <w:autoRedefine/>
    <w:semiHidden/>
    <w:rsid w:val="004E59C8"/>
    <w:pPr>
      <w:ind w:left="720" w:hanging="240"/>
    </w:pPr>
  </w:style>
  <w:style w:type="paragraph" w:styleId="Index4">
    <w:name w:val="index 4"/>
    <w:basedOn w:val="Normal"/>
    <w:next w:val="Normal"/>
    <w:autoRedefine/>
    <w:semiHidden/>
    <w:rsid w:val="004E59C8"/>
    <w:pPr>
      <w:ind w:left="960" w:hanging="240"/>
    </w:pPr>
  </w:style>
  <w:style w:type="paragraph" w:styleId="Index5">
    <w:name w:val="index 5"/>
    <w:basedOn w:val="Normal"/>
    <w:next w:val="Normal"/>
    <w:autoRedefine/>
    <w:semiHidden/>
    <w:rsid w:val="004E59C8"/>
    <w:pPr>
      <w:ind w:left="1200" w:hanging="240"/>
    </w:pPr>
  </w:style>
  <w:style w:type="paragraph" w:styleId="Index6">
    <w:name w:val="index 6"/>
    <w:basedOn w:val="Normal"/>
    <w:next w:val="Normal"/>
    <w:autoRedefine/>
    <w:semiHidden/>
    <w:rsid w:val="004E59C8"/>
    <w:pPr>
      <w:ind w:left="1440" w:hanging="240"/>
    </w:pPr>
  </w:style>
  <w:style w:type="paragraph" w:styleId="Index7">
    <w:name w:val="index 7"/>
    <w:basedOn w:val="Normal"/>
    <w:next w:val="Normal"/>
    <w:autoRedefine/>
    <w:semiHidden/>
    <w:rsid w:val="004E59C8"/>
    <w:pPr>
      <w:ind w:left="1680" w:hanging="240"/>
    </w:pPr>
  </w:style>
  <w:style w:type="paragraph" w:styleId="Index8">
    <w:name w:val="index 8"/>
    <w:basedOn w:val="Normal"/>
    <w:next w:val="Normal"/>
    <w:autoRedefine/>
    <w:semiHidden/>
    <w:rsid w:val="004E59C8"/>
    <w:pPr>
      <w:ind w:left="1920" w:hanging="240"/>
    </w:pPr>
  </w:style>
  <w:style w:type="paragraph" w:styleId="Index9">
    <w:name w:val="index 9"/>
    <w:basedOn w:val="Normal"/>
    <w:next w:val="Normal"/>
    <w:autoRedefine/>
    <w:semiHidden/>
    <w:rsid w:val="004E59C8"/>
    <w:pPr>
      <w:ind w:left="2160" w:hanging="240"/>
    </w:pPr>
  </w:style>
  <w:style w:type="paragraph" w:styleId="Indexrubrik">
    <w:name w:val="index heading"/>
    <w:basedOn w:val="Normal"/>
    <w:next w:val="Index1"/>
    <w:semiHidden/>
    <w:rsid w:val="004E59C8"/>
    <w:rPr>
      <w:rFonts w:ascii="Arial" w:hAnsi="Arial" w:cs="Arial"/>
      <w:b/>
      <w:bCs/>
    </w:rPr>
  </w:style>
  <w:style w:type="paragraph" w:styleId="Inledning">
    <w:name w:val="Salutation"/>
    <w:next w:val="Normaltindrag"/>
    <w:autoRedefine/>
    <w:rsid w:val="004E59C8"/>
    <w:rPr>
      <w:b/>
      <w:sz w:val="24"/>
      <w:szCs w:val="24"/>
    </w:rPr>
  </w:style>
  <w:style w:type="paragraph" w:styleId="Innehll1">
    <w:name w:val="toc 1"/>
    <w:next w:val="Normal"/>
    <w:autoRedefine/>
    <w:rsid w:val="004E59C8"/>
    <w:pPr>
      <w:tabs>
        <w:tab w:val="left" w:pos="1134"/>
        <w:tab w:val="right" w:leader="dot" w:pos="9458"/>
      </w:tabs>
      <w:spacing w:before="120" w:after="120" w:line="288" w:lineRule="auto"/>
      <w:ind w:left="1134" w:hanging="1134"/>
    </w:pPr>
    <w:rPr>
      <w:b/>
      <w:caps/>
    </w:rPr>
  </w:style>
  <w:style w:type="paragraph" w:styleId="Innehll2">
    <w:name w:val="toc 2"/>
    <w:basedOn w:val="Innehll1"/>
    <w:next w:val="Normaltindrag"/>
    <w:autoRedefine/>
    <w:rsid w:val="004E59C8"/>
    <w:rPr>
      <w:caps w:val="0"/>
    </w:rPr>
  </w:style>
  <w:style w:type="paragraph" w:styleId="Innehll3">
    <w:name w:val="toc 3"/>
    <w:basedOn w:val="Innehll2"/>
    <w:next w:val="Normaltindrag"/>
    <w:autoRedefine/>
    <w:rsid w:val="004E59C8"/>
    <w:pPr>
      <w:tabs>
        <w:tab w:val="left" w:pos="1440"/>
      </w:tabs>
    </w:pPr>
  </w:style>
  <w:style w:type="paragraph" w:styleId="Innehll4">
    <w:name w:val="toc 4"/>
    <w:basedOn w:val="Normal"/>
    <w:next w:val="Normal"/>
    <w:autoRedefine/>
    <w:semiHidden/>
    <w:rsid w:val="004E59C8"/>
    <w:pPr>
      <w:ind w:left="720"/>
    </w:pPr>
  </w:style>
  <w:style w:type="paragraph" w:styleId="Innehll5">
    <w:name w:val="toc 5"/>
    <w:basedOn w:val="Normal"/>
    <w:next w:val="Normal"/>
    <w:autoRedefine/>
    <w:semiHidden/>
    <w:rsid w:val="004E59C8"/>
    <w:pPr>
      <w:ind w:left="960"/>
    </w:pPr>
  </w:style>
  <w:style w:type="paragraph" w:styleId="Innehll6">
    <w:name w:val="toc 6"/>
    <w:basedOn w:val="Normal"/>
    <w:next w:val="Normal"/>
    <w:autoRedefine/>
    <w:semiHidden/>
    <w:rsid w:val="004E59C8"/>
    <w:pPr>
      <w:ind w:left="1200"/>
    </w:pPr>
  </w:style>
  <w:style w:type="paragraph" w:styleId="Innehll7">
    <w:name w:val="toc 7"/>
    <w:basedOn w:val="Normal"/>
    <w:next w:val="Normal"/>
    <w:autoRedefine/>
    <w:semiHidden/>
    <w:rsid w:val="004E59C8"/>
    <w:pPr>
      <w:ind w:left="1440"/>
    </w:pPr>
  </w:style>
  <w:style w:type="paragraph" w:styleId="Innehll8">
    <w:name w:val="toc 8"/>
    <w:basedOn w:val="Normal"/>
    <w:next w:val="Normal"/>
    <w:autoRedefine/>
    <w:semiHidden/>
    <w:rsid w:val="004E59C8"/>
    <w:pPr>
      <w:ind w:left="1680"/>
    </w:pPr>
  </w:style>
  <w:style w:type="paragraph" w:styleId="Innehll9">
    <w:name w:val="toc 9"/>
    <w:basedOn w:val="Normal"/>
    <w:next w:val="Normal"/>
    <w:autoRedefine/>
    <w:semiHidden/>
    <w:rsid w:val="004E59C8"/>
    <w:pPr>
      <w:ind w:left="1920"/>
    </w:pPr>
  </w:style>
  <w:style w:type="paragraph" w:styleId="Kommentarer">
    <w:name w:val="annotation text"/>
    <w:basedOn w:val="Normal"/>
    <w:semiHidden/>
    <w:rsid w:val="004E59C8"/>
    <w:rPr>
      <w:szCs w:val="20"/>
    </w:rPr>
  </w:style>
  <w:style w:type="character" w:styleId="Kommentarsreferens">
    <w:name w:val="annotation reference"/>
    <w:basedOn w:val="Standardstycketeckensnitt"/>
    <w:semiHidden/>
    <w:rsid w:val="004E59C8"/>
    <w:rPr>
      <w:sz w:val="16"/>
      <w:szCs w:val="16"/>
    </w:rPr>
  </w:style>
  <w:style w:type="paragraph" w:styleId="Kommentarsmne">
    <w:name w:val="annotation subject"/>
    <w:basedOn w:val="Kommentarer"/>
    <w:next w:val="Kommentarer"/>
    <w:semiHidden/>
    <w:rsid w:val="004E59C8"/>
    <w:rPr>
      <w:b/>
      <w:bCs/>
    </w:rPr>
  </w:style>
  <w:style w:type="paragraph" w:styleId="Makrotext">
    <w:name w:val="macro"/>
    <w:semiHidden/>
    <w:rsid w:val="004E59C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customStyle="1" w:styleId="PM-Kapitler">
    <w:name w:val="PM - Kapitäler"/>
    <w:basedOn w:val="Normal"/>
    <w:semiHidden/>
    <w:rsid w:val="004E59C8"/>
    <w:pPr>
      <w:spacing w:before="120" w:after="120"/>
    </w:pPr>
    <w:rPr>
      <w:b/>
      <w:smallCaps/>
    </w:rPr>
  </w:style>
  <w:style w:type="paragraph" w:customStyle="1" w:styleId="PM-Normal">
    <w:name w:val="PM - Normal"/>
    <w:basedOn w:val="Normal"/>
    <w:semiHidden/>
    <w:rsid w:val="004E59C8"/>
    <w:pPr>
      <w:spacing w:before="120" w:after="120"/>
    </w:pPr>
  </w:style>
  <w:style w:type="paragraph" w:styleId="Punktlista2">
    <w:name w:val="List Bullet 2"/>
    <w:autoRedefine/>
    <w:qFormat/>
    <w:rsid w:val="002F5612"/>
    <w:pPr>
      <w:numPr>
        <w:numId w:val="26"/>
      </w:numPr>
      <w:tabs>
        <w:tab w:val="clear" w:pos="643"/>
        <w:tab w:val="left" w:pos="1701"/>
      </w:tabs>
      <w:spacing w:before="240" w:after="120" w:line="288" w:lineRule="auto"/>
      <w:ind w:left="1701" w:hanging="567"/>
    </w:pPr>
    <w:rPr>
      <w:rFonts w:ascii="Verdana" w:hAnsi="Verdana"/>
      <w:szCs w:val="24"/>
    </w:rPr>
  </w:style>
  <w:style w:type="paragraph" w:styleId="Punktlista3">
    <w:name w:val="List Bullet 3"/>
    <w:autoRedefine/>
    <w:qFormat/>
    <w:rsid w:val="002F5612"/>
    <w:pPr>
      <w:numPr>
        <w:numId w:val="28"/>
      </w:numPr>
      <w:tabs>
        <w:tab w:val="clear" w:pos="1559"/>
        <w:tab w:val="left" w:pos="1701"/>
      </w:tabs>
      <w:spacing w:before="240" w:after="120" w:line="288" w:lineRule="auto"/>
      <w:ind w:left="1701"/>
    </w:pPr>
    <w:rPr>
      <w:rFonts w:ascii="Verdana" w:hAnsi="Verdana"/>
      <w:szCs w:val="24"/>
    </w:rPr>
  </w:style>
  <w:style w:type="paragraph" w:customStyle="1" w:styleId="RubrikR">
    <w:name w:val="Rubrik R"/>
    <w:next w:val="Normal"/>
    <w:rsid w:val="005C2902"/>
    <w:pPr>
      <w:keepNext/>
      <w:spacing w:before="240" w:after="120" w:line="288" w:lineRule="auto"/>
    </w:pPr>
    <w:rPr>
      <w:rFonts w:ascii="Verdana" w:hAnsi="Verdana"/>
      <w:b/>
      <w:sz w:val="22"/>
      <w:szCs w:val="24"/>
    </w:rPr>
  </w:style>
  <w:style w:type="paragraph" w:styleId="Sidfot">
    <w:name w:val="footer"/>
    <w:rsid w:val="005C2902"/>
    <w:pPr>
      <w:spacing w:line="200" w:lineRule="exact"/>
    </w:pPr>
    <w:rPr>
      <w:rFonts w:ascii="Verdana" w:hAnsi="Verdana"/>
      <w:sz w:val="14"/>
      <w:szCs w:val="24"/>
    </w:rPr>
  </w:style>
  <w:style w:type="paragraph" w:styleId="Sidhuvud">
    <w:name w:val="header"/>
    <w:basedOn w:val="Normal"/>
    <w:rsid w:val="005C2902"/>
    <w:rPr>
      <w:sz w:val="14"/>
    </w:rPr>
  </w:style>
  <w:style w:type="character" w:styleId="Sidnummer">
    <w:name w:val="page number"/>
    <w:basedOn w:val="Standardstycketeckensnitt"/>
    <w:rsid w:val="004E59C8"/>
  </w:style>
  <w:style w:type="paragraph" w:styleId="Slutnotstext">
    <w:name w:val="endnote text"/>
    <w:basedOn w:val="Normal"/>
    <w:semiHidden/>
    <w:rsid w:val="004E59C8"/>
    <w:rPr>
      <w:szCs w:val="20"/>
    </w:rPr>
  </w:style>
  <w:style w:type="character" w:styleId="Slutnotsreferens">
    <w:name w:val="endnote reference"/>
    <w:basedOn w:val="Standardstycketeckensnitt"/>
    <w:semiHidden/>
    <w:rsid w:val="004E59C8"/>
    <w:rPr>
      <w:vertAlign w:val="superscript"/>
    </w:rPr>
  </w:style>
  <w:style w:type="table" w:styleId="Tabellrutnt">
    <w:name w:val="Table Grid"/>
    <w:basedOn w:val="Normaltabell"/>
    <w:rsid w:val="004E59C8"/>
    <w:tblPr/>
  </w:style>
  <w:style w:type="paragraph" w:styleId="Rubrik">
    <w:name w:val="Title"/>
    <w:basedOn w:val="Normal"/>
    <w:next w:val="Normal"/>
    <w:link w:val="RubrikChar"/>
    <w:qFormat/>
    <w:rsid w:val="008C4CB3"/>
    <w:pPr>
      <w:spacing w:after="300" w:line="240" w:lineRule="auto"/>
      <w:contextualSpacing/>
      <w:jc w:val="center"/>
    </w:pPr>
    <w:rPr>
      <w:rFonts w:eastAsiaTheme="majorEastAsia" w:cstheme="majorBidi"/>
      <w:spacing w:val="5"/>
      <w:kern w:val="28"/>
      <w:sz w:val="32"/>
      <w:szCs w:val="52"/>
    </w:rPr>
  </w:style>
  <w:style w:type="character" w:customStyle="1" w:styleId="RubrikChar">
    <w:name w:val="Rubrik Char"/>
    <w:basedOn w:val="Standardstycketeckensnitt"/>
    <w:link w:val="Rubrik"/>
    <w:rsid w:val="008C4CB3"/>
    <w:rPr>
      <w:rFonts w:ascii="Verdana" w:eastAsiaTheme="majorEastAsia" w:hAnsi="Verdana" w:cstheme="majorBidi"/>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043378">
      <w:bodyDiv w:val="1"/>
      <w:marLeft w:val="0"/>
      <w:marRight w:val="0"/>
      <w:marTop w:val="0"/>
      <w:marBottom w:val="0"/>
      <w:divBdr>
        <w:top w:val="none" w:sz="0" w:space="0" w:color="auto"/>
        <w:left w:val="none" w:sz="0" w:space="0" w:color="auto"/>
        <w:bottom w:val="none" w:sz="0" w:space="0" w:color="auto"/>
        <w:right w:val="none" w:sz="0" w:space="0" w:color="auto"/>
      </w:divBdr>
    </w:div>
    <w:div w:id="2043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3739-5329-4CAD-A52A-A374C1DE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3632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Wistrand Advokatbyrå</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Stålbröst Hugo</dc:creator>
  <cp:keywords/>
  <dc:description/>
  <cp:lastModifiedBy>Christin Bäckman</cp:lastModifiedBy>
  <cp:revision>2</cp:revision>
  <dcterms:created xsi:type="dcterms:W3CDTF">2021-01-21T07:59:00Z</dcterms:created>
  <dcterms:modified xsi:type="dcterms:W3CDTF">2021-01-21T07:59:00Z</dcterms:modified>
</cp:coreProperties>
</file>