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D1" w:rsidRPr="001E2CE7" w:rsidRDefault="001A7F57" w:rsidP="004678D1">
      <w:pPr>
        <w:spacing w:line="240" w:lineRule="auto"/>
        <w:rPr>
          <w:rFonts w:cs="Arial"/>
          <w:color w:val="000000" w:themeColor="text1"/>
          <w:szCs w:val="24"/>
          <w:lang w:val="en-US"/>
        </w:rPr>
      </w:pPr>
      <w:bookmarkStart w:id="0" w:name="OLE_LINK1"/>
      <w:bookmarkStart w:id="1" w:name="OLE_LINK2"/>
      <w:r>
        <w:rPr>
          <w:noProof/>
          <w:lang w:val="en-US"/>
        </w:rPr>
        <w:t>April 19</w:t>
      </w:r>
      <w:r w:rsidR="004678D1" w:rsidRPr="001E2CE7">
        <w:rPr>
          <w:rFonts w:cs="Arial"/>
          <w:color w:val="000000" w:themeColor="text1"/>
          <w:szCs w:val="24"/>
          <w:lang w:val="en-US"/>
        </w:rPr>
        <w:t>, 201</w:t>
      </w:r>
      <w:r w:rsidR="00B5674F">
        <w:rPr>
          <w:rFonts w:cs="Arial"/>
          <w:color w:val="000000" w:themeColor="text1"/>
          <w:szCs w:val="24"/>
          <w:lang w:val="en-US"/>
        </w:rPr>
        <w:t>7</w:t>
      </w:r>
    </w:p>
    <w:p w:rsidR="004678D1" w:rsidRPr="00F82B81" w:rsidRDefault="004678D1" w:rsidP="004678D1">
      <w:pPr>
        <w:spacing w:line="240" w:lineRule="auto"/>
        <w:rPr>
          <w:rFonts w:cs="Arial"/>
          <w:b/>
          <w:color w:val="000000" w:themeColor="text1"/>
          <w:szCs w:val="24"/>
          <w:highlight w:val="yellow"/>
          <w:lang w:val="en-US"/>
        </w:rPr>
      </w:pPr>
    </w:p>
    <w:p w:rsidR="004678D1" w:rsidRPr="00123DC8" w:rsidRDefault="004678D1" w:rsidP="004678D1">
      <w:pPr>
        <w:spacing w:line="240" w:lineRule="auto"/>
        <w:rPr>
          <w:rFonts w:cs="Arial"/>
          <w:b/>
          <w:color w:val="000000" w:themeColor="text1"/>
          <w:sz w:val="24"/>
          <w:szCs w:val="24"/>
          <w:lang w:val="en-US"/>
        </w:rPr>
      </w:pPr>
      <w:r w:rsidRPr="00123DC8">
        <w:rPr>
          <w:rFonts w:cs="Arial"/>
          <w:b/>
          <w:color w:val="000000" w:themeColor="text1"/>
          <w:sz w:val="24"/>
          <w:szCs w:val="24"/>
          <w:lang w:val="en-US"/>
        </w:rPr>
        <w:t xml:space="preserve">AkzoNobel </w:t>
      </w:r>
      <w:r w:rsidR="00646457">
        <w:rPr>
          <w:rFonts w:cs="Arial"/>
          <w:b/>
          <w:color w:val="000000" w:themeColor="text1"/>
          <w:sz w:val="24"/>
          <w:szCs w:val="24"/>
          <w:lang w:val="en-US"/>
        </w:rPr>
        <w:t>reports record profitability</w:t>
      </w:r>
      <w:r w:rsidR="00E34A4A" w:rsidRPr="00123DC8">
        <w:rPr>
          <w:rFonts w:cs="Arial"/>
          <w:b/>
          <w:color w:val="000000" w:themeColor="text1"/>
          <w:sz w:val="24"/>
          <w:szCs w:val="24"/>
          <w:lang w:val="en-US"/>
        </w:rPr>
        <w:t xml:space="preserve"> </w:t>
      </w:r>
      <w:r w:rsidR="00646457">
        <w:rPr>
          <w:rFonts w:cs="Arial"/>
          <w:b/>
          <w:color w:val="000000" w:themeColor="text1"/>
          <w:sz w:val="24"/>
          <w:szCs w:val="24"/>
          <w:lang w:val="en-US"/>
        </w:rPr>
        <w:t xml:space="preserve">in </w:t>
      </w:r>
      <w:r w:rsidRPr="00123DC8">
        <w:rPr>
          <w:rFonts w:cs="Arial"/>
          <w:b/>
          <w:color w:val="000000" w:themeColor="text1"/>
          <w:sz w:val="24"/>
          <w:szCs w:val="24"/>
          <w:lang w:val="en-US"/>
        </w:rPr>
        <w:t>Q</w:t>
      </w:r>
      <w:r w:rsidR="001A7F57" w:rsidRPr="00123DC8">
        <w:rPr>
          <w:rFonts w:cs="Arial"/>
          <w:b/>
          <w:color w:val="000000" w:themeColor="text1"/>
          <w:sz w:val="24"/>
          <w:szCs w:val="24"/>
          <w:lang w:val="en-US"/>
        </w:rPr>
        <w:t>1</w:t>
      </w:r>
      <w:r w:rsidRPr="00123DC8">
        <w:rPr>
          <w:rFonts w:cs="Arial"/>
          <w:b/>
          <w:color w:val="000000" w:themeColor="text1"/>
          <w:sz w:val="24"/>
          <w:szCs w:val="24"/>
          <w:lang w:val="en-US"/>
        </w:rPr>
        <w:t xml:space="preserve"> 201</w:t>
      </w:r>
      <w:r w:rsidR="001A7F57" w:rsidRPr="00123DC8">
        <w:rPr>
          <w:rFonts w:cs="Arial"/>
          <w:b/>
          <w:color w:val="000000" w:themeColor="text1"/>
          <w:sz w:val="24"/>
          <w:szCs w:val="24"/>
          <w:lang w:val="en-US"/>
        </w:rPr>
        <w:t>7</w:t>
      </w:r>
      <w:r w:rsidR="00814ED9" w:rsidRPr="00123DC8">
        <w:rPr>
          <w:rFonts w:cs="Arial"/>
          <w:b/>
          <w:color w:val="000000" w:themeColor="text1"/>
          <w:sz w:val="24"/>
          <w:szCs w:val="24"/>
          <w:lang w:val="en-US"/>
        </w:rPr>
        <w:t xml:space="preserve"> </w:t>
      </w:r>
    </w:p>
    <w:p w:rsidR="00A7678C" w:rsidRPr="00802650" w:rsidRDefault="00847B10" w:rsidP="004678D1">
      <w:pPr>
        <w:spacing w:line="240" w:lineRule="auto"/>
        <w:rPr>
          <w:rFonts w:cs="Arial"/>
          <w:b/>
          <w:color w:val="000000" w:themeColor="text1"/>
          <w:sz w:val="16"/>
          <w:szCs w:val="24"/>
          <w:lang w:val="en-US"/>
        </w:rPr>
      </w:pPr>
      <w:r w:rsidRPr="00F82B81">
        <w:rPr>
          <w:rFonts w:eastAsia="Times New Roman" w:cs="Times New Roman"/>
          <w:b/>
          <w:noProof/>
          <w:sz w:val="10"/>
          <w:szCs w:val="20"/>
          <w:highlight w:val="yellow"/>
          <w:lang w:val="en-US" w:eastAsia="zh-CN"/>
        </w:rPr>
        <mc:AlternateContent>
          <mc:Choice Requires="wps">
            <w:drawing>
              <wp:anchor distT="0" distB="0" distL="114300" distR="114300" simplePos="0" relativeHeight="251659264" behindDoc="0" locked="0" layoutInCell="1" allowOverlap="1" wp14:anchorId="43BD5E8B" wp14:editId="52E0E4D2">
                <wp:simplePos x="0" y="0"/>
                <wp:positionH relativeFrom="page">
                  <wp:posOffset>1047750</wp:posOffset>
                </wp:positionH>
                <wp:positionV relativeFrom="page">
                  <wp:posOffset>2152651</wp:posOffset>
                </wp:positionV>
                <wp:extent cx="5822315" cy="28575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5822315" cy="285750"/>
                        </a:xfrm>
                        <a:prstGeom prst="rect">
                          <a:avLst/>
                        </a:prstGeom>
                        <a:gradFill flip="none" rotWithShape="1">
                          <a:gsLst>
                            <a:gs pos="0">
                              <a:schemeClr val="accent1">
                                <a:tint val="66000"/>
                                <a:satMod val="160000"/>
                                <a:alpha val="0"/>
                              </a:schemeClr>
                            </a:gs>
                            <a:gs pos="100000">
                              <a:schemeClr val="accent1">
                                <a:tint val="44500"/>
                                <a:satMod val="160000"/>
                              </a:schemeClr>
                            </a:gs>
                            <a:gs pos="100000">
                              <a:schemeClr val="accent1">
                                <a:tint val="23500"/>
                                <a:satMod val="160000"/>
                              </a:schemeClr>
                            </a:gs>
                          </a:gsLst>
                          <a:lin ang="27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8D" w:rsidRPr="00123DC8" w:rsidRDefault="00646457" w:rsidP="00354EF2">
                            <w:pPr>
                              <w:spacing w:line="240" w:lineRule="auto"/>
                              <w:rPr>
                                <w:rFonts w:cs="Arial"/>
                                <w:b/>
                                <w:sz w:val="22"/>
                                <w:lang w:val="en-US"/>
                              </w:rPr>
                            </w:pPr>
                            <w:r>
                              <w:rPr>
                                <w:rFonts w:cs="Arial"/>
                                <w:b/>
                                <w:sz w:val="22"/>
                                <w:lang w:val="en-US"/>
                              </w:rPr>
                              <w:t xml:space="preserve">Full-year EBIT expected to be </w:t>
                            </w:r>
                            <w:r w:rsidR="00E12C47">
                              <w:rPr>
                                <w:rFonts w:cs="Arial"/>
                                <w:b/>
                                <w:sz w:val="22"/>
                                <w:lang w:val="en-US"/>
                              </w:rPr>
                              <w:t xml:space="preserve">around </w:t>
                            </w:r>
                            <w:r>
                              <w:rPr>
                                <w:rFonts w:cs="Arial"/>
                                <w:b/>
                                <w:sz w:val="22"/>
                                <w:lang w:val="en-US"/>
                              </w:rPr>
                              <w:t>€</w:t>
                            </w:r>
                            <w:r w:rsidR="002716A9">
                              <w:rPr>
                                <w:rFonts w:cs="Arial"/>
                                <w:b/>
                                <w:sz w:val="22"/>
                                <w:lang w:val="en-US"/>
                              </w:rPr>
                              <w:t>100</w:t>
                            </w:r>
                            <w:r>
                              <w:rPr>
                                <w:rFonts w:cs="Arial"/>
                                <w:b/>
                                <w:sz w:val="22"/>
                                <w:lang w:val="en-US"/>
                              </w:rPr>
                              <w:t xml:space="preserve"> million higher than 2016</w:t>
                            </w:r>
                          </w:p>
                          <w:p w:rsidR="00BB18CB" w:rsidRPr="00DC19BB" w:rsidRDefault="00BB18CB" w:rsidP="003C1E6B">
                            <w:pPr>
                              <w:spacing w:line="240" w:lineRule="auto"/>
                              <w:rPr>
                                <w:rFonts w:eastAsia="Times New Roman" w:cs="Times New Roman"/>
                                <w:b/>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169.5pt;width:458.4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" fillcolor="#8aabd3 [2132]" stroked="f" strokeweight=".5pt">
                <v:fill color2="#d6e2f0 [756]" o:opacity2="0" rotate="t" angle="45" colors="0 #9ab5e4;1 #c2d1ed;1 #e1e8f5" focus="100%" type="gradient"/>
                <v:textbox>
                  <w:txbxContent>
                    <w:p w:rsidR="0004428D" w:rsidRPr="00123DC8" w:rsidRDefault="00646457" w:rsidP="00354EF2">
                      <w:pPr>
                        <w:spacing w:line="240" w:lineRule="auto"/>
                        <w:rPr>
                          <w:rFonts w:cs="Arial"/>
                          <w:b/>
                          <w:sz w:val="22"/>
                          <w:lang w:val="en-US"/>
                        </w:rPr>
                      </w:pPr>
                      <w:r>
                        <w:rPr>
                          <w:rFonts w:cs="Arial"/>
                          <w:b/>
                          <w:sz w:val="22"/>
                          <w:lang w:val="en-US"/>
                        </w:rPr>
                        <w:t xml:space="preserve">Full-year EBIT expected to be </w:t>
                      </w:r>
                      <w:r w:rsidR="00E12C47">
                        <w:rPr>
                          <w:rFonts w:cs="Arial"/>
                          <w:b/>
                          <w:sz w:val="22"/>
                          <w:lang w:val="en-US"/>
                        </w:rPr>
                        <w:t xml:space="preserve">around </w:t>
                      </w:r>
                      <w:r>
                        <w:rPr>
                          <w:rFonts w:cs="Arial"/>
                          <w:b/>
                          <w:sz w:val="22"/>
                          <w:lang w:val="en-US"/>
                        </w:rPr>
                        <w:t>€</w:t>
                      </w:r>
                      <w:r w:rsidR="002716A9">
                        <w:rPr>
                          <w:rFonts w:cs="Arial"/>
                          <w:b/>
                          <w:sz w:val="22"/>
                          <w:lang w:val="en-US"/>
                        </w:rPr>
                        <w:t>100</w:t>
                      </w:r>
                      <w:r>
                        <w:rPr>
                          <w:rFonts w:cs="Arial"/>
                          <w:b/>
                          <w:sz w:val="22"/>
                          <w:lang w:val="en-US"/>
                        </w:rPr>
                        <w:t xml:space="preserve"> million higher than 2016</w:t>
                      </w:r>
                    </w:p>
                    <w:p w:rsidR="00BB18CB" w:rsidRPr="00DC19BB" w:rsidRDefault="00BB18CB" w:rsidP="003C1E6B">
                      <w:pPr>
                        <w:spacing w:line="240" w:lineRule="auto"/>
                        <w:rPr>
                          <w:rFonts w:eastAsia="Times New Roman" w:cs="Times New Roman"/>
                          <w:b/>
                          <w:szCs w:val="20"/>
                          <w:lang w:val="en-US"/>
                        </w:rPr>
                      </w:pPr>
                    </w:p>
                  </w:txbxContent>
                </v:textbox>
                <w10:wrap anchorx="page" anchory="page"/>
              </v:shape>
            </w:pict>
          </mc:Fallback>
        </mc:AlternateContent>
      </w:r>
    </w:p>
    <w:p w:rsidR="00A7678C" w:rsidRDefault="00A7678C" w:rsidP="004678D1">
      <w:pPr>
        <w:spacing w:line="240" w:lineRule="auto"/>
        <w:rPr>
          <w:rFonts w:cs="Arial"/>
          <w:b/>
          <w:color w:val="000000" w:themeColor="text1"/>
          <w:sz w:val="22"/>
          <w:szCs w:val="24"/>
          <w:lang w:val="en-US"/>
        </w:rPr>
      </w:pPr>
    </w:p>
    <w:p w:rsidR="008B1400" w:rsidRPr="00847B10" w:rsidRDefault="008B1400" w:rsidP="000938DD">
      <w:pPr>
        <w:spacing w:line="240" w:lineRule="auto"/>
        <w:rPr>
          <w:sz w:val="14"/>
          <w:szCs w:val="20"/>
          <w:lang w:val="en-US"/>
        </w:rPr>
      </w:pPr>
    </w:p>
    <w:p w:rsidR="000938DD" w:rsidRPr="00994B62" w:rsidRDefault="000938DD" w:rsidP="004F3F23">
      <w:pPr>
        <w:spacing w:after="0" w:line="240" w:lineRule="auto"/>
        <w:rPr>
          <w:b/>
          <w:szCs w:val="20"/>
          <w:lang w:val="en-US"/>
        </w:rPr>
      </w:pPr>
      <w:r w:rsidRPr="00994B62">
        <w:rPr>
          <w:b/>
          <w:szCs w:val="20"/>
          <w:lang w:val="en-US"/>
        </w:rPr>
        <w:t>Akzo Nobel N.V. (AKZA.AS; AKZOY)</w:t>
      </w:r>
    </w:p>
    <w:p w:rsidR="003920AA" w:rsidRDefault="003920AA" w:rsidP="004F3F23">
      <w:pPr>
        <w:spacing w:after="0" w:line="240" w:lineRule="auto"/>
        <w:rPr>
          <w:szCs w:val="20"/>
          <w:lang w:val="en-US"/>
        </w:rPr>
      </w:pPr>
    </w:p>
    <w:p w:rsidR="001512DB" w:rsidRDefault="00BD08B7" w:rsidP="004F3F23">
      <w:pPr>
        <w:pStyle w:val="ListParagraph"/>
        <w:numPr>
          <w:ilvl w:val="0"/>
          <w:numId w:val="5"/>
        </w:numPr>
        <w:autoSpaceDE w:val="0"/>
        <w:autoSpaceDN w:val="0"/>
        <w:adjustRightInd w:val="0"/>
        <w:spacing w:line="240" w:lineRule="auto"/>
        <w:rPr>
          <w:rFonts w:cs="Arial"/>
          <w:b/>
          <w:lang w:val="en-US"/>
        </w:rPr>
      </w:pPr>
      <w:r>
        <w:rPr>
          <w:rFonts w:cs="Arial"/>
          <w:b/>
          <w:lang w:val="en-US"/>
        </w:rPr>
        <w:t xml:space="preserve">Record </w:t>
      </w:r>
      <w:r w:rsidR="00823F63" w:rsidRPr="002E13CD">
        <w:rPr>
          <w:rFonts w:cs="Arial"/>
          <w:b/>
          <w:lang w:val="en-US"/>
        </w:rPr>
        <w:t>profitability</w:t>
      </w:r>
      <w:r w:rsidR="00823F63">
        <w:rPr>
          <w:rFonts w:cs="Arial"/>
          <w:lang w:val="en-US"/>
        </w:rPr>
        <w:t xml:space="preserve">, </w:t>
      </w:r>
      <w:r w:rsidR="00CE400D">
        <w:rPr>
          <w:rFonts w:cs="Arial"/>
          <w:lang w:val="en-US"/>
        </w:rPr>
        <w:t>with</w:t>
      </w:r>
      <w:r w:rsidR="00823F63">
        <w:rPr>
          <w:rFonts w:cs="Arial"/>
          <w:lang w:val="en-US"/>
        </w:rPr>
        <w:t xml:space="preserve"> </w:t>
      </w:r>
      <w:r w:rsidR="005826AA">
        <w:rPr>
          <w:rFonts w:cs="Arial"/>
          <w:lang w:val="en-US"/>
        </w:rPr>
        <w:t>higher</w:t>
      </w:r>
      <w:r w:rsidR="00646457" w:rsidRPr="00646457">
        <w:rPr>
          <w:rFonts w:cs="Arial"/>
          <w:lang w:val="en-US"/>
        </w:rPr>
        <w:t xml:space="preserve"> </w:t>
      </w:r>
      <w:r w:rsidR="00646457" w:rsidRPr="001512DB">
        <w:rPr>
          <w:rFonts w:cs="Arial"/>
          <w:lang w:val="en-US"/>
        </w:rPr>
        <w:t>EBIT</w:t>
      </w:r>
      <w:r w:rsidR="00646457">
        <w:rPr>
          <w:rFonts w:cs="Arial"/>
          <w:vertAlign w:val="superscript"/>
          <w:lang w:val="en-US"/>
        </w:rPr>
        <w:t>1</w:t>
      </w:r>
      <w:r w:rsidR="002E13CD">
        <w:rPr>
          <w:rFonts w:cs="Arial"/>
          <w:lang w:val="en-US"/>
        </w:rPr>
        <w:t xml:space="preserve">, </w:t>
      </w:r>
      <w:r w:rsidR="00823F63">
        <w:rPr>
          <w:rFonts w:cs="Arial"/>
          <w:lang w:val="en-US"/>
        </w:rPr>
        <w:t>r</w:t>
      </w:r>
      <w:r w:rsidR="001512DB" w:rsidRPr="001512DB">
        <w:rPr>
          <w:rFonts w:cs="Arial"/>
          <w:lang w:val="en-US"/>
        </w:rPr>
        <w:t>eturn on sales</w:t>
      </w:r>
      <w:r w:rsidR="001512DB" w:rsidRPr="00E42848">
        <w:rPr>
          <w:rFonts w:cs="Arial"/>
          <w:lang w:val="en-US"/>
        </w:rPr>
        <w:t xml:space="preserve"> </w:t>
      </w:r>
      <w:r w:rsidR="001512DB" w:rsidRPr="001512DB">
        <w:rPr>
          <w:rFonts w:cs="Arial"/>
          <w:lang w:val="en-US"/>
        </w:rPr>
        <w:t>(ROS)</w:t>
      </w:r>
      <w:r w:rsidR="00646457">
        <w:rPr>
          <w:rFonts w:cs="Arial"/>
          <w:vertAlign w:val="superscript"/>
          <w:lang w:val="en-US"/>
        </w:rPr>
        <w:t xml:space="preserve">2 </w:t>
      </w:r>
      <w:r w:rsidR="00646457">
        <w:rPr>
          <w:rFonts w:cs="Arial"/>
          <w:lang w:val="en-US"/>
        </w:rPr>
        <w:t xml:space="preserve">and </w:t>
      </w:r>
      <w:r>
        <w:rPr>
          <w:rFonts w:cs="Arial"/>
          <w:lang w:val="en-US"/>
        </w:rPr>
        <w:t>return on investment (ROI)</w:t>
      </w:r>
      <w:r w:rsidR="00646457">
        <w:rPr>
          <w:rFonts w:cs="Arial"/>
          <w:vertAlign w:val="superscript"/>
          <w:lang w:val="en-US"/>
        </w:rPr>
        <w:t>3</w:t>
      </w:r>
    </w:p>
    <w:p w:rsidR="001512DB" w:rsidRPr="003B39D1" w:rsidRDefault="001512DB" w:rsidP="001512DB">
      <w:pPr>
        <w:pStyle w:val="ListParagraph"/>
        <w:numPr>
          <w:ilvl w:val="0"/>
          <w:numId w:val="5"/>
        </w:numPr>
        <w:autoSpaceDE w:val="0"/>
        <w:autoSpaceDN w:val="0"/>
        <w:adjustRightInd w:val="0"/>
        <w:spacing w:line="240" w:lineRule="auto"/>
        <w:rPr>
          <w:rFonts w:cs="Arial"/>
          <w:lang w:val="en-US"/>
        </w:rPr>
      </w:pPr>
      <w:r w:rsidRPr="003B39D1">
        <w:rPr>
          <w:rFonts w:cs="Arial"/>
          <w:b/>
          <w:lang w:val="en-US"/>
        </w:rPr>
        <w:t>Revenue</w:t>
      </w:r>
      <w:r w:rsidRPr="003B39D1">
        <w:rPr>
          <w:rFonts w:cs="Arial"/>
          <w:lang w:val="en-US"/>
        </w:rPr>
        <w:t xml:space="preserve"> </w:t>
      </w:r>
      <w:r w:rsidR="00823F63" w:rsidRPr="00823F63">
        <w:rPr>
          <w:rFonts w:cs="Arial"/>
          <w:b/>
          <w:lang w:val="en-US"/>
        </w:rPr>
        <w:t>up</w:t>
      </w:r>
      <w:r w:rsidR="00BD08B7">
        <w:rPr>
          <w:rFonts w:cs="Arial"/>
          <w:b/>
          <w:lang w:val="en-US"/>
        </w:rPr>
        <w:t xml:space="preserve"> across all Business </w:t>
      </w:r>
      <w:r w:rsidR="00BD08B7" w:rsidRPr="002E13CD">
        <w:rPr>
          <w:rFonts w:cs="Arial"/>
          <w:b/>
          <w:lang w:val="en-US"/>
        </w:rPr>
        <w:t xml:space="preserve">Areas and 7% </w:t>
      </w:r>
      <w:r w:rsidR="002E13CD">
        <w:rPr>
          <w:rFonts w:cs="Arial"/>
          <w:b/>
          <w:lang w:val="en-US"/>
        </w:rPr>
        <w:t>overall</w:t>
      </w:r>
      <w:r w:rsidR="002E13CD">
        <w:rPr>
          <w:rFonts w:cs="Arial"/>
          <w:lang w:val="en-US"/>
        </w:rPr>
        <w:t xml:space="preserve">, mainly </w:t>
      </w:r>
      <w:r>
        <w:rPr>
          <w:rFonts w:cs="Arial"/>
          <w:lang w:val="en-US"/>
        </w:rPr>
        <w:t xml:space="preserve">due to higher volumes </w:t>
      </w:r>
      <w:r w:rsidR="00DF0E05">
        <w:rPr>
          <w:rFonts w:cs="Arial"/>
          <w:lang w:val="en-US"/>
        </w:rPr>
        <w:t>and acquisitions</w:t>
      </w:r>
    </w:p>
    <w:p w:rsidR="004D5234" w:rsidRPr="003B39D1" w:rsidRDefault="004D5234" w:rsidP="004F3F23">
      <w:pPr>
        <w:pStyle w:val="ListParagraph"/>
        <w:numPr>
          <w:ilvl w:val="0"/>
          <w:numId w:val="5"/>
        </w:numPr>
        <w:autoSpaceDE w:val="0"/>
        <w:autoSpaceDN w:val="0"/>
        <w:adjustRightInd w:val="0"/>
        <w:spacing w:line="240" w:lineRule="auto"/>
        <w:rPr>
          <w:rFonts w:cs="Arial"/>
          <w:b/>
          <w:lang w:val="en-US"/>
        </w:rPr>
      </w:pPr>
      <w:r w:rsidRPr="003B39D1">
        <w:rPr>
          <w:rFonts w:cs="Arial"/>
          <w:b/>
          <w:lang w:val="en-US"/>
        </w:rPr>
        <w:t>Volume</w:t>
      </w:r>
      <w:r w:rsidR="00466B00">
        <w:rPr>
          <w:rFonts w:cs="Arial"/>
          <w:b/>
          <w:lang w:val="en-US"/>
        </w:rPr>
        <w:t xml:space="preserve">s up 4% </w:t>
      </w:r>
      <w:r w:rsidR="00466B00">
        <w:rPr>
          <w:rFonts w:cs="Arial"/>
          <w:lang w:val="en-US"/>
        </w:rPr>
        <w:t>driven by D</w:t>
      </w:r>
      <w:r w:rsidRPr="003B39D1">
        <w:rPr>
          <w:rFonts w:cs="Arial"/>
          <w:lang w:val="en-US"/>
        </w:rPr>
        <w:t xml:space="preserve">ecorative Paints </w:t>
      </w:r>
      <w:r w:rsidR="00466B00">
        <w:rPr>
          <w:rFonts w:cs="Arial"/>
          <w:lang w:val="en-US"/>
        </w:rPr>
        <w:t xml:space="preserve">and </w:t>
      </w:r>
      <w:r>
        <w:rPr>
          <w:rFonts w:cs="Arial"/>
          <w:lang w:val="en-US"/>
        </w:rPr>
        <w:t>Specialty Chemicals</w:t>
      </w:r>
    </w:p>
    <w:p w:rsidR="00EF2D99" w:rsidRPr="00BD08B7" w:rsidRDefault="00EF2D99" w:rsidP="004F3F23">
      <w:pPr>
        <w:pStyle w:val="ListParagraph"/>
        <w:numPr>
          <w:ilvl w:val="0"/>
          <w:numId w:val="5"/>
        </w:numPr>
        <w:autoSpaceDE w:val="0"/>
        <w:autoSpaceDN w:val="0"/>
        <w:adjustRightInd w:val="0"/>
        <w:spacing w:line="240" w:lineRule="auto"/>
        <w:rPr>
          <w:rFonts w:cs="Arial"/>
          <w:b/>
          <w:lang w:val="en-US"/>
        </w:rPr>
      </w:pPr>
      <w:r w:rsidRPr="001173A5">
        <w:rPr>
          <w:rFonts w:cs="Arial"/>
          <w:b/>
          <w:lang w:val="en-US"/>
        </w:rPr>
        <w:t>EBIT</w:t>
      </w:r>
      <w:r>
        <w:rPr>
          <w:rFonts w:cs="Arial"/>
          <w:b/>
          <w:lang w:val="en-US"/>
        </w:rPr>
        <w:t xml:space="preserve"> </w:t>
      </w:r>
      <w:r w:rsidR="00466B00">
        <w:rPr>
          <w:rFonts w:cs="Arial"/>
          <w:b/>
          <w:lang w:val="en-US"/>
        </w:rPr>
        <w:t xml:space="preserve">up </w:t>
      </w:r>
      <w:r w:rsidR="00E42848">
        <w:rPr>
          <w:rFonts w:cs="Arial"/>
          <w:b/>
          <w:lang w:val="en-US"/>
        </w:rPr>
        <w:t xml:space="preserve">in all Business Areas </w:t>
      </w:r>
      <w:r w:rsidR="00E42848" w:rsidRPr="00E42848">
        <w:rPr>
          <w:rFonts w:cs="Arial"/>
          <w:lang w:val="en-US"/>
        </w:rPr>
        <w:t>and</w:t>
      </w:r>
      <w:r w:rsidR="00E42848">
        <w:rPr>
          <w:rFonts w:cs="Arial"/>
          <w:b/>
          <w:lang w:val="en-US"/>
        </w:rPr>
        <w:t xml:space="preserve"> </w:t>
      </w:r>
      <w:r w:rsidR="00466B00" w:rsidRPr="00E42848">
        <w:rPr>
          <w:rFonts w:cs="Arial"/>
          <w:lang w:val="en-US"/>
        </w:rPr>
        <w:t>13%</w:t>
      </w:r>
      <w:r w:rsidRPr="003B39D1">
        <w:rPr>
          <w:rFonts w:cs="Arial"/>
          <w:lang w:val="en-US"/>
        </w:rPr>
        <w:t xml:space="preserve"> </w:t>
      </w:r>
      <w:r w:rsidR="00E42848">
        <w:rPr>
          <w:rFonts w:cs="Arial"/>
          <w:lang w:val="en-US"/>
        </w:rPr>
        <w:t>overall, at</w:t>
      </w:r>
      <w:r w:rsidRPr="003B39D1">
        <w:rPr>
          <w:rFonts w:cs="Arial"/>
          <w:lang w:val="en-US"/>
        </w:rPr>
        <w:t xml:space="preserve"> €</w:t>
      </w:r>
      <w:r w:rsidR="00466B00">
        <w:rPr>
          <w:rFonts w:cs="Arial"/>
          <w:lang w:val="en-US"/>
        </w:rPr>
        <w:t>376</w:t>
      </w:r>
      <w:r w:rsidRPr="003B39D1">
        <w:rPr>
          <w:rFonts w:cs="Arial"/>
          <w:lang w:val="en-US"/>
        </w:rPr>
        <w:t xml:space="preserve"> million (201</w:t>
      </w:r>
      <w:r w:rsidR="001A7F57">
        <w:rPr>
          <w:rFonts w:cs="Arial"/>
          <w:lang w:val="en-US"/>
        </w:rPr>
        <w:t>6</w:t>
      </w:r>
      <w:r w:rsidRPr="003B39D1">
        <w:rPr>
          <w:rFonts w:cs="Arial"/>
          <w:lang w:val="en-US"/>
        </w:rPr>
        <w:t>: €</w:t>
      </w:r>
      <w:r w:rsidR="00466B00">
        <w:rPr>
          <w:rFonts w:cs="Arial"/>
          <w:lang w:val="en-US"/>
        </w:rPr>
        <w:t>334</w:t>
      </w:r>
      <w:r w:rsidRPr="003B39D1">
        <w:rPr>
          <w:rFonts w:cs="Arial"/>
          <w:lang w:val="en-US"/>
        </w:rPr>
        <w:t xml:space="preserve"> million), </w:t>
      </w:r>
      <w:r w:rsidR="00466B00">
        <w:rPr>
          <w:rFonts w:cs="Arial"/>
          <w:lang w:val="en-US"/>
        </w:rPr>
        <w:t>reflecting the positive effects of volume growth, continuous improvement and cost discipline</w:t>
      </w:r>
    </w:p>
    <w:p w:rsidR="00BD08B7" w:rsidRPr="003B39D1" w:rsidRDefault="00DF0E05" w:rsidP="004F3F23">
      <w:pPr>
        <w:pStyle w:val="ListParagraph"/>
        <w:numPr>
          <w:ilvl w:val="0"/>
          <w:numId w:val="5"/>
        </w:numPr>
        <w:autoSpaceDE w:val="0"/>
        <w:autoSpaceDN w:val="0"/>
        <w:adjustRightInd w:val="0"/>
        <w:spacing w:line="240" w:lineRule="auto"/>
        <w:rPr>
          <w:rFonts w:cs="Arial"/>
          <w:b/>
          <w:lang w:val="en-US"/>
        </w:rPr>
      </w:pPr>
      <w:r>
        <w:rPr>
          <w:rFonts w:cs="Arial"/>
          <w:b/>
          <w:lang w:val="en-US"/>
        </w:rPr>
        <w:t>Full-</w:t>
      </w:r>
      <w:r w:rsidR="00BD08B7">
        <w:rPr>
          <w:rFonts w:cs="Arial"/>
          <w:b/>
          <w:lang w:val="en-US"/>
        </w:rPr>
        <w:t xml:space="preserve">year EBIT </w:t>
      </w:r>
      <w:r w:rsidR="00BD08B7">
        <w:rPr>
          <w:rFonts w:cs="Arial"/>
          <w:lang w:val="en-US"/>
        </w:rPr>
        <w:t xml:space="preserve">expected to be </w:t>
      </w:r>
      <w:r w:rsidR="00625E9D">
        <w:rPr>
          <w:rFonts w:cs="Arial"/>
          <w:lang w:val="en-US"/>
        </w:rPr>
        <w:t xml:space="preserve">around </w:t>
      </w:r>
      <w:bookmarkStart w:id="2" w:name="_GoBack"/>
      <w:bookmarkEnd w:id="2"/>
      <w:r w:rsidR="00BD08B7" w:rsidRPr="003B39D1">
        <w:rPr>
          <w:rFonts w:cs="Arial"/>
          <w:lang w:val="en-US"/>
        </w:rPr>
        <w:t>€</w:t>
      </w:r>
      <w:r w:rsidR="00276055">
        <w:rPr>
          <w:rFonts w:cs="Arial"/>
          <w:lang w:val="en-US"/>
        </w:rPr>
        <w:t>100</w:t>
      </w:r>
      <w:r w:rsidR="00BD08B7">
        <w:rPr>
          <w:rFonts w:cs="Arial"/>
          <w:lang w:val="en-US"/>
        </w:rPr>
        <w:t xml:space="preserve"> million higher </w:t>
      </w:r>
      <w:r>
        <w:rPr>
          <w:rFonts w:cs="Arial"/>
          <w:lang w:val="en-US"/>
        </w:rPr>
        <w:t xml:space="preserve">than 2016, </w:t>
      </w:r>
      <w:r w:rsidR="00BD08B7">
        <w:rPr>
          <w:rFonts w:cs="Arial"/>
          <w:lang w:val="en-US"/>
        </w:rPr>
        <w:t>excluding any substantial changes in market conditions</w:t>
      </w:r>
    </w:p>
    <w:p w:rsidR="007773F0" w:rsidRPr="00417407" w:rsidRDefault="009B2026" w:rsidP="004F3F23">
      <w:pPr>
        <w:pStyle w:val="ListParagraph"/>
        <w:numPr>
          <w:ilvl w:val="0"/>
          <w:numId w:val="5"/>
        </w:numPr>
        <w:autoSpaceDE w:val="0"/>
        <w:autoSpaceDN w:val="0"/>
        <w:adjustRightInd w:val="0"/>
        <w:spacing w:line="240" w:lineRule="auto"/>
        <w:rPr>
          <w:rFonts w:cs="Arial"/>
          <w:lang w:val="en-US"/>
        </w:rPr>
      </w:pPr>
      <w:r>
        <w:rPr>
          <w:rFonts w:cs="Arial"/>
          <w:b/>
          <w:lang w:val="en-US"/>
        </w:rPr>
        <w:t>Profitability improved</w:t>
      </w:r>
      <w:r w:rsidR="002E13CD">
        <w:rPr>
          <w:rFonts w:cs="Arial"/>
          <w:b/>
          <w:lang w:val="en-US"/>
        </w:rPr>
        <w:t>,</w:t>
      </w:r>
      <w:r>
        <w:rPr>
          <w:rFonts w:cs="Arial"/>
          <w:b/>
          <w:lang w:val="en-US"/>
        </w:rPr>
        <w:t xml:space="preserve"> </w:t>
      </w:r>
      <w:r w:rsidRPr="009B2026">
        <w:rPr>
          <w:rFonts w:cs="Arial"/>
          <w:lang w:val="en-US"/>
        </w:rPr>
        <w:t>with ROS</w:t>
      </w:r>
      <w:r w:rsidR="007773F0" w:rsidRPr="003B39D1">
        <w:rPr>
          <w:rFonts w:cs="Arial"/>
          <w:b/>
          <w:lang w:val="en-US"/>
        </w:rPr>
        <w:t xml:space="preserve"> </w:t>
      </w:r>
      <w:r w:rsidR="00EC798E">
        <w:rPr>
          <w:rFonts w:cs="Arial"/>
          <w:lang w:val="en-US"/>
        </w:rPr>
        <w:t>at</w:t>
      </w:r>
      <w:r w:rsidR="003A0BAD">
        <w:rPr>
          <w:rFonts w:cs="Arial"/>
          <w:lang w:val="en-US"/>
        </w:rPr>
        <w:t xml:space="preserve"> 10.3% (</w:t>
      </w:r>
      <w:r w:rsidR="007773F0">
        <w:rPr>
          <w:rFonts w:cs="Arial"/>
          <w:lang w:val="en-US"/>
        </w:rPr>
        <w:t>201</w:t>
      </w:r>
      <w:r w:rsidR="001A7F57">
        <w:rPr>
          <w:rFonts w:cs="Arial"/>
          <w:lang w:val="en-US"/>
        </w:rPr>
        <w:t>6</w:t>
      </w:r>
      <w:r w:rsidR="007773F0">
        <w:rPr>
          <w:rFonts w:cs="Arial"/>
          <w:lang w:val="en-US"/>
        </w:rPr>
        <w:t xml:space="preserve">: </w:t>
      </w:r>
      <w:r w:rsidR="003A0BAD">
        <w:rPr>
          <w:rFonts w:cs="Arial"/>
          <w:lang w:val="en-US"/>
        </w:rPr>
        <w:t>9.7</w:t>
      </w:r>
      <w:r w:rsidR="0011155C">
        <w:rPr>
          <w:rFonts w:cs="Arial"/>
          <w:lang w:val="en-US"/>
        </w:rPr>
        <w:t>%</w:t>
      </w:r>
      <w:r w:rsidR="007773F0" w:rsidRPr="003B39D1">
        <w:rPr>
          <w:rFonts w:cs="Arial"/>
          <w:lang w:val="en-US"/>
        </w:rPr>
        <w:t>)</w:t>
      </w:r>
      <w:r w:rsidR="002E13CD">
        <w:rPr>
          <w:rFonts w:cs="Arial"/>
          <w:lang w:val="en-US"/>
        </w:rPr>
        <w:t xml:space="preserve"> and </w:t>
      </w:r>
      <w:r>
        <w:rPr>
          <w:rFonts w:cs="Arial"/>
          <w:lang w:val="en-US"/>
        </w:rPr>
        <w:t xml:space="preserve">ROI </w:t>
      </w:r>
      <w:r w:rsidR="002E13CD">
        <w:rPr>
          <w:rFonts w:cs="Arial"/>
          <w:lang w:val="en-US"/>
        </w:rPr>
        <w:t xml:space="preserve">at </w:t>
      </w:r>
      <w:r>
        <w:rPr>
          <w:rFonts w:cs="Arial"/>
          <w:lang w:val="en-US"/>
        </w:rPr>
        <w:t>15.2</w:t>
      </w:r>
      <w:r w:rsidR="0011155C">
        <w:rPr>
          <w:rFonts w:cs="Arial"/>
          <w:lang w:val="en-US"/>
        </w:rPr>
        <w:t>%</w:t>
      </w:r>
      <w:r w:rsidR="007773F0" w:rsidRPr="00417407">
        <w:rPr>
          <w:rFonts w:cs="Arial"/>
          <w:lang w:val="en-US"/>
        </w:rPr>
        <w:t xml:space="preserve"> (201</w:t>
      </w:r>
      <w:r w:rsidR="001A7F57">
        <w:rPr>
          <w:rFonts w:cs="Arial"/>
          <w:lang w:val="en-US"/>
        </w:rPr>
        <w:t>6</w:t>
      </w:r>
      <w:r w:rsidR="007773F0" w:rsidRPr="00417407">
        <w:rPr>
          <w:rFonts w:cs="Arial"/>
          <w:lang w:val="en-US"/>
        </w:rPr>
        <w:t xml:space="preserve">: </w:t>
      </w:r>
      <w:r w:rsidR="003A0BAD">
        <w:rPr>
          <w:rFonts w:cs="Arial"/>
          <w:lang w:val="en-US"/>
        </w:rPr>
        <w:t>14.5</w:t>
      </w:r>
      <w:r w:rsidR="0011155C">
        <w:rPr>
          <w:rFonts w:cs="Arial"/>
          <w:lang w:val="en-US"/>
        </w:rPr>
        <w:t>%</w:t>
      </w:r>
      <w:r w:rsidR="007773F0" w:rsidRPr="00417407">
        <w:rPr>
          <w:rFonts w:cs="Arial"/>
          <w:lang w:val="en-US"/>
        </w:rPr>
        <w:t>)</w:t>
      </w:r>
    </w:p>
    <w:p w:rsidR="00C60ADB" w:rsidRPr="003B39D1" w:rsidRDefault="00C60ADB" w:rsidP="004F3F23">
      <w:pPr>
        <w:pStyle w:val="ListParagraph"/>
        <w:numPr>
          <w:ilvl w:val="0"/>
          <w:numId w:val="5"/>
        </w:numPr>
        <w:autoSpaceDE w:val="0"/>
        <w:autoSpaceDN w:val="0"/>
        <w:adjustRightInd w:val="0"/>
        <w:spacing w:line="240" w:lineRule="auto"/>
        <w:rPr>
          <w:rFonts w:cs="Arial"/>
          <w:lang w:val="en-US"/>
        </w:rPr>
      </w:pPr>
      <w:r w:rsidRPr="003B39D1">
        <w:rPr>
          <w:rFonts w:cs="Arial"/>
          <w:b/>
          <w:lang w:val="en-US"/>
        </w:rPr>
        <w:t>Adjusted earnings per share</w:t>
      </w:r>
      <w:r w:rsidRPr="003B39D1">
        <w:rPr>
          <w:rFonts w:cs="Arial"/>
          <w:lang w:val="en-US"/>
        </w:rPr>
        <w:t xml:space="preserve"> </w:t>
      </w:r>
      <w:r w:rsidR="003A0BAD">
        <w:rPr>
          <w:rFonts w:cs="Arial"/>
          <w:lang w:val="en-US"/>
        </w:rPr>
        <w:t>up</w:t>
      </w:r>
      <w:r>
        <w:rPr>
          <w:rFonts w:cs="Arial"/>
          <w:lang w:val="en-US"/>
        </w:rPr>
        <w:t xml:space="preserve"> </w:t>
      </w:r>
      <w:r w:rsidR="003A0BAD">
        <w:rPr>
          <w:rFonts w:cs="Arial"/>
          <w:lang w:val="en-US"/>
        </w:rPr>
        <w:t>8</w:t>
      </w:r>
      <w:r w:rsidR="0011155C">
        <w:rPr>
          <w:rFonts w:cs="Arial"/>
          <w:lang w:val="en-US"/>
        </w:rPr>
        <w:t>%</w:t>
      </w:r>
      <w:r>
        <w:rPr>
          <w:rFonts w:cs="Arial"/>
          <w:lang w:val="en-US"/>
        </w:rPr>
        <w:t xml:space="preserve"> at </w:t>
      </w:r>
      <w:r w:rsidRPr="003B39D1">
        <w:rPr>
          <w:rFonts w:cs="Arial"/>
          <w:lang w:val="en-US"/>
        </w:rPr>
        <w:t>€</w:t>
      </w:r>
      <w:r w:rsidR="003A0BAD">
        <w:rPr>
          <w:rFonts w:cs="Arial"/>
          <w:lang w:val="en-US"/>
        </w:rPr>
        <w:t>1.05</w:t>
      </w:r>
      <w:r w:rsidRPr="003B39D1">
        <w:rPr>
          <w:rFonts w:cs="Arial"/>
          <w:lang w:val="en-US"/>
        </w:rPr>
        <w:t xml:space="preserve"> (201</w:t>
      </w:r>
      <w:r w:rsidR="001A7F57">
        <w:rPr>
          <w:rFonts w:cs="Arial"/>
          <w:lang w:val="en-US"/>
        </w:rPr>
        <w:t>6</w:t>
      </w:r>
      <w:r w:rsidRPr="003B39D1">
        <w:rPr>
          <w:rFonts w:cs="Arial"/>
          <w:lang w:val="en-US"/>
        </w:rPr>
        <w:t>: €</w:t>
      </w:r>
      <w:r w:rsidR="003A0BAD">
        <w:rPr>
          <w:rFonts w:cs="Arial"/>
          <w:lang w:val="en-US"/>
        </w:rPr>
        <w:t>0.97</w:t>
      </w:r>
      <w:r w:rsidRPr="003B39D1">
        <w:rPr>
          <w:rFonts w:cs="Arial"/>
          <w:lang w:val="en-US"/>
        </w:rPr>
        <w:t>)</w:t>
      </w:r>
    </w:p>
    <w:p w:rsidR="00AE7A8F" w:rsidRDefault="00BB18CB" w:rsidP="004F3F23">
      <w:pPr>
        <w:pStyle w:val="ListParagraph"/>
        <w:numPr>
          <w:ilvl w:val="0"/>
          <w:numId w:val="5"/>
        </w:numPr>
        <w:autoSpaceDE w:val="0"/>
        <w:autoSpaceDN w:val="0"/>
        <w:adjustRightInd w:val="0"/>
        <w:spacing w:line="240" w:lineRule="auto"/>
        <w:rPr>
          <w:rFonts w:cs="Arial"/>
          <w:lang w:val="en-US"/>
        </w:rPr>
      </w:pPr>
      <w:r w:rsidRPr="003B39D1">
        <w:rPr>
          <w:rFonts w:cs="Arial"/>
          <w:b/>
          <w:lang w:val="en-US"/>
        </w:rPr>
        <w:t xml:space="preserve">Net cash </w:t>
      </w:r>
      <w:r w:rsidR="00636CE6">
        <w:rPr>
          <w:rFonts w:cs="Arial"/>
          <w:b/>
          <w:lang w:val="en-US"/>
        </w:rPr>
        <w:t>out</w:t>
      </w:r>
      <w:r w:rsidR="00636CE6" w:rsidRPr="003B39D1">
        <w:rPr>
          <w:rFonts w:cs="Arial"/>
          <w:b/>
          <w:lang w:val="en-US"/>
        </w:rPr>
        <w:t>flow</w:t>
      </w:r>
      <w:r w:rsidRPr="003B39D1">
        <w:rPr>
          <w:rFonts w:cs="Arial"/>
          <w:b/>
          <w:lang w:val="en-US"/>
        </w:rPr>
        <w:t xml:space="preserve"> </w:t>
      </w:r>
      <w:r w:rsidRPr="000F0FC8">
        <w:rPr>
          <w:rFonts w:cs="Arial"/>
          <w:lang w:val="en-US"/>
        </w:rPr>
        <w:t>from operating activities</w:t>
      </w:r>
      <w:r w:rsidRPr="003B39D1">
        <w:rPr>
          <w:rFonts w:cs="Arial"/>
          <w:lang w:val="en-US"/>
        </w:rPr>
        <w:t xml:space="preserve"> </w:t>
      </w:r>
      <w:r w:rsidR="003A0BAD">
        <w:rPr>
          <w:rFonts w:cs="Arial"/>
          <w:lang w:val="en-US"/>
        </w:rPr>
        <w:t xml:space="preserve">improved to </w:t>
      </w:r>
      <w:r w:rsidRPr="003B39D1">
        <w:rPr>
          <w:rFonts w:cs="Arial"/>
          <w:lang w:val="en-US"/>
        </w:rPr>
        <w:t>€</w:t>
      </w:r>
      <w:r w:rsidR="00823F63">
        <w:rPr>
          <w:rFonts w:cs="Arial"/>
          <w:lang w:val="en-US"/>
        </w:rPr>
        <w:t>287</w:t>
      </w:r>
      <w:r w:rsidR="00F918A3" w:rsidRPr="003B39D1">
        <w:rPr>
          <w:rFonts w:cs="Arial"/>
          <w:lang w:val="en-US"/>
        </w:rPr>
        <w:t xml:space="preserve"> </w:t>
      </w:r>
      <w:r w:rsidRPr="003B39D1">
        <w:rPr>
          <w:rFonts w:cs="Arial"/>
          <w:lang w:val="en-US"/>
        </w:rPr>
        <w:t>million (201</w:t>
      </w:r>
      <w:r w:rsidR="001A7F57">
        <w:rPr>
          <w:rFonts w:cs="Arial"/>
          <w:lang w:val="en-US"/>
        </w:rPr>
        <w:t>6</w:t>
      </w:r>
      <w:r w:rsidRPr="003B39D1">
        <w:rPr>
          <w:rFonts w:cs="Arial"/>
          <w:lang w:val="en-US"/>
        </w:rPr>
        <w:t>: €</w:t>
      </w:r>
      <w:r w:rsidR="003A0BAD">
        <w:rPr>
          <w:rFonts w:cs="Arial"/>
          <w:lang w:val="en-US"/>
        </w:rPr>
        <w:t xml:space="preserve">336 </w:t>
      </w:r>
      <w:r w:rsidRPr="003B39D1">
        <w:rPr>
          <w:rFonts w:cs="Arial"/>
          <w:lang w:val="en-US"/>
        </w:rPr>
        <w:t>million)</w:t>
      </w:r>
    </w:p>
    <w:p w:rsidR="00662DA9" w:rsidRDefault="00266960" w:rsidP="00466B00">
      <w:pPr>
        <w:pStyle w:val="ListParagraph"/>
        <w:numPr>
          <w:ilvl w:val="0"/>
          <w:numId w:val="5"/>
        </w:numPr>
        <w:autoSpaceDE w:val="0"/>
        <w:autoSpaceDN w:val="0"/>
        <w:adjustRightInd w:val="0"/>
        <w:spacing w:line="240" w:lineRule="auto"/>
        <w:rPr>
          <w:rFonts w:cs="Arial"/>
          <w:lang w:val="en-US"/>
        </w:rPr>
      </w:pPr>
      <w:r w:rsidRPr="00266960">
        <w:rPr>
          <w:rFonts w:cs="Arial"/>
          <w:b/>
          <w:lang w:val="en-US"/>
        </w:rPr>
        <w:t>€150 million</w:t>
      </w:r>
      <w:r>
        <w:rPr>
          <w:rFonts w:cs="Arial"/>
          <w:lang w:val="en-US"/>
        </w:rPr>
        <w:t xml:space="preserve"> </w:t>
      </w:r>
      <w:r>
        <w:rPr>
          <w:rFonts w:cs="Arial"/>
          <w:b/>
          <w:lang w:val="en-US"/>
        </w:rPr>
        <w:t>s</w:t>
      </w:r>
      <w:r w:rsidR="009B2026" w:rsidRPr="00823F63">
        <w:rPr>
          <w:rFonts w:cs="Arial"/>
          <w:b/>
          <w:lang w:val="en-US"/>
        </w:rPr>
        <w:t xml:space="preserve">hare repurchase </w:t>
      </w:r>
      <w:r w:rsidR="009B2026" w:rsidRPr="00823F63">
        <w:rPr>
          <w:rFonts w:cs="Arial"/>
          <w:lang w:val="en-US"/>
        </w:rPr>
        <w:t xml:space="preserve">program </w:t>
      </w:r>
      <w:r w:rsidR="00823F63" w:rsidRPr="00823F63">
        <w:rPr>
          <w:rFonts w:cs="Arial"/>
          <w:lang w:val="en-US"/>
        </w:rPr>
        <w:t>underway</w:t>
      </w:r>
      <w:r w:rsidR="009B2026" w:rsidRPr="00823F63">
        <w:rPr>
          <w:rFonts w:cs="Arial"/>
          <w:lang w:val="en-US"/>
        </w:rPr>
        <w:t xml:space="preserve">: </w:t>
      </w:r>
      <w:r w:rsidR="00DF0E05" w:rsidRPr="00823F63">
        <w:rPr>
          <w:rFonts w:cs="Arial"/>
          <w:lang w:val="en-US"/>
        </w:rPr>
        <w:t>€144 million</w:t>
      </w:r>
      <w:r w:rsidR="00DF0E05">
        <w:rPr>
          <w:rFonts w:cs="Arial"/>
          <w:lang w:val="en-US"/>
        </w:rPr>
        <w:t xml:space="preserve"> completed up to March</w:t>
      </w:r>
      <w:r w:rsidR="009B2026" w:rsidRPr="00823F63">
        <w:rPr>
          <w:rFonts w:cs="Arial"/>
          <w:lang w:val="en-US"/>
        </w:rPr>
        <w:t xml:space="preserve"> 31, 2017</w:t>
      </w:r>
    </w:p>
    <w:p w:rsidR="002716A9" w:rsidRPr="009B2026" w:rsidRDefault="002716A9" w:rsidP="002716A9">
      <w:pPr>
        <w:pStyle w:val="ListParagraph"/>
        <w:numPr>
          <w:ilvl w:val="0"/>
          <w:numId w:val="5"/>
        </w:numPr>
        <w:autoSpaceDE w:val="0"/>
        <w:autoSpaceDN w:val="0"/>
        <w:adjustRightInd w:val="0"/>
        <w:spacing w:line="240" w:lineRule="auto"/>
        <w:rPr>
          <w:rFonts w:cs="Arial"/>
          <w:lang w:val="en-US"/>
        </w:rPr>
      </w:pPr>
      <w:r>
        <w:rPr>
          <w:rFonts w:cs="Arial"/>
          <w:b/>
          <w:lang w:val="en-US"/>
        </w:rPr>
        <w:t>A s</w:t>
      </w:r>
      <w:r w:rsidRPr="009B2026">
        <w:rPr>
          <w:rFonts w:cs="Arial"/>
          <w:b/>
          <w:lang w:val="en-US"/>
        </w:rPr>
        <w:t>trateg</w:t>
      </w:r>
      <w:r>
        <w:rPr>
          <w:rFonts w:cs="Arial"/>
          <w:b/>
          <w:lang w:val="en-US"/>
        </w:rPr>
        <w:t>y</w:t>
      </w:r>
      <w:r w:rsidRPr="009B2026">
        <w:rPr>
          <w:rFonts w:cs="Arial"/>
          <w:b/>
          <w:lang w:val="en-US"/>
        </w:rPr>
        <w:t xml:space="preserve"> </w:t>
      </w:r>
      <w:r>
        <w:rPr>
          <w:rFonts w:cs="Arial"/>
          <w:b/>
          <w:lang w:val="en-US"/>
        </w:rPr>
        <w:t xml:space="preserve">update </w:t>
      </w:r>
      <w:r>
        <w:rPr>
          <w:rFonts w:cs="Arial"/>
          <w:lang w:val="en-US"/>
        </w:rPr>
        <w:t xml:space="preserve">including further details of the proposed </w:t>
      </w:r>
      <w:r w:rsidRPr="009B2026">
        <w:rPr>
          <w:rFonts w:cs="Arial"/>
          <w:lang w:val="en-US"/>
        </w:rPr>
        <w:t>separation of Specialty Chemicals</w:t>
      </w:r>
      <w:r>
        <w:rPr>
          <w:rFonts w:cs="Arial"/>
          <w:lang w:val="en-US"/>
        </w:rPr>
        <w:t xml:space="preserve"> will follow today at 08.00 CET</w:t>
      </w:r>
    </w:p>
    <w:p w:rsidR="007D7112" w:rsidRPr="007D7112" w:rsidRDefault="007D7112" w:rsidP="004F3F23">
      <w:pPr>
        <w:pStyle w:val="ListParagraph"/>
        <w:autoSpaceDE w:val="0"/>
        <w:autoSpaceDN w:val="0"/>
        <w:adjustRightInd w:val="0"/>
        <w:spacing w:line="240" w:lineRule="auto"/>
        <w:ind w:left="357"/>
        <w:rPr>
          <w:rFonts w:cs="Arial"/>
          <w:bCs/>
          <w:lang w:val="en-US"/>
        </w:rPr>
      </w:pPr>
    </w:p>
    <w:p w:rsidR="00E944CD" w:rsidRDefault="0004428D" w:rsidP="00E944CD">
      <w:pPr>
        <w:autoSpaceDE w:val="0"/>
        <w:autoSpaceDN w:val="0"/>
        <w:adjustRightInd w:val="0"/>
        <w:spacing w:after="0" w:line="240" w:lineRule="auto"/>
        <w:rPr>
          <w:rFonts w:cs="Arial"/>
          <w:lang w:val="en-US"/>
        </w:rPr>
      </w:pPr>
      <w:r w:rsidRPr="00EA5ED3">
        <w:rPr>
          <w:rFonts w:cs="Arial"/>
          <w:b/>
          <w:lang w:val="en-US"/>
        </w:rPr>
        <w:t>Outlook</w:t>
      </w:r>
      <w:r w:rsidR="00BA202A" w:rsidRPr="00EA5ED3">
        <w:rPr>
          <w:rFonts w:cs="Arial"/>
          <w:b/>
          <w:lang w:val="en-US"/>
        </w:rPr>
        <w:t>:</w:t>
      </w:r>
      <w:r w:rsidRPr="00EA5ED3">
        <w:rPr>
          <w:rFonts w:cs="Arial"/>
          <w:lang w:val="en-US"/>
        </w:rPr>
        <w:t xml:space="preserve"> </w:t>
      </w:r>
      <w:r w:rsidR="00E944CD">
        <w:rPr>
          <w:rFonts w:cs="Arial"/>
          <w:lang w:val="en-US"/>
        </w:rPr>
        <w:t xml:space="preserve">AkzoNobel </w:t>
      </w:r>
      <w:r w:rsidR="00E944CD" w:rsidRPr="00E944CD">
        <w:rPr>
          <w:rFonts w:cs="Arial"/>
          <w:lang w:val="en-US"/>
        </w:rPr>
        <w:t>continue</w:t>
      </w:r>
      <w:r w:rsidR="00E944CD">
        <w:rPr>
          <w:rFonts w:cs="Arial"/>
          <w:lang w:val="en-US"/>
        </w:rPr>
        <w:t>s</w:t>
      </w:r>
      <w:r w:rsidR="00E944CD" w:rsidRPr="00E944CD">
        <w:rPr>
          <w:rFonts w:cs="Arial"/>
          <w:lang w:val="en-US"/>
        </w:rPr>
        <w:t xml:space="preserve"> to anticipate positive developments for EMEA, North America and Asia, improving during the year, while Latin America is expected to stabilize. Market trends experienced in the second part of 2016, including for the marine and oil and gas industries, are expected to continue during the first half of 2017.</w:t>
      </w:r>
    </w:p>
    <w:p w:rsidR="00E944CD" w:rsidRPr="00E944CD" w:rsidRDefault="00E944CD" w:rsidP="00E944CD">
      <w:pPr>
        <w:autoSpaceDE w:val="0"/>
        <w:autoSpaceDN w:val="0"/>
        <w:adjustRightInd w:val="0"/>
        <w:spacing w:after="0" w:line="240" w:lineRule="auto"/>
        <w:rPr>
          <w:rFonts w:cs="Arial"/>
          <w:lang w:val="en-US"/>
        </w:rPr>
      </w:pPr>
    </w:p>
    <w:p w:rsidR="007D7112" w:rsidRPr="00444121" w:rsidRDefault="00E944CD" w:rsidP="00E944CD">
      <w:pPr>
        <w:autoSpaceDE w:val="0"/>
        <w:autoSpaceDN w:val="0"/>
        <w:adjustRightInd w:val="0"/>
        <w:spacing w:after="0" w:line="240" w:lineRule="auto"/>
        <w:rPr>
          <w:rFonts w:cs="Arial"/>
          <w:bCs/>
          <w:lang w:val="en-US"/>
        </w:rPr>
      </w:pPr>
      <w:r>
        <w:rPr>
          <w:rFonts w:cs="Arial"/>
          <w:lang w:val="en-US"/>
        </w:rPr>
        <w:t>The company has</w:t>
      </w:r>
      <w:r w:rsidRPr="00E944CD">
        <w:rPr>
          <w:rFonts w:cs="Arial"/>
          <w:lang w:val="en-US"/>
        </w:rPr>
        <w:t xml:space="preserve"> structurally improved </w:t>
      </w:r>
      <w:r>
        <w:rPr>
          <w:rFonts w:cs="Arial"/>
          <w:lang w:val="en-US"/>
        </w:rPr>
        <w:t>its</w:t>
      </w:r>
      <w:r w:rsidRPr="00E944CD">
        <w:rPr>
          <w:rFonts w:cs="Arial"/>
          <w:lang w:val="en-US"/>
        </w:rPr>
        <w:t xml:space="preserve"> ability to respond to developments in </w:t>
      </w:r>
      <w:r>
        <w:rPr>
          <w:rFonts w:cs="Arial"/>
          <w:lang w:val="en-US"/>
        </w:rPr>
        <w:t>its</w:t>
      </w:r>
      <w:r w:rsidRPr="00E944CD">
        <w:rPr>
          <w:rFonts w:cs="Arial"/>
          <w:lang w:val="en-US"/>
        </w:rPr>
        <w:t xml:space="preserve"> markets and continue</w:t>
      </w:r>
      <w:r w:rsidR="00BA7E2B" w:rsidRPr="00D87FD2">
        <w:rPr>
          <w:rFonts w:cs="Arial"/>
          <w:lang w:val="en-US"/>
        </w:rPr>
        <w:t>s</w:t>
      </w:r>
      <w:r w:rsidRPr="00E944CD">
        <w:rPr>
          <w:rFonts w:cs="Arial"/>
          <w:lang w:val="en-US"/>
        </w:rPr>
        <w:t xml:space="preserve"> taking appropriate measures to deal with higher raw material prices in an inflationary environment. EBIT for 2017 </w:t>
      </w:r>
      <w:r>
        <w:rPr>
          <w:rFonts w:cs="Arial"/>
          <w:lang w:val="en-US"/>
        </w:rPr>
        <w:t xml:space="preserve">is expected </w:t>
      </w:r>
      <w:r w:rsidRPr="00E944CD">
        <w:rPr>
          <w:rFonts w:cs="Arial"/>
          <w:lang w:val="en-US"/>
        </w:rPr>
        <w:t>to be around €</w:t>
      </w:r>
      <w:r w:rsidR="00276055">
        <w:rPr>
          <w:rFonts w:cs="Arial"/>
          <w:lang w:val="en-US"/>
        </w:rPr>
        <w:t>100</w:t>
      </w:r>
      <w:r w:rsidRPr="00E944CD">
        <w:rPr>
          <w:rFonts w:cs="Arial"/>
          <w:lang w:val="en-US"/>
        </w:rPr>
        <w:t xml:space="preserve"> million higher than 2016, as a result of growth momentum and continuous improvement, assuming no material change in market and economic dynamics</w:t>
      </w:r>
      <w:r w:rsidR="007D7112" w:rsidRPr="00444121">
        <w:rPr>
          <w:rFonts w:cs="Arial"/>
          <w:bCs/>
          <w:lang w:val="en-US"/>
        </w:rPr>
        <w:t>.</w:t>
      </w:r>
    </w:p>
    <w:p w:rsidR="00B237B1" w:rsidRPr="00493607" w:rsidRDefault="00DF0E05" w:rsidP="00823F63">
      <w:pPr>
        <w:autoSpaceDE w:val="0"/>
        <w:autoSpaceDN w:val="0"/>
        <w:adjustRightInd w:val="0"/>
        <w:spacing w:line="240" w:lineRule="auto"/>
        <w:jc w:val="both"/>
        <w:rPr>
          <w:szCs w:val="20"/>
          <w:lang w:val="en-US"/>
        </w:rPr>
      </w:pPr>
      <w:r w:rsidRPr="00FB734F">
        <w:rPr>
          <w:b/>
          <w:noProof/>
          <w:sz w:val="16"/>
          <w:highlight w:val="yellow"/>
          <w:lang w:val="en-US" w:eastAsia="zh-CN"/>
        </w:rPr>
        <mc:AlternateContent>
          <mc:Choice Requires="wps">
            <w:drawing>
              <wp:anchor distT="0" distB="0" distL="114300" distR="114300" simplePos="0" relativeHeight="251661312" behindDoc="0" locked="0" layoutInCell="1" allowOverlap="1" wp14:anchorId="4830EDC9" wp14:editId="181F24AB">
                <wp:simplePos x="0" y="0"/>
                <wp:positionH relativeFrom="page">
                  <wp:posOffset>1085850</wp:posOffset>
                </wp:positionH>
                <wp:positionV relativeFrom="page">
                  <wp:posOffset>6962775</wp:posOffset>
                </wp:positionV>
                <wp:extent cx="5784215" cy="278130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5784215" cy="2781300"/>
                        </a:xfrm>
                        <a:prstGeom prst="rect">
                          <a:avLst/>
                        </a:prstGeom>
                        <a:gradFill flip="none" rotWithShape="1">
                          <a:gsLst>
                            <a:gs pos="0">
                              <a:schemeClr val="accent1">
                                <a:tint val="66000"/>
                                <a:satMod val="160000"/>
                                <a:alpha val="0"/>
                              </a:schemeClr>
                            </a:gs>
                            <a:gs pos="100000">
                              <a:schemeClr val="accent1">
                                <a:tint val="44500"/>
                                <a:satMod val="160000"/>
                              </a:schemeClr>
                            </a:gs>
                            <a:gs pos="100000">
                              <a:schemeClr val="accent1">
                                <a:tint val="23500"/>
                                <a:satMod val="160000"/>
                              </a:schemeClr>
                            </a:gs>
                          </a:gsLst>
                          <a:lin ang="27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CF1A74" w:rsidRDefault="008268A4" w:rsidP="004F3F23">
                            <w:pPr>
                              <w:spacing w:after="0" w:line="240" w:lineRule="auto"/>
                              <w:rPr>
                                <w:lang w:val="en-US"/>
                              </w:rPr>
                            </w:pPr>
                            <w:r w:rsidRPr="00B374E2">
                              <w:rPr>
                                <w:b/>
                                <w:lang w:val="en-US"/>
                              </w:rPr>
                              <w:t>C</w:t>
                            </w:r>
                            <w:r w:rsidR="00DF0E05">
                              <w:rPr>
                                <w:b/>
                                <w:lang w:val="en-US"/>
                              </w:rPr>
                              <w:t>F</w:t>
                            </w:r>
                            <w:r w:rsidR="007B341A">
                              <w:rPr>
                                <w:b/>
                                <w:lang w:val="en-US"/>
                              </w:rPr>
                              <w:t>O</w:t>
                            </w:r>
                            <w:r w:rsidRPr="00B374E2">
                              <w:rPr>
                                <w:b/>
                                <w:lang w:val="en-US"/>
                              </w:rPr>
                              <w:t xml:space="preserve"> </w:t>
                            </w:r>
                            <w:r w:rsidR="00DF0E05">
                              <w:rPr>
                                <w:b/>
                                <w:lang w:val="en-US"/>
                              </w:rPr>
                              <w:t>Ma</w:t>
                            </w:r>
                            <w:r w:rsidR="00DF0E05">
                              <w:rPr>
                                <w:rFonts w:cs="Arial"/>
                                <w:b/>
                                <w:lang w:val="en-US"/>
                              </w:rPr>
                              <w:t>ë</w:t>
                            </w:r>
                            <w:r w:rsidR="00DF0E05">
                              <w:rPr>
                                <w:b/>
                                <w:lang w:val="en-US"/>
                              </w:rPr>
                              <w:t>lys Castella</w:t>
                            </w:r>
                            <w:r w:rsidR="00613209">
                              <w:rPr>
                                <w:b/>
                                <w:lang w:val="en-US"/>
                              </w:rPr>
                              <w:t>:</w:t>
                            </w:r>
                          </w:p>
                          <w:p w:rsidR="00E07793" w:rsidRPr="001E3C7E" w:rsidRDefault="00E07793" w:rsidP="00EE2E29">
                            <w:pPr>
                              <w:spacing w:after="0" w:line="240" w:lineRule="auto"/>
                              <w:rPr>
                                <w:sz w:val="8"/>
                                <w:lang w:val="en-US"/>
                              </w:rPr>
                            </w:pPr>
                          </w:p>
                          <w:p w:rsidR="008D39A5" w:rsidRDefault="00662DA9" w:rsidP="008D39A5">
                            <w:pPr>
                              <w:spacing w:line="240" w:lineRule="auto"/>
                              <w:rPr>
                                <w:lang w:val="en-US"/>
                              </w:rPr>
                            </w:pPr>
                            <w:r>
                              <w:rPr>
                                <w:lang w:val="en-US"/>
                              </w:rPr>
                              <w:t>“</w:t>
                            </w:r>
                            <w:r w:rsidR="00DF0E05">
                              <w:rPr>
                                <w:lang w:val="en-US"/>
                              </w:rPr>
                              <w:t xml:space="preserve">Our record performance continued this quarter, </w:t>
                            </w:r>
                            <w:r w:rsidR="00EE3082">
                              <w:rPr>
                                <w:lang w:val="en-US"/>
                              </w:rPr>
                              <w:t xml:space="preserve">showing the </w:t>
                            </w:r>
                            <w:r w:rsidR="002716A9">
                              <w:rPr>
                                <w:lang w:val="en-US"/>
                              </w:rPr>
                              <w:t>substantial</w:t>
                            </w:r>
                            <w:r w:rsidR="00EE3082">
                              <w:rPr>
                                <w:lang w:val="en-US"/>
                              </w:rPr>
                              <w:t xml:space="preserve"> growth momentum w</w:t>
                            </w:r>
                            <w:r w:rsidR="00994B62">
                              <w:rPr>
                                <w:lang w:val="en-US"/>
                              </w:rPr>
                              <w:t xml:space="preserve">e </w:t>
                            </w:r>
                            <w:r w:rsidR="00EE3082">
                              <w:rPr>
                                <w:lang w:val="en-US"/>
                              </w:rPr>
                              <w:t>have across the business.</w:t>
                            </w:r>
                            <w:r w:rsidR="00496871">
                              <w:rPr>
                                <w:lang w:val="en-US"/>
                              </w:rPr>
                              <w:t xml:space="preserve"> S</w:t>
                            </w:r>
                            <w:r w:rsidR="008D39A5">
                              <w:rPr>
                                <w:lang w:val="en-US"/>
                              </w:rPr>
                              <w:t xml:space="preserve">ignificant </w:t>
                            </w:r>
                            <w:r w:rsidR="00EE3082">
                              <w:rPr>
                                <w:lang w:val="en-US"/>
                              </w:rPr>
                              <w:t>progress continues</w:t>
                            </w:r>
                            <w:r w:rsidR="008D39A5">
                              <w:rPr>
                                <w:lang w:val="en-US"/>
                              </w:rPr>
                              <w:t xml:space="preserve"> </w:t>
                            </w:r>
                            <w:r w:rsidR="00823F63">
                              <w:rPr>
                                <w:lang w:val="en-US"/>
                              </w:rPr>
                              <w:t>across</w:t>
                            </w:r>
                            <w:r w:rsidR="008D39A5">
                              <w:rPr>
                                <w:lang w:val="en-US"/>
                              </w:rPr>
                              <w:t xml:space="preserve"> all our Business Areas, reflecting both our strong customer focus and </w:t>
                            </w:r>
                            <w:r w:rsidR="00823F63">
                              <w:rPr>
                                <w:lang w:val="en-US"/>
                              </w:rPr>
                              <w:t>great</w:t>
                            </w:r>
                            <w:r w:rsidR="008D39A5">
                              <w:rPr>
                                <w:lang w:val="en-US"/>
                              </w:rPr>
                              <w:t xml:space="preserve"> portfolio of brands.</w:t>
                            </w:r>
                          </w:p>
                          <w:p w:rsidR="008D39A5" w:rsidRDefault="008D39A5" w:rsidP="008D39A5">
                            <w:pPr>
                              <w:spacing w:line="240" w:lineRule="auto"/>
                              <w:rPr>
                                <w:lang w:val="en-US"/>
                              </w:rPr>
                            </w:pPr>
                          </w:p>
                          <w:p w:rsidR="00823F63" w:rsidRDefault="00823F63" w:rsidP="00823F63">
                            <w:pPr>
                              <w:spacing w:line="240" w:lineRule="auto"/>
                              <w:rPr>
                                <w:lang w:val="en-US"/>
                              </w:rPr>
                            </w:pPr>
                            <w:r>
                              <w:rPr>
                                <w:lang w:val="en-US"/>
                              </w:rPr>
                              <w:t>“</w:t>
                            </w:r>
                            <w:r w:rsidR="00D00588">
                              <w:rPr>
                                <w:lang w:val="en-US"/>
                              </w:rPr>
                              <w:t xml:space="preserve">We remain focused on increasing returns to </w:t>
                            </w:r>
                            <w:r>
                              <w:rPr>
                                <w:lang w:val="en-US"/>
                              </w:rPr>
                              <w:t>shareholder</w:t>
                            </w:r>
                            <w:r w:rsidR="00D00588">
                              <w:rPr>
                                <w:lang w:val="en-US"/>
                              </w:rPr>
                              <w:t xml:space="preserve">s, </w:t>
                            </w:r>
                            <w:r>
                              <w:rPr>
                                <w:lang w:val="en-US"/>
                              </w:rPr>
                              <w:t xml:space="preserve">including </w:t>
                            </w:r>
                            <w:r w:rsidR="00646457">
                              <w:rPr>
                                <w:lang w:val="en-US"/>
                              </w:rPr>
                              <w:t>a</w:t>
                            </w:r>
                            <w:r w:rsidR="00EE3082">
                              <w:rPr>
                                <w:lang w:val="en-US"/>
                              </w:rPr>
                              <w:t xml:space="preserve"> </w:t>
                            </w:r>
                            <w:r w:rsidR="00EE3082" w:rsidRPr="00823F63">
                              <w:rPr>
                                <w:rFonts w:cs="Arial"/>
                                <w:lang w:val="en-US"/>
                              </w:rPr>
                              <w:t>€1</w:t>
                            </w:r>
                            <w:r w:rsidR="00EE3082">
                              <w:rPr>
                                <w:rFonts w:cs="Arial"/>
                                <w:lang w:val="en-US"/>
                              </w:rPr>
                              <w:t>50 million share r</w:t>
                            </w:r>
                            <w:r w:rsidR="00D00588">
                              <w:rPr>
                                <w:lang w:val="en-US"/>
                              </w:rPr>
                              <w:t xml:space="preserve">epurchase program that </w:t>
                            </w:r>
                            <w:r w:rsidR="00EE3082">
                              <w:rPr>
                                <w:lang w:val="en-US"/>
                              </w:rPr>
                              <w:t>began</w:t>
                            </w:r>
                            <w:r w:rsidR="00D00588">
                              <w:rPr>
                                <w:lang w:val="en-US"/>
                              </w:rPr>
                              <w:t xml:space="preserve"> in the quarter</w:t>
                            </w:r>
                            <w:r>
                              <w:rPr>
                                <w:lang w:val="en-US"/>
                              </w:rPr>
                              <w:t>.</w:t>
                            </w:r>
                          </w:p>
                          <w:p w:rsidR="00823F63" w:rsidRDefault="00823F63" w:rsidP="00823F63">
                            <w:pPr>
                              <w:spacing w:line="240" w:lineRule="auto"/>
                              <w:rPr>
                                <w:lang w:val="en-US"/>
                              </w:rPr>
                            </w:pPr>
                          </w:p>
                          <w:p w:rsidR="00496871" w:rsidRDefault="00496871" w:rsidP="00823F63">
                            <w:pPr>
                              <w:spacing w:line="240" w:lineRule="auto"/>
                              <w:rPr>
                                <w:lang w:val="en-US"/>
                              </w:rPr>
                            </w:pPr>
                            <w:r>
                              <w:rPr>
                                <w:lang w:val="en-US"/>
                              </w:rPr>
                              <w:t>“We made another</w:t>
                            </w:r>
                            <w:r w:rsidR="002716A9">
                              <w:rPr>
                                <w:lang w:val="en-US"/>
                              </w:rPr>
                              <w:t xml:space="preserve"> industry-leading</w:t>
                            </w:r>
                            <w:r>
                              <w:rPr>
                                <w:lang w:val="en-US"/>
                              </w:rPr>
                              <w:t xml:space="preserve"> commitment to sustainability, announcing our ambition to become carbon neutral by 2050 and use 100% renewable energy. </w:t>
                            </w:r>
                          </w:p>
                          <w:p w:rsidR="00496871" w:rsidRDefault="00496871" w:rsidP="00496871">
                            <w:pPr>
                              <w:spacing w:line="240" w:lineRule="auto"/>
                              <w:rPr>
                                <w:lang w:val="en-US"/>
                              </w:rPr>
                            </w:pPr>
                          </w:p>
                          <w:p w:rsidR="00496871" w:rsidRDefault="00496871" w:rsidP="008D39A5">
                            <w:pPr>
                              <w:spacing w:line="240" w:lineRule="auto"/>
                              <w:rPr>
                                <w:lang w:val="en-US"/>
                              </w:rPr>
                            </w:pPr>
                            <w:r>
                              <w:rPr>
                                <w:lang w:val="en-US"/>
                              </w:rPr>
                              <w:t xml:space="preserve">“Our R&amp;D efforts will be strengthened with a new innovation hub at Felling </w:t>
                            </w:r>
                            <w:r w:rsidR="00CE400D">
                              <w:rPr>
                                <w:lang w:val="en-US"/>
                              </w:rPr>
                              <w:t>in</w:t>
                            </w:r>
                            <w:r>
                              <w:rPr>
                                <w:lang w:val="en-US"/>
                              </w:rPr>
                              <w:t xml:space="preserve"> the UK, and we announced </w:t>
                            </w:r>
                            <w:r w:rsidR="009B6E40">
                              <w:rPr>
                                <w:lang w:val="en-US"/>
                              </w:rPr>
                              <w:t xml:space="preserve">more </w:t>
                            </w:r>
                            <w:r>
                              <w:rPr>
                                <w:lang w:val="en-US"/>
                              </w:rPr>
                              <w:t>key partnerships for our Human Cities Program</w:t>
                            </w:r>
                            <w:r w:rsidR="00D00588">
                              <w:rPr>
                                <w:lang w:val="en-US"/>
                              </w:rPr>
                              <w:t xml:space="preserve"> around the world</w:t>
                            </w:r>
                            <w:r>
                              <w:rPr>
                                <w:lang w:val="en-US"/>
                              </w:rPr>
                              <w:t>.</w:t>
                            </w:r>
                          </w:p>
                          <w:p w:rsidR="00496871" w:rsidRDefault="00496871" w:rsidP="008D39A5">
                            <w:pPr>
                              <w:spacing w:line="240" w:lineRule="auto"/>
                              <w:rPr>
                                <w:lang w:val="en-US"/>
                              </w:rPr>
                            </w:pPr>
                          </w:p>
                          <w:p w:rsidR="00EE3082" w:rsidRDefault="008D39A5" w:rsidP="008D39A5">
                            <w:pPr>
                              <w:spacing w:line="240" w:lineRule="auto"/>
                              <w:rPr>
                                <w:lang w:val="en-US"/>
                              </w:rPr>
                            </w:pPr>
                            <w:r>
                              <w:rPr>
                                <w:lang w:val="en-US"/>
                              </w:rPr>
                              <w:t>“</w:t>
                            </w:r>
                            <w:r w:rsidR="00496871">
                              <w:rPr>
                                <w:lang w:val="en-US"/>
                              </w:rPr>
                              <w:t xml:space="preserve">Our </w:t>
                            </w:r>
                            <w:r>
                              <w:rPr>
                                <w:lang w:val="en-US"/>
                              </w:rPr>
                              <w:t>strong financial and operational foundation has enabled us to embark on the next phase of our strategy, with a review of options for the separation of the Specialty Chemicals business to further unlock value for shareholders.</w:t>
                            </w:r>
                            <w:r w:rsidR="00496871">
                              <w:rPr>
                                <w:lang w:val="en-US"/>
                              </w:rPr>
                              <w:t xml:space="preserve"> </w:t>
                            </w:r>
                            <w:r w:rsidR="00EE3082">
                              <w:rPr>
                                <w:lang w:val="en-US"/>
                              </w:rPr>
                              <w:t>We look forward to updating the market on our new strategy.”</w:t>
                            </w:r>
                          </w:p>
                          <w:p w:rsidR="00EE3082" w:rsidRDefault="00EE3082" w:rsidP="008D39A5">
                            <w:pPr>
                              <w:spacing w:line="240" w:lineRule="auto"/>
                              <w:rPr>
                                <w:lang w:val="en-US"/>
                              </w:rPr>
                            </w:pPr>
                          </w:p>
                          <w:p w:rsidR="008D39A5" w:rsidRDefault="008D39A5" w:rsidP="008D39A5">
                            <w:pPr>
                              <w:spacing w:line="240" w:lineRule="auto"/>
                              <w:rPr>
                                <w:lang w:val="en-US"/>
                              </w:rPr>
                            </w:pPr>
                          </w:p>
                          <w:p w:rsidR="007F6D3F" w:rsidRPr="00C02BA1" w:rsidRDefault="007F6D3F" w:rsidP="00C02BA1">
                            <w:pPr>
                              <w:rPr>
                                <w:lang w:val="en-US"/>
                              </w:rPr>
                            </w:pPr>
                          </w:p>
                          <w:p w:rsidR="00B10FA6" w:rsidRPr="0041035B" w:rsidRDefault="00B10FA6" w:rsidP="001265A6">
                            <w:pPr>
                              <w:rPr>
                                <w:lang w:val="en-US"/>
                              </w:rPr>
                            </w:pPr>
                          </w:p>
                          <w:p w:rsidR="009A3CA4" w:rsidRPr="005A7446" w:rsidRDefault="009A3CA4" w:rsidP="007917FF">
                            <w:pPr>
                              <w:spacing w:line="240" w:lineRule="auto"/>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5.5pt;margin-top:548.25pt;width:455.45pt;height:2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" fillcolor="#8aabd3 [2132]" stroked="f" strokeweight=".5pt">
                <v:fill color2="#d6e2f0 [756]" o:opacity2="0" rotate="t" angle="45" colors="0 #9ab5e4;1 #c2d1ed;1 #e1e8f5" focus="100%" type="gradient"/>
                <v:textbox>
                  <w:txbxContent>
                    <w:p w:rsidR="00CF1A74" w:rsidRDefault="008268A4" w:rsidP="004F3F23">
                      <w:pPr>
                        <w:spacing w:after="0" w:line="240" w:lineRule="auto"/>
                        <w:rPr>
                          <w:lang w:val="en-US"/>
                        </w:rPr>
                      </w:pPr>
                      <w:r w:rsidRPr="00B374E2">
                        <w:rPr>
                          <w:b/>
                          <w:lang w:val="en-US"/>
                        </w:rPr>
                        <w:t>C</w:t>
                      </w:r>
                      <w:r w:rsidR="00DF0E05">
                        <w:rPr>
                          <w:b/>
                          <w:lang w:val="en-US"/>
                        </w:rPr>
                        <w:t>F</w:t>
                      </w:r>
                      <w:r w:rsidR="007B341A">
                        <w:rPr>
                          <w:b/>
                          <w:lang w:val="en-US"/>
                        </w:rPr>
                        <w:t>O</w:t>
                      </w:r>
                      <w:r w:rsidRPr="00B374E2">
                        <w:rPr>
                          <w:b/>
                          <w:lang w:val="en-US"/>
                        </w:rPr>
                        <w:t xml:space="preserve"> </w:t>
                      </w:r>
                      <w:r w:rsidR="00DF0E05">
                        <w:rPr>
                          <w:b/>
                          <w:lang w:val="en-US"/>
                        </w:rPr>
                        <w:t>Ma</w:t>
                      </w:r>
                      <w:r w:rsidR="00DF0E05">
                        <w:rPr>
                          <w:rFonts w:cs="Arial"/>
                          <w:b/>
                          <w:lang w:val="en-US"/>
                        </w:rPr>
                        <w:t>ë</w:t>
                      </w:r>
                      <w:r w:rsidR="00DF0E05">
                        <w:rPr>
                          <w:b/>
                          <w:lang w:val="en-US"/>
                        </w:rPr>
                        <w:t>lys Castella</w:t>
                      </w:r>
                      <w:r w:rsidR="00613209">
                        <w:rPr>
                          <w:b/>
                          <w:lang w:val="en-US"/>
                        </w:rPr>
                        <w:t>:</w:t>
                      </w:r>
                    </w:p>
                    <w:p w:rsidR="00E07793" w:rsidRPr="001E3C7E" w:rsidRDefault="00E07793" w:rsidP="00EE2E29">
                      <w:pPr>
                        <w:spacing w:after="0" w:line="240" w:lineRule="auto"/>
                        <w:rPr>
                          <w:sz w:val="8"/>
                          <w:lang w:val="en-US"/>
                        </w:rPr>
                      </w:pPr>
                    </w:p>
                    <w:p w:rsidR="008D39A5" w:rsidRDefault="00662DA9" w:rsidP="008D39A5">
                      <w:pPr>
                        <w:spacing w:line="240" w:lineRule="auto"/>
                        <w:rPr>
                          <w:lang w:val="en-US"/>
                        </w:rPr>
                      </w:pPr>
                      <w:r>
                        <w:rPr>
                          <w:lang w:val="en-US"/>
                        </w:rPr>
                        <w:t>“</w:t>
                      </w:r>
                      <w:r w:rsidR="00DF0E05">
                        <w:rPr>
                          <w:lang w:val="en-US"/>
                        </w:rPr>
                        <w:t xml:space="preserve">Our record performance continued this quarter, </w:t>
                      </w:r>
                      <w:r w:rsidR="00EE3082">
                        <w:rPr>
                          <w:lang w:val="en-US"/>
                        </w:rPr>
                        <w:t xml:space="preserve">showing the </w:t>
                      </w:r>
                      <w:r w:rsidR="002716A9">
                        <w:rPr>
                          <w:lang w:val="en-US"/>
                        </w:rPr>
                        <w:t>substantial</w:t>
                      </w:r>
                      <w:r w:rsidR="00EE3082">
                        <w:rPr>
                          <w:lang w:val="en-US"/>
                        </w:rPr>
                        <w:t xml:space="preserve"> growth momentum w</w:t>
                      </w:r>
                      <w:r w:rsidR="00994B62">
                        <w:rPr>
                          <w:lang w:val="en-US"/>
                        </w:rPr>
                        <w:t xml:space="preserve">e </w:t>
                      </w:r>
                      <w:r w:rsidR="00EE3082">
                        <w:rPr>
                          <w:lang w:val="en-US"/>
                        </w:rPr>
                        <w:t>have across the business.</w:t>
                      </w:r>
                      <w:r w:rsidR="00496871">
                        <w:rPr>
                          <w:lang w:val="en-US"/>
                        </w:rPr>
                        <w:t xml:space="preserve"> S</w:t>
                      </w:r>
                      <w:r w:rsidR="008D39A5">
                        <w:rPr>
                          <w:lang w:val="en-US"/>
                        </w:rPr>
                        <w:t xml:space="preserve">ignificant </w:t>
                      </w:r>
                      <w:r w:rsidR="00EE3082">
                        <w:rPr>
                          <w:lang w:val="en-US"/>
                        </w:rPr>
                        <w:t>progress continues</w:t>
                      </w:r>
                      <w:r w:rsidR="008D39A5">
                        <w:rPr>
                          <w:lang w:val="en-US"/>
                        </w:rPr>
                        <w:t xml:space="preserve"> </w:t>
                      </w:r>
                      <w:r w:rsidR="00823F63">
                        <w:rPr>
                          <w:lang w:val="en-US"/>
                        </w:rPr>
                        <w:t>across</w:t>
                      </w:r>
                      <w:r w:rsidR="008D39A5">
                        <w:rPr>
                          <w:lang w:val="en-US"/>
                        </w:rPr>
                        <w:t xml:space="preserve"> all our Business Areas, reflecting both our strong customer focus and </w:t>
                      </w:r>
                      <w:r w:rsidR="00823F63">
                        <w:rPr>
                          <w:lang w:val="en-US"/>
                        </w:rPr>
                        <w:t>great</w:t>
                      </w:r>
                      <w:r w:rsidR="008D39A5">
                        <w:rPr>
                          <w:lang w:val="en-US"/>
                        </w:rPr>
                        <w:t xml:space="preserve"> portfolio of brands.</w:t>
                      </w:r>
                    </w:p>
                    <w:p w:rsidR="008D39A5" w:rsidRDefault="008D39A5" w:rsidP="008D39A5">
                      <w:pPr>
                        <w:spacing w:line="240" w:lineRule="auto"/>
                        <w:rPr>
                          <w:lang w:val="en-US"/>
                        </w:rPr>
                      </w:pPr>
                    </w:p>
                    <w:p w:rsidR="00823F63" w:rsidRDefault="00823F63" w:rsidP="00823F63">
                      <w:pPr>
                        <w:spacing w:line="240" w:lineRule="auto"/>
                        <w:rPr>
                          <w:lang w:val="en-US"/>
                        </w:rPr>
                      </w:pPr>
                      <w:r>
                        <w:rPr>
                          <w:lang w:val="en-US"/>
                        </w:rPr>
                        <w:t>“</w:t>
                      </w:r>
                      <w:r w:rsidR="00D00588">
                        <w:rPr>
                          <w:lang w:val="en-US"/>
                        </w:rPr>
                        <w:t xml:space="preserve">We remain focused on increasing returns to </w:t>
                      </w:r>
                      <w:r>
                        <w:rPr>
                          <w:lang w:val="en-US"/>
                        </w:rPr>
                        <w:t>shareholder</w:t>
                      </w:r>
                      <w:r w:rsidR="00D00588">
                        <w:rPr>
                          <w:lang w:val="en-US"/>
                        </w:rPr>
                        <w:t xml:space="preserve">s, </w:t>
                      </w:r>
                      <w:r>
                        <w:rPr>
                          <w:lang w:val="en-US"/>
                        </w:rPr>
                        <w:t xml:space="preserve">including </w:t>
                      </w:r>
                      <w:r w:rsidR="00646457">
                        <w:rPr>
                          <w:lang w:val="en-US"/>
                        </w:rPr>
                        <w:t>a</w:t>
                      </w:r>
                      <w:r w:rsidR="00EE3082">
                        <w:rPr>
                          <w:lang w:val="en-US"/>
                        </w:rPr>
                        <w:t xml:space="preserve"> </w:t>
                      </w:r>
                      <w:r w:rsidR="00EE3082" w:rsidRPr="00823F63">
                        <w:rPr>
                          <w:rFonts w:cs="Arial"/>
                          <w:lang w:val="en-US"/>
                        </w:rPr>
                        <w:t>€1</w:t>
                      </w:r>
                      <w:r w:rsidR="00EE3082">
                        <w:rPr>
                          <w:rFonts w:cs="Arial"/>
                          <w:lang w:val="en-US"/>
                        </w:rPr>
                        <w:t>50 million share r</w:t>
                      </w:r>
                      <w:r w:rsidR="00D00588">
                        <w:rPr>
                          <w:lang w:val="en-US"/>
                        </w:rPr>
                        <w:t xml:space="preserve">epurchase program that </w:t>
                      </w:r>
                      <w:r w:rsidR="00EE3082">
                        <w:rPr>
                          <w:lang w:val="en-US"/>
                        </w:rPr>
                        <w:t>began</w:t>
                      </w:r>
                      <w:r w:rsidR="00D00588">
                        <w:rPr>
                          <w:lang w:val="en-US"/>
                        </w:rPr>
                        <w:t xml:space="preserve"> in the quarter</w:t>
                      </w:r>
                      <w:r>
                        <w:rPr>
                          <w:lang w:val="en-US"/>
                        </w:rPr>
                        <w:t>.</w:t>
                      </w:r>
                    </w:p>
                    <w:p w:rsidR="00823F63" w:rsidRDefault="00823F63" w:rsidP="00823F63">
                      <w:pPr>
                        <w:spacing w:line="240" w:lineRule="auto"/>
                        <w:rPr>
                          <w:lang w:val="en-US"/>
                        </w:rPr>
                      </w:pPr>
                    </w:p>
                    <w:p w:rsidR="00496871" w:rsidRDefault="00496871" w:rsidP="00823F63">
                      <w:pPr>
                        <w:spacing w:line="240" w:lineRule="auto"/>
                        <w:rPr>
                          <w:lang w:val="en-US"/>
                        </w:rPr>
                      </w:pPr>
                      <w:r>
                        <w:rPr>
                          <w:lang w:val="en-US"/>
                        </w:rPr>
                        <w:t>“We made another</w:t>
                      </w:r>
                      <w:r w:rsidR="002716A9">
                        <w:rPr>
                          <w:lang w:val="en-US"/>
                        </w:rPr>
                        <w:t xml:space="preserve"> industry-leading</w:t>
                      </w:r>
                      <w:r>
                        <w:rPr>
                          <w:lang w:val="en-US"/>
                        </w:rPr>
                        <w:t xml:space="preserve"> commitment to sustainability, announcing our ambition to become carbon neutral by 2050 and use 100% renewable energy. </w:t>
                      </w:r>
                    </w:p>
                    <w:p w:rsidR="00496871" w:rsidRDefault="00496871" w:rsidP="00496871">
                      <w:pPr>
                        <w:spacing w:line="240" w:lineRule="auto"/>
                        <w:rPr>
                          <w:lang w:val="en-US"/>
                        </w:rPr>
                      </w:pPr>
                    </w:p>
                    <w:p w:rsidR="00496871" w:rsidRDefault="00496871" w:rsidP="008D39A5">
                      <w:pPr>
                        <w:spacing w:line="240" w:lineRule="auto"/>
                        <w:rPr>
                          <w:lang w:val="en-US"/>
                        </w:rPr>
                      </w:pPr>
                      <w:r>
                        <w:rPr>
                          <w:lang w:val="en-US"/>
                        </w:rPr>
                        <w:t xml:space="preserve">“Our R&amp;D efforts will be strengthened with a new innovation hub at Felling </w:t>
                      </w:r>
                      <w:r w:rsidR="00CE400D">
                        <w:rPr>
                          <w:lang w:val="en-US"/>
                        </w:rPr>
                        <w:t>in</w:t>
                      </w:r>
                      <w:r>
                        <w:rPr>
                          <w:lang w:val="en-US"/>
                        </w:rPr>
                        <w:t xml:space="preserve"> the UK, and we announced </w:t>
                      </w:r>
                      <w:r w:rsidR="009B6E40">
                        <w:rPr>
                          <w:lang w:val="en-US"/>
                        </w:rPr>
                        <w:t xml:space="preserve">more </w:t>
                      </w:r>
                      <w:r>
                        <w:rPr>
                          <w:lang w:val="en-US"/>
                        </w:rPr>
                        <w:t>key partnerships for our Human Cities Program</w:t>
                      </w:r>
                      <w:r w:rsidR="00D00588">
                        <w:rPr>
                          <w:lang w:val="en-US"/>
                        </w:rPr>
                        <w:t xml:space="preserve"> around the world</w:t>
                      </w:r>
                      <w:r>
                        <w:rPr>
                          <w:lang w:val="en-US"/>
                        </w:rPr>
                        <w:t>.</w:t>
                      </w:r>
                    </w:p>
                    <w:p w:rsidR="00496871" w:rsidRDefault="00496871" w:rsidP="008D39A5">
                      <w:pPr>
                        <w:spacing w:line="240" w:lineRule="auto"/>
                        <w:rPr>
                          <w:lang w:val="en-US"/>
                        </w:rPr>
                      </w:pPr>
                    </w:p>
                    <w:p w:rsidR="00EE3082" w:rsidRDefault="008D39A5" w:rsidP="008D39A5">
                      <w:pPr>
                        <w:spacing w:line="240" w:lineRule="auto"/>
                        <w:rPr>
                          <w:lang w:val="en-US"/>
                        </w:rPr>
                      </w:pPr>
                      <w:r>
                        <w:rPr>
                          <w:lang w:val="en-US"/>
                        </w:rPr>
                        <w:t>“</w:t>
                      </w:r>
                      <w:r w:rsidR="00496871">
                        <w:rPr>
                          <w:lang w:val="en-US"/>
                        </w:rPr>
                        <w:t xml:space="preserve">Our </w:t>
                      </w:r>
                      <w:r>
                        <w:rPr>
                          <w:lang w:val="en-US"/>
                        </w:rPr>
                        <w:t>strong financial and operational foundation has enabled us to embark on the next phase of our strategy, with a review of options for the separation of the Specialty Chemicals business to further unlock value for shareholders.</w:t>
                      </w:r>
                      <w:r w:rsidR="00496871">
                        <w:rPr>
                          <w:lang w:val="en-US"/>
                        </w:rPr>
                        <w:t xml:space="preserve"> </w:t>
                      </w:r>
                      <w:r w:rsidR="00EE3082">
                        <w:rPr>
                          <w:lang w:val="en-US"/>
                        </w:rPr>
                        <w:t>We look forward to updating the market on our new strategy.”</w:t>
                      </w:r>
                    </w:p>
                    <w:p w:rsidR="00EE3082" w:rsidRDefault="00EE3082" w:rsidP="008D39A5">
                      <w:pPr>
                        <w:spacing w:line="240" w:lineRule="auto"/>
                        <w:rPr>
                          <w:lang w:val="en-US"/>
                        </w:rPr>
                      </w:pPr>
                    </w:p>
                    <w:p w:rsidR="008D39A5" w:rsidRDefault="008D39A5" w:rsidP="008D39A5">
                      <w:pPr>
                        <w:spacing w:line="240" w:lineRule="auto"/>
                        <w:rPr>
                          <w:lang w:val="en-US"/>
                        </w:rPr>
                      </w:pPr>
                    </w:p>
                    <w:p w:rsidR="007F6D3F" w:rsidRPr="00C02BA1" w:rsidRDefault="007F6D3F" w:rsidP="00C02BA1">
                      <w:pPr>
                        <w:rPr>
                          <w:lang w:val="en-US"/>
                        </w:rPr>
                      </w:pPr>
                    </w:p>
                    <w:p w:rsidR="00B10FA6" w:rsidRPr="0041035B" w:rsidRDefault="00B10FA6" w:rsidP="001265A6">
                      <w:pPr>
                        <w:rPr>
                          <w:lang w:val="en-US"/>
                        </w:rPr>
                      </w:pPr>
                    </w:p>
                    <w:p w:rsidR="009A3CA4" w:rsidRPr="005A7446" w:rsidRDefault="009A3CA4" w:rsidP="007917FF">
                      <w:pPr>
                        <w:spacing w:line="240" w:lineRule="auto"/>
                        <w:rPr>
                          <w:lang w:val="en-GB"/>
                        </w:rPr>
                      </w:pPr>
                    </w:p>
                  </w:txbxContent>
                </v:textbox>
                <w10:wrap anchorx="page" anchory="page"/>
              </v:shape>
            </w:pict>
          </mc:Fallback>
        </mc:AlternateContent>
      </w:r>
    </w:p>
    <w:p w:rsidR="00474A79" w:rsidRPr="00493607" w:rsidRDefault="00474A79" w:rsidP="00B122E5">
      <w:pPr>
        <w:autoSpaceDE w:val="0"/>
        <w:autoSpaceDN w:val="0"/>
        <w:adjustRightInd w:val="0"/>
        <w:spacing w:line="240" w:lineRule="auto"/>
        <w:rPr>
          <w:szCs w:val="20"/>
          <w:lang w:val="en-US"/>
        </w:rPr>
      </w:pPr>
    </w:p>
    <w:p w:rsidR="00B122E5" w:rsidRPr="00493607" w:rsidRDefault="00B122E5" w:rsidP="00B122E5">
      <w:pPr>
        <w:autoSpaceDE w:val="0"/>
        <w:autoSpaceDN w:val="0"/>
        <w:adjustRightInd w:val="0"/>
        <w:spacing w:line="240" w:lineRule="auto"/>
        <w:rPr>
          <w:szCs w:val="20"/>
          <w:lang w:val="en-US"/>
        </w:rPr>
      </w:pPr>
    </w:p>
    <w:p w:rsidR="00B122E5" w:rsidRPr="00493607" w:rsidRDefault="00B122E5" w:rsidP="00B122E5">
      <w:pPr>
        <w:autoSpaceDE w:val="0"/>
        <w:autoSpaceDN w:val="0"/>
        <w:adjustRightInd w:val="0"/>
        <w:spacing w:line="240" w:lineRule="auto"/>
        <w:rPr>
          <w:szCs w:val="20"/>
          <w:lang w:val="en-US"/>
        </w:rPr>
      </w:pPr>
    </w:p>
    <w:p w:rsidR="00B122E5" w:rsidRDefault="00B122E5" w:rsidP="00B122E5">
      <w:pPr>
        <w:autoSpaceDE w:val="0"/>
        <w:autoSpaceDN w:val="0"/>
        <w:adjustRightInd w:val="0"/>
        <w:spacing w:line="240" w:lineRule="auto"/>
        <w:rPr>
          <w:rFonts w:cs="Arial"/>
          <w:bCs/>
          <w:sz w:val="16"/>
          <w:szCs w:val="16"/>
          <w:highlight w:val="yellow"/>
          <w:lang w:val="en-US"/>
        </w:rPr>
      </w:pPr>
    </w:p>
    <w:p w:rsidR="00B122E5" w:rsidRPr="00FB734F" w:rsidRDefault="00B122E5" w:rsidP="00BB18CB">
      <w:pPr>
        <w:autoSpaceDE w:val="0"/>
        <w:autoSpaceDN w:val="0"/>
        <w:adjustRightInd w:val="0"/>
        <w:spacing w:line="240" w:lineRule="auto"/>
        <w:rPr>
          <w:rFonts w:cs="Arial"/>
          <w:bCs/>
          <w:sz w:val="16"/>
          <w:szCs w:val="16"/>
          <w:highlight w:val="yellow"/>
          <w:lang w:val="en-US"/>
        </w:rPr>
      </w:pPr>
    </w:p>
    <w:p w:rsidR="00B122E5" w:rsidRDefault="00B122E5" w:rsidP="004678D1">
      <w:pPr>
        <w:spacing w:line="240" w:lineRule="auto"/>
        <w:rPr>
          <w:b/>
          <w:lang w:val="en-US"/>
        </w:rPr>
      </w:pPr>
    </w:p>
    <w:p w:rsidR="00B122E5" w:rsidRDefault="00B122E5" w:rsidP="004678D1">
      <w:pPr>
        <w:spacing w:line="240" w:lineRule="auto"/>
        <w:rPr>
          <w:b/>
          <w:lang w:val="en-US"/>
        </w:rPr>
      </w:pPr>
    </w:p>
    <w:p w:rsidR="00B122E5" w:rsidRDefault="00B122E5" w:rsidP="004678D1">
      <w:pPr>
        <w:spacing w:line="240" w:lineRule="auto"/>
        <w:rPr>
          <w:b/>
          <w:lang w:val="en-US"/>
        </w:rPr>
      </w:pPr>
    </w:p>
    <w:p w:rsidR="00617D64" w:rsidRDefault="00617D64" w:rsidP="002A5BC9">
      <w:pPr>
        <w:spacing w:after="0" w:line="240" w:lineRule="auto"/>
        <w:rPr>
          <w:i/>
          <w:sz w:val="16"/>
          <w:szCs w:val="20"/>
          <w:lang w:val="en-US"/>
        </w:rPr>
      </w:pPr>
    </w:p>
    <w:p w:rsidR="00903B8F" w:rsidRDefault="00903B8F" w:rsidP="00903B8F">
      <w:pPr>
        <w:spacing w:after="0" w:line="240" w:lineRule="auto"/>
        <w:rPr>
          <w:rFonts w:cs="Arial"/>
          <w:i/>
          <w:sz w:val="16"/>
          <w:szCs w:val="16"/>
          <w:lang w:val="en-US"/>
        </w:rPr>
      </w:pPr>
    </w:p>
    <w:p w:rsidR="00903B8F" w:rsidRDefault="00903B8F" w:rsidP="00903B8F">
      <w:pPr>
        <w:spacing w:after="0" w:line="240" w:lineRule="auto"/>
        <w:rPr>
          <w:rFonts w:cs="Arial"/>
          <w:i/>
          <w:sz w:val="16"/>
          <w:szCs w:val="16"/>
          <w:lang w:val="en-US"/>
        </w:rPr>
      </w:pPr>
    </w:p>
    <w:p w:rsidR="00847B10" w:rsidRDefault="00847B10">
      <w:pPr>
        <w:spacing w:after="200" w:line="276" w:lineRule="auto"/>
        <w:rPr>
          <w:rFonts w:cs="Arial"/>
          <w:i/>
          <w:sz w:val="16"/>
          <w:szCs w:val="16"/>
          <w:lang w:val="en-US"/>
        </w:rPr>
      </w:pPr>
      <w:r>
        <w:rPr>
          <w:rFonts w:cs="Arial"/>
          <w:i/>
          <w:sz w:val="16"/>
          <w:szCs w:val="16"/>
          <w:lang w:val="en-US"/>
        </w:rPr>
        <w:br w:type="page"/>
      </w:r>
    </w:p>
    <w:p w:rsidR="004678D1" w:rsidRPr="00FB734F" w:rsidRDefault="001A7F57" w:rsidP="00E93C69">
      <w:pPr>
        <w:spacing w:after="0" w:line="240" w:lineRule="auto"/>
        <w:rPr>
          <w:b/>
          <w:lang w:val="en-US"/>
        </w:rPr>
      </w:pPr>
      <w:r>
        <w:rPr>
          <w:b/>
          <w:lang w:val="en-US"/>
        </w:rPr>
        <w:lastRenderedPageBreak/>
        <w:t>Q1</w:t>
      </w:r>
      <w:r w:rsidR="00D66B19">
        <w:rPr>
          <w:b/>
          <w:lang w:val="en-US"/>
        </w:rPr>
        <w:t xml:space="preserve"> 201</w:t>
      </w:r>
      <w:r>
        <w:rPr>
          <w:b/>
          <w:lang w:val="en-US"/>
        </w:rPr>
        <w:t>7</w:t>
      </w:r>
      <w:r w:rsidR="00D66B19">
        <w:rPr>
          <w:b/>
          <w:lang w:val="en-US"/>
        </w:rPr>
        <w:t xml:space="preserve"> in</w:t>
      </w:r>
      <w:r w:rsidR="004678D1" w:rsidRPr="00FB734F">
        <w:rPr>
          <w:b/>
          <w:lang w:val="en-US"/>
        </w:rPr>
        <w:t xml:space="preserve"> € million </w:t>
      </w:r>
    </w:p>
    <w:tbl>
      <w:tblPr>
        <w:tblW w:w="4674" w:type="pct"/>
        <w:tblInd w:w="108" w:type="dxa"/>
        <w:tblLook w:val="04A0" w:firstRow="1" w:lastRow="0" w:firstColumn="1" w:lastColumn="0" w:noHBand="0" w:noVBand="1"/>
      </w:tblPr>
      <w:tblGrid>
        <w:gridCol w:w="3809"/>
        <w:gridCol w:w="1831"/>
        <w:gridCol w:w="1636"/>
        <w:gridCol w:w="1140"/>
      </w:tblGrid>
      <w:tr w:rsidR="004678D1" w:rsidRPr="00FB734F" w:rsidTr="00D56BF4">
        <w:trPr>
          <w:trHeight w:val="57"/>
        </w:trPr>
        <w:tc>
          <w:tcPr>
            <w:tcW w:w="2263" w:type="pct"/>
            <w:shd w:val="clear" w:color="auto" w:fill="005192"/>
          </w:tcPr>
          <w:p w:rsidR="004678D1" w:rsidRPr="00FB734F" w:rsidRDefault="004678D1" w:rsidP="004B28D7">
            <w:pPr>
              <w:spacing w:line="240" w:lineRule="auto"/>
              <w:rPr>
                <w:sz w:val="18"/>
                <w:szCs w:val="18"/>
                <w:lang w:val="en-US"/>
              </w:rPr>
            </w:pPr>
          </w:p>
        </w:tc>
        <w:tc>
          <w:tcPr>
            <w:tcW w:w="1088" w:type="pct"/>
            <w:shd w:val="clear" w:color="auto" w:fill="005192"/>
          </w:tcPr>
          <w:p w:rsidR="004678D1" w:rsidRPr="00220626" w:rsidRDefault="001A7F57" w:rsidP="001A7F57">
            <w:pPr>
              <w:spacing w:line="240" w:lineRule="auto"/>
              <w:jc w:val="right"/>
              <w:rPr>
                <w:b/>
                <w:color w:val="FFFFFF"/>
                <w:sz w:val="18"/>
                <w:szCs w:val="18"/>
                <w:lang w:val="en-US"/>
              </w:rPr>
            </w:pPr>
            <w:r>
              <w:rPr>
                <w:b/>
                <w:color w:val="FFFFFF"/>
                <w:sz w:val="18"/>
                <w:szCs w:val="18"/>
                <w:lang w:val="en-US"/>
              </w:rPr>
              <w:t>Q1</w:t>
            </w:r>
            <w:r w:rsidR="004678D1" w:rsidRPr="00220626">
              <w:rPr>
                <w:b/>
                <w:color w:val="FFFFFF"/>
                <w:sz w:val="18"/>
                <w:szCs w:val="18"/>
                <w:lang w:val="en-US"/>
              </w:rPr>
              <w:t xml:space="preserve"> 201</w:t>
            </w:r>
            <w:r>
              <w:rPr>
                <w:b/>
                <w:color w:val="FFFFFF"/>
                <w:sz w:val="18"/>
                <w:szCs w:val="18"/>
                <w:lang w:val="en-US"/>
              </w:rPr>
              <w:t>6</w:t>
            </w:r>
          </w:p>
        </w:tc>
        <w:tc>
          <w:tcPr>
            <w:tcW w:w="972" w:type="pct"/>
            <w:shd w:val="clear" w:color="auto" w:fill="005192"/>
          </w:tcPr>
          <w:p w:rsidR="004678D1" w:rsidRPr="00220626" w:rsidRDefault="001A7F57" w:rsidP="001A7F57">
            <w:pPr>
              <w:spacing w:line="240" w:lineRule="auto"/>
              <w:jc w:val="right"/>
              <w:rPr>
                <w:b/>
                <w:color w:val="FFFFFF"/>
                <w:sz w:val="18"/>
                <w:szCs w:val="18"/>
                <w:lang w:val="en-US"/>
              </w:rPr>
            </w:pPr>
            <w:r>
              <w:rPr>
                <w:b/>
                <w:color w:val="FFFFFF"/>
                <w:sz w:val="18"/>
                <w:szCs w:val="18"/>
                <w:lang w:val="en-US"/>
              </w:rPr>
              <w:t>Q1</w:t>
            </w:r>
            <w:r w:rsidR="004678D1" w:rsidRPr="00220626">
              <w:rPr>
                <w:b/>
                <w:color w:val="FFFFFF"/>
                <w:sz w:val="18"/>
                <w:szCs w:val="18"/>
                <w:lang w:val="en-US"/>
              </w:rPr>
              <w:t xml:space="preserve"> 201</w:t>
            </w:r>
            <w:r>
              <w:rPr>
                <w:b/>
                <w:color w:val="FFFFFF"/>
                <w:sz w:val="18"/>
                <w:szCs w:val="18"/>
                <w:lang w:val="en-US"/>
              </w:rPr>
              <w:t>7</w:t>
            </w:r>
          </w:p>
        </w:tc>
        <w:tc>
          <w:tcPr>
            <w:tcW w:w="677" w:type="pct"/>
            <w:shd w:val="clear" w:color="auto" w:fill="005192"/>
          </w:tcPr>
          <w:p w:rsidR="004678D1" w:rsidRPr="00FB734F" w:rsidRDefault="004678D1" w:rsidP="004B28D7">
            <w:pPr>
              <w:spacing w:line="240" w:lineRule="auto"/>
              <w:jc w:val="right"/>
              <w:rPr>
                <w:b/>
                <w:color w:val="FFFFFF" w:themeColor="background1"/>
                <w:sz w:val="18"/>
                <w:szCs w:val="18"/>
                <w:lang w:val="en-US"/>
              </w:rPr>
            </w:pPr>
            <w:r w:rsidRPr="00FB734F">
              <w:rPr>
                <w:rFonts w:cs="Arial"/>
                <w:b/>
                <w:color w:val="FFFFFF" w:themeColor="background1"/>
                <w:sz w:val="18"/>
                <w:szCs w:val="18"/>
                <w:lang w:val="en-US"/>
              </w:rPr>
              <w:t>Δ %</w:t>
            </w:r>
          </w:p>
        </w:tc>
      </w:tr>
      <w:tr w:rsidR="004678D1" w:rsidRPr="00C865D7" w:rsidTr="00D56BF4">
        <w:trPr>
          <w:trHeight w:val="57"/>
        </w:trPr>
        <w:tc>
          <w:tcPr>
            <w:tcW w:w="2263" w:type="pct"/>
          </w:tcPr>
          <w:p w:rsidR="004678D1" w:rsidRPr="00C865D7" w:rsidRDefault="004678D1" w:rsidP="004B28D7">
            <w:pPr>
              <w:spacing w:line="240" w:lineRule="auto"/>
              <w:rPr>
                <w:sz w:val="18"/>
                <w:szCs w:val="18"/>
                <w:lang w:val="en-US"/>
              </w:rPr>
            </w:pPr>
            <w:r w:rsidRPr="00C865D7">
              <w:rPr>
                <w:sz w:val="18"/>
                <w:szCs w:val="18"/>
                <w:lang w:val="en-US"/>
              </w:rPr>
              <w:t>Revenue</w:t>
            </w:r>
          </w:p>
        </w:tc>
        <w:tc>
          <w:tcPr>
            <w:tcW w:w="1088" w:type="pct"/>
          </w:tcPr>
          <w:p w:rsidR="004678D1" w:rsidRPr="00954C59" w:rsidRDefault="00954C59" w:rsidP="00B95DD3">
            <w:pPr>
              <w:spacing w:line="240" w:lineRule="auto"/>
              <w:jc w:val="right"/>
              <w:rPr>
                <w:sz w:val="18"/>
                <w:szCs w:val="18"/>
                <w:lang w:val="en-US"/>
              </w:rPr>
            </w:pPr>
            <w:r>
              <w:rPr>
                <w:sz w:val="18"/>
                <w:szCs w:val="18"/>
                <w:lang w:val="en-US"/>
              </w:rPr>
              <w:t>3,430</w:t>
            </w:r>
          </w:p>
        </w:tc>
        <w:tc>
          <w:tcPr>
            <w:tcW w:w="972" w:type="pct"/>
          </w:tcPr>
          <w:p w:rsidR="004678D1" w:rsidRPr="00954C59" w:rsidRDefault="00954C59" w:rsidP="00B95DD3">
            <w:pPr>
              <w:spacing w:line="240" w:lineRule="auto"/>
              <w:jc w:val="right"/>
              <w:rPr>
                <w:b/>
                <w:sz w:val="18"/>
                <w:szCs w:val="18"/>
                <w:lang w:val="en-US"/>
              </w:rPr>
            </w:pPr>
            <w:r>
              <w:rPr>
                <w:b/>
                <w:sz w:val="18"/>
                <w:szCs w:val="18"/>
                <w:lang w:val="en-US"/>
              </w:rPr>
              <w:t>3,661</w:t>
            </w:r>
          </w:p>
        </w:tc>
        <w:tc>
          <w:tcPr>
            <w:tcW w:w="677" w:type="pct"/>
          </w:tcPr>
          <w:p w:rsidR="004678D1" w:rsidRPr="00954C59" w:rsidRDefault="00954C59" w:rsidP="00954C59">
            <w:pPr>
              <w:spacing w:line="240" w:lineRule="auto"/>
              <w:jc w:val="right"/>
              <w:rPr>
                <w:sz w:val="18"/>
                <w:szCs w:val="18"/>
                <w:lang w:val="en-US"/>
              </w:rPr>
            </w:pPr>
            <w:r>
              <w:rPr>
                <w:sz w:val="18"/>
                <w:szCs w:val="18"/>
                <w:lang w:val="en-US"/>
              </w:rPr>
              <w:t>7</w:t>
            </w:r>
          </w:p>
        </w:tc>
      </w:tr>
      <w:tr w:rsidR="004678D1" w:rsidRPr="00A8368B" w:rsidTr="00D56BF4">
        <w:trPr>
          <w:trHeight w:val="57"/>
        </w:trPr>
        <w:tc>
          <w:tcPr>
            <w:tcW w:w="2263" w:type="pct"/>
          </w:tcPr>
          <w:p w:rsidR="004678D1" w:rsidRPr="00C865D7" w:rsidRDefault="005F5F92" w:rsidP="00646457">
            <w:pPr>
              <w:spacing w:line="240" w:lineRule="auto"/>
              <w:rPr>
                <w:rFonts w:cs="Arial"/>
                <w:sz w:val="18"/>
                <w:szCs w:val="18"/>
                <w:lang w:val="en-US" w:eastAsia="zh-CN"/>
              </w:rPr>
            </w:pPr>
            <w:r>
              <w:rPr>
                <w:rFonts w:cs="Arial"/>
                <w:sz w:val="18"/>
                <w:szCs w:val="18"/>
                <w:lang w:val="en-US" w:eastAsia="zh-CN"/>
              </w:rPr>
              <w:t>EBIT</w:t>
            </w:r>
            <w:r w:rsidR="00646457">
              <w:rPr>
                <w:rFonts w:cs="Arial"/>
                <w:sz w:val="18"/>
                <w:szCs w:val="18"/>
                <w:vertAlign w:val="superscript"/>
                <w:lang w:val="en-US" w:eastAsia="zh-CN"/>
              </w:rPr>
              <w:t>1</w:t>
            </w:r>
          </w:p>
        </w:tc>
        <w:tc>
          <w:tcPr>
            <w:tcW w:w="1088" w:type="pct"/>
          </w:tcPr>
          <w:p w:rsidR="004678D1" w:rsidRPr="00954C59" w:rsidRDefault="00954C59" w:rsidP="00B95DD3">
            <w:pPr>
              <w:spacing w:line="240" w:lineRule="auto"/>
              <w:jc w:val="right"/>
              <w:rPr>
                <w:rFonts w:cs="Arial"/>
                <w:sz w:val="18"/>
                <w:szCs w:val="18"/>
                <w:lang w:val="en-US" w:eastAsia="zh-CN"/>
              </w:rPr>
            </w:pPr>
            <w:r>
              <w:rPr>
                <w:rFonts w:cs="Arial"/>
                <w:sz w:val="18"/>
                <w:szCs w:val="18"/>
                <w:lang w:val="en-US" w:eastAsia="zh-CN"/>
              </w:rPr>
              <w:t>334</w:t>
            </w:r>
          </w:p>
        </w:tc>
        <w:tc>
          <w:tcPr>
            <w:tcW w:w="972" w:type="pct"/>
          </w:tcPr>
          <w:p w:rsidR="004678D1" w:rsidRPr="00954C59" w:rsidRDefault="00954C59" w:rsidP="004C4E08">
            <w:pPr>
              <w:spacing w:line="240" w:lineRule="auto"/>
              <w:jc w:val="right"/>
              <w:rPr>
                <w:rFonts w:cs="Arial"/>
                <w:b/>
                <w:sz w:val="18"/>
                <w:szCs w:val="18"/>
                <w:lang w:val="en-US" w:eastAsia="zh-CN"/>
              </w:rPr>
            </w:pPr>
            <w:r>
              <w:rPr>
                <w:rFonts w:cs="Arial"/>
                <w:b/>
                <w:sz w:val="18"/>
                <w:szCs w:val="18"/>
                <w:lang w:val="en-US" w:eastAsia="zh-CN"/>
              </w:rPr>
              <w:t>376</w:t>
            </w:r>
          </w:p>
        </w:tc>
        <w:tc>
          <w:tcPr>
            <w:tcW w:w="677" w:type="pct"/>
          </w:tcPr>
          <w:p w:rsidR="004678D1" w:rsidRPr="00954C59" w:rsidRDefault="00954C59" w:rsidP="004B28D7">
            <w:pPr>
              <w:spacing w:line="240" w:lineRule="auto"/>
              <w:jc w:val="right"/>
              <w:rPr>
                <w:rFonts w:cs="Arial"/>
                <w:sz w:val="18"/>
                <w:szCs w:val="18"/>
                <w:lang w:val="en-US" w:eastAsia="zh-CN"/>
              </w:rPr>
            </w:pPr>
            <w:r>
              <w:rPr>
                <w:rFonts w:cs="Arial"/>
                <w:sz w:val="18"/>
                <w:szCs w:val="18"/>
                <w:lang w:val="en-US" w:eastAsia="zh-CN"/>
              </w:rPr>
              <w:t>13</w:t>
            </w:r>
          </w:p>
        </w:tc>
      </w:tr>
      <w:tr w:rsidR="000020F3" w:rsidRPr="00A8368B" w:rsidTr="00D56BF4">
        <w:trPr>
          <w:trHeight w:val="57"/>
        </w:trPr>
        <w:tc>
          <w:tcPr>
            <w:tcW w:w="2263" w:type="pct"/>
          </w:tcPr>
          <w:p w:rsidR="000020F3" w:rsidRDefault="009F46BC" w:rsidP="00646457">
            <w:pPr>
              <w:spacing w:line="240" w:lineRule="auto"/>
              <w:rPr>
                <w:rFonts w:cs="Arial"/>
                <w:sz w:val="18"/>
                <w:szCs w:val="18"/>
                <w:lang w:val="en-US" w:eastAsia="zh-CN"/>
              </w:rPr>
            </w:pPr>
            <w:r>
              <w:rPr>
                <w:rFonts w:cs="Arial"/>
                <w:sz w:val="18"/>
                <w:szCs w:val="18"/>
                <w:lang w:val="en-US" w:eastAsia="zh-CN"/>
              </w:rPr>
              <w:t>Return on sales (ROS) %</w:t>
            </w:r>
            <w:r w:rsidR="00646457">
              <w:rPr>
                <w:rFonts w:cs="Arial"/>
                <w:sz w:val="18"/>
                <w:szCs w:val="18"/>
                <w:vertAlign w:val="superscript"/>
                <w:lang w:val="en-US" w:eastAsia="zh-CN"/>
              </w:rPr>
              <w:t>2</w:t>
            </w:r>
          </w:p>
        </w:tc>
        <w:tc>
          <w:tcPr>
            <w:tcW w:w="1088" w:type="pct"/>
          </w:tcPr>
          <w:p w:rsidR="000020F3" w:rsidRPr="00954C59" w:rsidRDefault="00954C59" w:rsidP="00452015">
            <w:pPr>
              <w:spacing w:line="240" w:lineRule="auto"/>
              <w:jc w:val="right"/>
              <w:rPr>
                <w:rFonts w:cs="Arial"/>
                <w:sz w:val="18"/>
                <w:szCs w:val="18"/>
                <w:lang w:val="en-US" w:eastAsia="zh-CN"/>
              </w:rPr>
            </w:pPr>
            <w:r>
              <w:rPr>
                <w:rFonts w:cs="Arial"/>
                <w:sz w:val="18"/>
                <w:szCs w:val="18"/>
                <w:lang w:val="en-US" w:eastAsia="zh-CN"/>
              </w:rPr>
              <w:t>9.7</w:t>
            </w:r>
          </w:p>
        </w:tc>
        <w:tc>
          <w:tcPr>
            <w:tcW w:w="972" w:type="pct"/>
          </w:tcPr>
          <w:p w:rsidR="000020F3" w:rsidRPr="00954C59" w:rsidRDefault="00D66B19" w:rsidP="00954C59">
            <w:pPr>
              <w:spacing w:line="240" w:lineRule="auto"/>
              <w:jc w:val="right"/>
              <w:rPr>
                <w:rFonts w:cs="Arial"/>
                <w:b/>
                <w:sz w:val="18"/>
                <w:szCs w:val="18"/>
                <w:lang w:val="en-US" w:eastAsia="zh-CN"/>
              </w:rPr>
            </w:pPr>
            <w:r w:rsidRPr="00954C59">
              <w:rPr>
                <w:rFonts w:cs="Arial"/>
                <w:b/>
                <w:sz w:val="18"/>
                <w:szCs w:val="18"/>
                <w:lang w:val="en-US" w:eastAsia="zh-CN"/>
              </w:rPr>
              <w:t>10.</w:t>
            </w:r>
            <w:r w:rsidR="00954C59">
              <w:rPr>
                <w:rFonts w:cs="Arial"/>
                <w:b/>
                <w:sz w:val="18"/>
                <w:szCs w:val="18"/>
                <w:lang w:val="en-US" w:eastAsia="zh-CN"/>
              </w:rPr>
              <w:t>3</w:t>
            </w:r>
          </w:p>
        </w:tc>
        <w:tc>
          <w:tcPr>
            <w:tcW w:w="677" w:type="pct"/>
          </w:tcPr>
          <w:p w:rsidR="000020F3" w:rsidRPr="00954C59" w:rsidRDefault="000020F3" w:rsidP="004B28D7">
            <w:pPr>
              <w:spacing w:line="240" w:lineRule="auto"/>
              <w:jc w:val="right"/>
              <w:rPr>
                <w:rFonts w:cs="Arial"/>
                <w:sz w:val="18"/>
                <w:szCs w:val="18"/>
                <w:lang w:val="en-US" w:eastAsia="zh-CN"/>
              </w:rPr>
            </w:pPr>
          </w:p>
        </w:tc>
      </w:tr>
      <w:tr w:rsidR="004678D1" w:rsidRPr="00A8368B" w:rsidTr="00D56BF4">
        <w:trPr>
          <w:trHeight w:val="253"/>
        </w:trPr>
        <w:tc>
          <w:tcPr>
            <w:tcW w:w="2263" w:type="pct"/>
          </w:tcPr>
          <w:p w:rsidR="004678D1" w:rsidRPr="0031463A" w:rsidRDefault="00D56BF4" w:rsidP="00646457">
            <w:pPr>
              <w:spacing w:line="240" w:lineRule="auto"/>
              <w:rPr>
                <w:sz w:val="18"/>
                <w:szCs w:val="18"/>
                <w:lang w:val="en-US"/>
              </w:rPr>
            </w:pPr>
            <w:r w:rsidRPr="0031463A">
              <w:rPr>
                <w:sz w:val="18"/>
                <w:szCs w:val="18"/>
                <w:lang w:val="en-US"/>
              </w:rPr>
              <w:t>Return on investment (ROI)</w:t>
            </w:r>
            <w:r w:rsidR="005F5F92">
              <w:rPr>
                <w:sz w:val="18"/>
                <w:szCs w:val="18"/>
                <w:lang w:val="en-US"/>
              </w:rPr>
              <w:t xml:space="preserve"> %</w:t>
            </w:r>
            <w:r w:rsidR="00646457">
              <w:rPr>
                <w:rFonts w:cs="Arial"/>
                <w:sz w:val="18"/>
                <w:szCs w:val="18"/>
                <w:vertAlign w:val="superscript"/>
                <w:lang w:val="en-US" w:eastAsia="zh-CN"/>
              </w:rPr>
              <w:t>3</w:t>
            </w:r>
          </w:p>
        </w:tc>
        <w:tc>
          <w:tcPr>
            <w:tcW w:w="1088" w:type="pct"/>
          </w:tcPr>
          <w:p w:rsidR="004678D1" w:rsidRPr="00954C59" w:rsidRDefault="00D56BF4" w:rsidP="00954C59">
            <w:pPr>
              <w:spacing w:line="240" w:lineRule="auto"/>
              <w:jc w:val="right"/>
              <w:rPr>
                <w:sz w:val="18"/>
                <w:szCs w:val="18"/>
                <w:lang w:val="en-US"/>
              </w:rPr>
            </w:pPr>
            <w:r w:rsidRPr="00954C59">
              <w:rPr>
                <w:sz w:val="18"/>
                <w:szCs w:val="18"/>
                <w:lang w:val="en-US"/>
              </w:rPr>
              <w:t>14.</w:t>
            </w:r>
            <w:r w:rsidR="00954C59">
              <w:rPr>
                <w:sz w:val="18"/>
                <w:szCs w:val="18"/>
                <w:lang w:val="en-US"/>
              </w:rPr>
              <w:t>5</w:t>
            </w:r>
          </w:p>
        </w:tc>
        <w:tc>
          <w:tcPr>
            <w:tcW w:w="972" w:type="pct"/>
          </w:tcPr>
          <w:p w:rsidR="004678D1" w:rsidRPr="00954C59" w:rsidRDefault="00764440" w:rsidP="00D56BF4">
            <w:pPr>
              <w:spacing w:line="240" w:lineRule="auto"/>
              <w:jc w:val="right"/>
              <w:rPr>
                <w:b/>
                <w:sz w:val="18"/>
                <w:szCs w:val="18"/>
                <w:lang w:val="en-US"/>
              </w:rPr>
            </w:pPr>
            <w:r>
              <w:rPr>
                <w:b/>
                <w:sz w:val="18"/>
                <w:szCs w:val="18"/>
                <w:lang w:val="en-US"/>
              </w:rPr>
              <w:t>15.2</w:t>
            </w:r>
          </w:p>
        </w:tc>
        <w:tc>
          <w:tcPr>
            <w:tcW w:w="677" w:type="pct"/>
          </w:tcPr>
          <w:p w:rsidR="004678D1" w:rsidRPr="00954C59" w:rsidRDefault="004678D1" w:rsidP="00B95DD3">
            <w:pPr>
              <w:spacing w:line="240" w:lineRule="auto"/>
              <w:jc w:val="right"/>
              <w:rPr>
                <w:sz w:val="18"/>
                <w:szCs w:val="18"/>
                <w:lang w:val="en-US"/>
              </w:rPr>
            </w:pPr>
          </w:p>
        </w:tc>
      </w:tr>
      <w:tr w:rsidR="00234881" w:rsidRPr="00234881" w:rsidTr="00D56BF4">
        <w:trPr>
          <w:trHeight w:val="57"/>
        </w:trPr>
        <w:tc>
          <w:tcPr>
            <w:tcW w:w="2263" w:type="pct"/>
          </w:tcPr>
          <w:p w:rsidR="00234881" w:rsidRPr="00C865D7" w:rsidRDefault="00D56BF4" w:rsidP="004B28D7">
            <w:pPr>
              <w:spacing w:line="240" w:lineRule="auto"/>
              <w:rPr>
                <w:sz w:val="18"/>
                <w:szCs w:val="18"/>
                <w:lang w:val="en-US"/>
              </w:rPr>
            </w:pPr>
            <w:r w:rsidRPr="00C865D7">
              <w:rPr>
                <w:sz w:val="18"/>
                <w:szCs w:val="18"/>
                <w:lang w:val="en-US"/>
              </w:rPr>
              <w:t>Net income attributable to shareholders</w:t>
            </w:r>
          </w:p>
        </w:tc>
        <w:tc>
          <w:tcPr>
            <w:tcW w:w="1088" w:type="pct"/>
          </w:tcPr>
          <w:p w:rsidR="00234881" w:rsidRPr="00954C59" w:rsidRDefault="001529B1" w:rsidP="004B28D7">
            <w:pPr>
              <w:spacing w:line="240" w:lineRule="auto"/>
              <w:jc w:val="right"/>
              <w:rPr>
                <w:sz w:val="18"/>
                <w:szCs w:val="18"/>
                <w:lang w:val="en-US"/>
              </w:rPr>
            </w:pPr>
            <w:r>
              <w:rPr>
                <w:sz w:val="18"/>
                <w:szCs w:val="18"/>
                <w:lang w:val="en-US"/>
              </w:rPr>
              <w:t>24</w:t>
            </w:r>
            <w:r w:rsidR="00C32C14">
              <w:rPr>
                <w:sz w:val="18"/>
                <w:szCs w:val="18"/>
                <w:lang w:val="en-US"/>
              </w:rPr>
              <w:t>0</w:t>
            </w:r>
          </w:p>
        </w:tc>
        <w:tc>
          <w:tcPr>
            <w:tcW w:w="972" w:type="pct"/>
          </w:tcPr>
          <w:p w:rsidR="00234881" w:rsidRPr="00954C59" w:rsidRDefault="00954C59" w:rsidP="004C4E08">
            <w:pPr>
              <w:spacing w:line="240" w:lineRule="auto"/>
              <w:jc w:val="right"/>
              <w:rPr>
                <w:b/>
                <w:sz w:val="18"/>
                <w:szCs w:val="18"/>
                <w:lang w:val="en-US"/>
              </w:rPr>
            </w:pPr>
            <w:r>
              <w:rPr>
                <w:b/>
                <w:sz w:val="18"/>
                <w:szCs w:val="18"/>
                <w:lang w:val="en-US"/>
              </w:rPr>
              <w:t>240</w:t>
            </w:r>
          </w:p>
        </w:tc>
        <w:tc>
          <w:tcPr>
            <w:tcW w:w="677" w:type="pct"/>
          </w:tcPr>
          <w:p w:rsidR="00234881" w:rsidRPr="00954C59" w:rsidRDefault="00954C59" w:rsidP="004C4E08">
            <w:pPr>
              <w:spacing w:line="240" w:lineRule="auto"/>
              <w:jc w:val="right"/>
              <w:rPr>
                <w:sz w:val="18"/>
                <w:szCs w:val="18"/>
                <w:lang w:val="en-US"/>
              </w:rPr>
            </w:pPr>
            <w:r>
              <w:rPr>
                <w:sz w:val="18"/>
                <w:szCs w:val="18"/>
                <w:lang w:val="en-US"/>
              </w:rPr>
              <w:t>-</w:t>
            </w:r>
          </w:p>
        </w:tc>
      </w:tr>
    </w:tbl>
    <w:p w:rsidR="00D56BF4" w:rsidRDefault="00D56BF4" w:rsidP="005420E9">
      <w:pPr>
        <w:spacing w:line="240" w:lineRule="auto"/>
        <w:rPr>
          <w:b/>
          <w:lang w:val="en-US"/>
        </w:rPr>
      </w:pPr>
    </w:p>
    <w:p w:rsidR="00A7678C" w:rsidRPr="003F2E08" w:rsidRDefault="008268A4" w:rsidP="00EE2E29">
      <w:pPr>
        <w:spacing w:after="0" w:line="240" w:lineRule="auto"/>
        <w:rPr>
          <w:rFonts w:eastAsia="Times New Roman" w:cs="Arial"/>
          <w:b/>
          <w:szCs w:val="20"/>
          <w:lang w:val="en-GB" w:eastAsia="zh-CN"/>
        </w:rPr>
      </w:pPr>
      <w:r w:rsidRPr="003D724C">
        <w:rPr>
          <w:rFonts w:eastAsia="Times New Roman" w:cs="Arial"/>
          <w:b/>
          <w:szCs w:val="20"/>
          <w:lang w:val="en-US" w:eastAsia="zh-CN"/>
        </w:rPr>
        <w:t>Decorative Paints</w:t>
      </w:r>
      <w:r w:rsidR="006F0EC0" w:rsidRPr="00F90918">
        <w:rPr>
          <w:rFonts w:eastAsia="Times New Roman" w:cs="Arial"/>
          <w:b/>
          <w:szCs w:val="20"/>
          <w:lang w:val="en-US" w:eastAsia="zh-CN"/>
        </w:rPr>
        <w:t>:</w:t>
      </w:r>
      <w:r w:rsidR="00C52663" w:rsidRPr="00F90918">
        <w:rPr>
          <w:rFonts w:eastAsia="Times New Roman" w:cs="Arial"/>
          <w:b/>
          <w:szCs w:val="20"/>
          <w:lang w:val="en-US" w:eastAsia="zh-CN"/>
        </w:rPr>
        <w:t xml:space="preserve"> </w:t>
      </w:r>
      <w:r w:rsidR="00F32C6C">
        <w:rPr>
          <w:rFonts w:eastAsia="Times New Roman" w:cs="Arial"/>
          <w:szCs w:val="20"/>
          <w:lang w:val="en-US" w:eastAsia="zh-CN"/>
        </w:rPr>
        <w:t xml:space="preserve">Revenue was up 7%, mainly driven by strong volume growth. Volumes were up 9%, </w:t>
      </w:r>
      <w:r w:rsidR="00B236D8">
        <w:rPr>
          <w:rFonts w:eastAsia="Times New Roman" w:cs="Arial"/>
          <w:szCs w:val="20"/>
          <w:lang w:val="en-US" w:eastAsia="zh-CN"/>
        </w:rPr>
        <w:t xml:space="preserve">with </w:t>
      </w:r>
      <w:r w:rsidR="00F32C6C">
        <w:rPr>
          <w:rFonts w:eastAsia="Times New Roman" w:cs="Arial"/>
          <w:szCs w:val="20"/>
          <w:lang w:val="en-US" w:eastAsia="zh-CN"/>
        </w:rPr>
        <w:t xml:space="preserve">positive </w:t>
      </w:r>
      <w:r w:rsidR="00B236D8">
        <w:rPr>
          <w:rFonts w:eastAsia="Times New Roman" w:cs="Arial"/>
          <w:szCs w:val="20"/>
          <w:lang w:val="en-US" w:eastAsia="zh-CN"/>
        </w:rPr>
        <w:t xml:space="preserve">developments </w:t>
      </w:r>
      <w:r w:rsidR="00CB1FF4">
        <w:rPr>
          <w:rFonts w:eastAsia="Times New Roman" w:cs="Arial"/>
          <w:szCs w:val="20"/>
          <w:lang w:val="en-US" w:eastAsia="zh-CN"/>
        </w:rPr>
        <w:t>in all regions.</w:t>
      </w:r>
      <w:r w:rsidR="0050665E">
        <w:rPr>
          <w:rFonts w:eastAsia="Times New Roman" w:cs="Arial"/>
          <w:szCs w:val="20"/>
          <w:lang w:val="en-US" w:eastAsia="zh-CN"/>
        </w:rPr>
        <w:t xml:space="preserve"> Volume developments were positive for the sixth consecutive quarter.</w:t>
      </w:r>
      <w:r w:rsidR="00640789">
        <w:rPr>
          <w:rFonts w:eastAsia="Times New Roman" w:cs="Arial"/>
          <w:szCs w:val="20"/>
          <w:lang w:val="en-US" w:eastAsia="zh-CN"/>
        </w:rPr>
        <w:t xml:space="preserve"> </w:t>
      </w:r>
      <w:r w:rsidR="00CB1FF4">
        <w:rPr>
          <w:rFonts w:eastAsia="Times New Roman" w:cs="Arial"/>
          <w:szCs w:val="20"/>
          <w:lang w:val="en-US" w:eastAsia="zh-CN"/>
        </w:rPr>
        <w:t xml:space="preserve">EBIT increased by 48%, </w:t>
      </w:r>
      <w:r w:rsidR="0055701B">
        <w:rPr>
          <w:rFonts w:eastAsia="Times New Roman" w:cs="Arial"/>
          <w:szCs w:val="20"/>
          <w:lang w:val="en-US" w:eastAsia="zh-CN"/>
        </w:rPr>
        <w:t>mainly</w:t>
      </w:r>
      <w:r w:rsidR="00CB1FF4">
        <w:rPr>
          <w:rFonts w:eastAsia="Times New Roman" w:cs="Arial"/>
          <w:szCs w:val="20"/>
          <w:lang w:val="en-US" w:eastAsia="zh-CN"/>
        </w:rPr>
        <w:t xml:space="preserve"> as a result of higher revenue and continued focus on cost measures</w:t>
      </w:r>
      <w:r w:rsidR="002E13CD">
        <w:rPr>
          <w:rFonts w:eastAsia="Times New Roman" w:cs="Arial"/>
          <w:szCs w:val="20"/>
          <w:lang w:val="en-US" w:eastAsia="zh-CN"/>
        </w:rPr>
        <w:t>, while recognizing that Q1 is a seasonally smaller quarter</w:t>
      </w:r>
      <w:r w:rsidR="00CB1FF4">
        <w:rPr>
          <w:rFonts w:eastAsia="Times New Roman" w:cs="Arial"/>
          <w:szCs w:val="20"/>
          <w:lang w:val="en-US" w:eastAsia="zh-CN"/>
        </w:rPr>
        <w:t xml:space="preserve">. </w:t>
      </w:r>
      <w:r w:rsidR="00850B7C" w:rsidRPr="00850B7C">
        <w:rPr>
          <w:rFonts w:eastAsia="Times New Roman" w:cs="Arial"/>
          <w:szCs w:val="20"/>
          <w:lang w:val="en-US" w:eastAsia="zh-CN"/>
        </w:rPr>
        <w:t xml:space="preserve">Communities in more than 40 countries will benefit from a partnership between </w:t>
      </w:r>
      <w:hyperlink r:id="rId9" w:history="1">
        <w:r w:rsidR="00850B7C" w:rsidRPr="002357FF">
          <w:rPr>
            <w:rStyle w:val="Hyperlink"/>
            <w:rFonts w:eastAsia="Times New Roman" w:cs="Arial"/>
            <w:szCs w:val="20"/>
            <w:lang w:val="en-US" w:eastAsia="zh-CN"/>
          </w:rPr>
          <w:t>AkzoNobel and MasterPeace</w:t>
        </w:r>
      </w:hyperlink>
      <w:r w:rsidR="00850B7C">
        <w:rPr>
          <w:rFonts w:eastAsia="Times New Roman" w:cs="Arial"/>
          <w:szCs w:val="20"/>
          <w:lang w:val="en-US" w:eastAsia="zh-CN"/>
        </w:rPr>
        <w:t xml:space="preserve">, a </w:t>
      </w:r>
      <w:r w:rsidR="00850B7C" w:rsidRPr="00850B7C">
        <w:rPr>
          <w:rFonts w:eastAsia="Times New Roman" w:cs="Arial"/>
          <w:szCs w:val="20"/>
          <w:lang w:val="en-US" w:eastAsia="zh-CN"/>
        </w:rPr>
        <w:t>global peace movement</w:t>
      </w:r>
      <w:r w:rsidR="00071346">
        <w:rPr>
          <w:rFonts w:eastAsia="Times New Roman" w:cs="Arial"/>
          <w:szCs w:val="20"/>
          <w:lang w:val="en-US" w:eastAsia="zh-CN"/>
        </w:rPr>
        <w:t>,</w:t>
      </w:r>
      <w:r w:rsidR="00850B7C" w:rsidRPr="00850B7C">
        <w:rPr>
          <w:rFonts w:eastAsia="Times New Roman" w:cs="Arial"/>
          <w:szCs w:val="20"/>
          <w:lang w:val="en-US" w:eastAsia="zh-CN"/>
        </w:rPr>
        <w:t xml:space="preserve"> to </w:t>
      </w:r>
      <w:r w:rsidR="00CB1FF4">
        <w:rPr>
          <w:rFonts w:eastAsia="Times New Roman" w:cs="Arial"/>
          <w:szCs w:val="20"/>
          <w:lang w:val="en-US" w:eastAsia="zh-CN"/>
        </w:rPr>
        <w:t>paint</w:t>
      </w:r>
      <w:r w:rsidR="00850B7C" w:rsidRPr="00850B7C">
        <w:rPr>
          <w:rFonts w:eastAsia="Times New Roman" w:cs="Arial"/>
          <w:szCs w:val="20"/>
          <w:lang w:val="en-US" w:eastAsia="zh-CN"/>
        </w:rPr>
        <w:t xml:space="preserve"> 100 “</w:t>
      </w:r>
      <w:r w:rsidR="00CB1FF4">
        <w:rPr>
          <w:rFonts w:eastAsia="Times New Roman" w:cs="Arial"/>
          <w:szCs w:val="20"/>
          <w:lang w:val="en-US" w:eastAsia="zh-CN"/>
        </w:rPr>
        <w:t>W</w:t>
      </w:r>
      <w:r w:rsidR="00850B7C" w:rsidRPr="00850B7C">
        <w:rPr>
          <w:rFonts w:eastAsia="Times New Roman" w:cs="Arial"/>
          <w:szCs w:val="20"/>
          <w:lang w:val="en-US" w:eastAsia="zh-CN"/>
        </w:rPr>
        <w:t xml:space="preserve">alls of </w:t>
      </w:r>
      <w:r w:rsidR="00CB1FF4">
        <w:rPr>
          <w:rFonts w:eastAsia="Times New Roman" w:cs="Arial"/>
          <w:szCs w:val="20"/>
          <w:lang w:val="en-US" w:eastAsia="zh-CN"/>
        </w:rPr>
        <w:t>C</w:t>
      </w:r>
      <w:r w:rsidR="00850B7C" w:rsidRPr="00850B7C">
        <w:rPr>
          <w:rFonts w:eastAsia="Times New Roman" w:cs="Arial"/>
          <w:szCs w:val="20"/>
          <w:lang w:val="en-US" w:eastAsia="zh-CN"/>
        </w:rPr>
        <w:t>onnection</w:t>
      </w:r>
      <w:r w:rsidR="00814ED9">
        <w:rPr>
          <w:rFonts w:eastAsia="Times New Roman" w:cs="Arial"/>
          <w:szCs w:val="20"/>
          <w:lang w:val="en-US" w:eastAsia="zh-CN"/>
        </w:rPr>
        <w:t>,</w:t>
      </w:r>
      <w:r w:rsidR="00850B7C" w:rsidRPr="00850B7C">
        <w:rPr>
          <w:rFonts w:eastAsia="Times New Roman" w:cs="Arial"/>
          <w:szCs w:val="20"/>
          <w:lang w:val="en-US" w:eastAsia="zh-CN"/>
        </w:rPr>
        <w:t xml:space="preserve">” </w:t>
      </w:r>
      <w:r w:rsidR="00850B7C">
        <w:rPr>
          <w:rFonts w:eastAsia="Times New Roman" w:cs="Arial"/>
          <w:szCs w:val="20"/>
          <w:lang w:val="en-US" w:eastAsia="zh-CN"/>
        </w:rPr>
        <w:t>p</w:t>
      </w:r>
      <w:r w:rsidR="00850B7C" w:rsidRPr="00850B7C">
        <w:rPr>
          <w:rFonts w:eastAsia="Times New Roman" w:cs="Arial"/>
          <w:szCs w:val="20"/>
          <w:lang w:val="en-US" w:eastAsia="zh-CN"/>
        </w:rPr>
        <w:t>art of the company’s Let’s Colour initiative</w:t>
      </w:r>
      <w:r w:rsidR="00814ED9">
        <w:rPr>
          <w:rFonts w:eastAsia="Times New Roman" w:cs="Arial"/>
          <w:szCs w:val="20"/>
          <w:lang w:val="en-US" w:eastAsia="zh-CN"/>
        </w:rPr>
        <w:t>.</w:t>
      </w:r>
    </w:p>
    <w:p w:rsidR="006F0EC0" w:rsidRPr="00CB1FF4" w:rsidRDefault="006F0EC0" w:rsidP="00EE2E29">
      <w:pPr>
        <w:autoSpaceDE w:val="0"/>
        <w:autoSpaceDN w:val="0"/>
        <w:adjustRightInd w:val="0"/>
        <w:spacing w:after="0" w:line="240" w:lineRule="auto"/>
        <w:jc w:val="both"/>
        <w:rPr>
          <w:rFonts w:eastAsia="Times New Roman" w:cs="Arial"/>
          <w:b/>
          <w:szCs w:val="20"/>
          <w:highlight w:val="yellow"/>
          <w:lang w:val="en-GB" w:eastAsia="zh-CN"/>
        </w:rPr>
      </w:pPr>
    </w:p>
    <w:p w:rsidR="001A7F57" w:rsidRDefault="008268A4" w:rsidP="00EE2E29">
      <w:pPr>
        <w:autoSpaceDE w:val="0"/>
        <w:autoSpaceDN w:val="0"/>
        <w:adjustRightInd w:val="0"/>
        <w:spacing w:after="0" w:line="240" w:lineRule="auto"/>
        <w:rPr>
          <w:rFonts w:eastAsia="Times New Roman" w:cs="Arial"/>
          <w:szCs w:val="20"/>
          <w:lang w:val="en-US" w:eastAsia="zh-CN"/>
        </w:rPr>
      </w:pPr>
      <w:r w:rsidRPr="00922498">
        <w:rPr>
          <w:rFonts w:eastAsia="Times New Roman" w:cs="Arial"/>
          <w:b/>
          <w:szCs w:val="20"/>
          <w:lang w:val="en-US" w:eastAsia="zh-CN"/>
        </w:rPr>
        <w:t>Performance Coatings</w:t>
      </w:r>
      <w:r w:rsidR="006F0EC0">
        <w:rPr>
          <w:rFonts w:eastAsia="Times New Roman" w:cs="Arial"/>
          <w:b/>
          <w:szCs w:val="20"/>
          <w:lang w:val="en-US" w:eastAsia="zh-CN"/>
        </w:rPr>
        <w:t>:</w:t>
      </w:r>
      <w:r w:rsidR="001445B5">
        <w:rPr>
          <w:rFonts w:eastAsia="Times New Roman" w:cs="Arial"/>
          <w:b/>
          <w:szCs w:val="20"/>
          <w:lang w:val="en-US" w:eastAsia="zh-CN"/>
        </w:rPr>
        <w:t xml:space="preserve"> </w:t>
      </w:r>
      <w:r w:rsidR="0055701B">
        <w:rPr>
          <w:rFonts w:eastAsia="Times New Roman" w:cs="Arial"/>
          <w:szCs w:val="20"/>
          <w:lang w:val="en-US" w:eastAsia="zh-CN"/>
        </w:rPr>
        <w:t>Revenue</w:t>
      </w:r>
      <w:r w:rsidR="00CB1FF4">
        <w:rPr>
          <w:rFonts w:eastAsia="Times New Roman" w:cs="Arial"/>
          <w:szCs w:val="20"/>
          <w:lang w:val="en-US" w:eastAsia="zh-CN"/>
        </w:rPr>
        <w:t xml:space="preserve"> was up 6%</w:t>
      </w:r>
      <w:r w:rsidR="00C9498E">
        <w:rPr>
          <w:rFonts w:eastAsia="Times New Roman" w:cs="Arial"/>
          <w:szCs w:val="20"/>
          <w:lang w:val="en-US" w:eastAsia="zh-CN"/>
        </w:rPr>
        <w:t xml:space="preserve">, </w:t>
      </w:r>
      <w:r w:rsidR="00F32C6C">
        <w:rPr>
          <w:rFonts w:eastAsia="Times New Roman" w:cs="Arial"/>
          <w:szCs w:val="20"/>
          <w:lang w:val="en-US" w:eastAsia="zh-CN"/>
        </w:rPr>
        <w:t xml:space="preserve">driven by positive volume development across a number of segments and the </w:t>
      </w:r>
      <w:r w:rsidR="00C9498E">
        <w:rPr>
          <w:rFonts w:eastAsia="Times New Roman" w:cs="Arial"/>
          <w:szCs w:val="20"/>
          <w:lang w:val="en-US" w:eastAsia="zh-CN"/>
        </w:rPr>
        <w:t>acquisition of BASF’s Industrial Coatings business</w:t>
      </w:r>
      <w:r w:rsidR="00F32C6C">
        <w:rPr>
          <w:rFonts w:eastAsia="Times New Roman" w:cs="Arial"/>
          <w:szCs w:val="20"/>
          <w:lang w:val="en-US" w:eastAsia="zh-CN"/>
        </w:rPr>
        <w:t>.</w:t>
      </w:r>
      <w:r w:rsidR="00C9498E">
        <w:rPr>
          <w:rFonts w:eastAsia="Times New Roman" w:cs="Arial"/>
          <w:szCs w:val="20"/>
          <w:lang w:val="en-US" w:eastAsia="zh-CN"/>
        </w:rPr>
        <w:t xml:space="preserve"> </w:t>
      </w:r>
      <w:r w:rsidR="00CB1FF4">
        <w:rPr>
          <w:rFonts w:eastAsia="Times New Roman" w:cs="Arial"/>
          <w:szCs w:val="20"/>
          <w:lang w:val="en-US" w:eastAsia="zh-CN"/>
        </w:rPr>
        <w:t>EBIT was up 1%</w:t>
      </w:r>
      <w:r w:rsidR="002E13CD">
        <w:rPr>
          <w:rFonts w:eastAsia="Times New Roman" w:cs="Arial"/>
          <w:szCs w:val="20"/>
          <w:lang w:val="en-US" w:eastAsia="zh-CN"/>
        </w:rPr>
        <w:t>,</w:t>
      </w:r>
      <w:r w:rsidR="00CB1FF4">
        <w:rPr>
          <w:rFonts w:eastAsia="Times New Roman" w:cs="Arial"/>
          <w:szCs w:val="20"/>
          <w:lang w:val="en-US" w:eastAsia="zh-CN"/>
        </w:rPr>
        <w:t xml:space="preserve"> with positive development in segments </w:t>
      </w:r>
      <w:r w:rsidR="00686900">
        <w:rPr>
          <w:rFonts w:eastAsia="Times New Roman" w:cs="Arial"/>
          <w:szCs w:val="20"/>
          <w:lang w:val="en-US" w:eastAsia="zh-CN"/>
        </w:rPr>
        <w:t xml:space="preserve">including Industrial and Powder Coatings and Automotive and Specialty Coatings </w:t>
      </w:r>
      <w:r w:rsidR="00CB1FF4">
        <w:rPr>
          <w:rFonts w:eastAsia="Times New Roman" w:cs="Arial"/>
          <w:szCs w:val="20"/>
          <w:lang w:val="en-US" w:eastAsia="zh-CN"/>
        </w:rPr>
        <w:t>offset</w:t>
      </w:r>
      <w:r w:rsidR="0050665E">
        <w:rPr>
          <w:rFonts w:eastAsia="Times New Roman" w:cs="Arial"/>
          <w:szCs w:val="20"/>
          <w:lang w:val="en-US" w:eastAsia="zh-CN"/>
        </w:rPr>
        <w:t>ting</w:t>
      </w:r>
      <w:r w:rsidR="00CB1FF4">
        <w:rPr>
          <w:rFonts w:eastAsia="Times New Roman" w:cs="Arial"/>
          <w:szCs w:val="20"/>
          <w:lang w:val="en-US" w:eastAsia="zh-CN"/>
        </w:rPr>
        <w:t xml:space="preserve"> </w:t>
      </w:r>
      <w:r w:rsidR="0050665E">
        <w:rPr>
          <w:rFonts w:eastAsia="Times New Roman" w:cs="Arial"/>
          <w:szCs w:val="20"/>
          <w:lang w:val="en-US" w:eastAsia="zh-CN"/>
        </w:rPr>
        <w:t>continued weak demand in</w:t>
      </w:r>
      <w:r w:rsidR="00CB1FF4">
        <w:rPr>
          <w:rFonts w:eastAsia="Times New Roman" w:cs="Arial"/>
          <w:szCs w:val="20"/>
          <w:lang w:val="en-US" w:eastAsia="zh-CN"/>
        </w:rPr>
        <w:t xml:space="preserve"> the marine and oil and gas industries</w:t>
      </w:r>
      <w:r w:rsidR="0050665E">
        <w:rPr>
          <w:rFonts w:eastAsia="Times New Roman" w:cs="Arial"/>
          <w:szCs w:val="20"/>
          <w:lang w:val="en-US" w:eastAsia="zh-CN"/>
        </w:rPr>
        <w:t xml:space="preserve"> and integration costs</w:t>
      </w:r>
      <w:r w:rsidR="00686900">
        <w:rPr>
          <w:rFonts w:eastAsia="Times New Roman" w:cs="Arial"/>
          <w:szCs w:val="20"/>
          <w:lang w:val="en-US" w:eastAsia="zh-CN"/>
        </w:rPr>
        <w:t>.</w:t>
      </w:r>
      <w:r w:rsidR="00CB1FF4">
        <w:rPr>
          <w:rFonts w:eastAsia="Times New Roman" w:cs="Arial"/>
          <w:szCs w:val="20"/>
          <w:lang w:val="en-US" w:eastAsia="zh-CN"/>
        </w:rPr>
        <w:t xml:space="preserve"> </w:t>
      </w:r>
      <w:r w:rsidR="00814ED9" w:rsidRPr="00814ED9">
        <w:rPr>
          <w:rFonts w:eastAsia="Times New Roman" w:cs="Arial"/>
          <w:szCs w:val="20"/>
          <w:lang w:val="en-US" w:eastAsia="zh-CN"/>
        </w:rPr>
        <w:t xml:space="preserve">More than 100 scientists will be brought together in a new €12.6 million </w:t>
      </w:r>
      <w:hyperlink r:id="rId10" w:history="1">
        <w:r w:rsidR="00814ED9" w:rsidRPr="00814ED9">
          <w:rPr>
            <w:rStyle w:val="Hyperlink"/>
            <w:rFonts w:eastAsia="Times New Roman" w:cs="Arial"/>
            <w:szCs w:val="20"/>
            <w:lang w:val="en-US" w:eastAsia="zh-CN"/>
          </w:rPr>
          <w:t>research and innovation hub</w:t>
        </w:r>
      </w:hyperlink>
      <w:r w:rsidR="00814ED9" w:rsidRPr="00814ED9">
        <w:rPr>
          <w:rFonts w:eastAsia="Times New Roman" w:cs="Arial"/>
          <w:szCs w:val="20"/>
          <w:lang w:val="en-US" w:eastAsia="zh-CN"/>
        </w:rPr>
        <w:t xml:space="preserve"> in Felling</w:t>
      </w:r>
      <w:r w:rsidR="00814ED9">
        <w:rPr>
          <w:rFonts w:eastAsia="Times New Roman" w:cs="Arial"/>
          <w:szCs w:val="20"/>
          <w:lang w:val="en-US" w:eastAsia="zh-CN"/>
        </w:rPr>
        <w:t xml:space="preserve">, </w:t>
      </w:r>
      <w:r w:rsidR="00814ED9" w:rsidRPr="00814ED9">
        <w:rPr>
          <w:rFonts w:eastAsia="Times New Roman" w:cs="Arial"/>
          <w:szCs w:val="20"/>
          <w:lang w:val="en-US" w:eastAsia="zh-CN"/>
        </w:rPr>
        <w:t>UK</w:t>
      </w:r>
      <w:r w:rsidR="00814ED9">
        <w:rPr>
          <w:rFonts w:eastAsia="Times New Roman" w:cs="Arial"/>
          <w:szCs w:val="20"/>
          <w:lang w:val="en-US" w:eastAsia="zh-CN"/>
        </w:rPr>
        <w:t>. The f</w:t>
      </w:r>
      <w:r w:rsidR="00814ED9" w:rsidRPr="00814ED9">
        <w:rPr>
          <w:rFonts w:eastAsia="Times New Roman" w:cs="Arial"/>
          <w:szCs w:val="20"/>
          <w:lang w:val="en-US" w:eastAsia="zh-CN"/>
        </w:rPr>
        <w:t xml:space="preserve">acility will </w:t>
      </w:r>
      <w:r w:rsidR="00814ED9">
        <w:rPr>
          <w:rFonts w:eastAsia="Times New Roman" w:cs="Arial"/>
          <w:szCs w:val="20"/>
          <w:lang w:val="en-US" w:eastAsia="zh-CN"/>
        </w:rPr>
        <w:t xml:space="preserve">focus </w:t>
      </w:r>
      <w:r w:rsidR="00814ED9" w:rsidRPr="00814ED9">
        <w:rPr>
          <w:rFonts w:eastAsia="Times New Roman" w:cs="Arial"/>
          <w:szCs w:val="20"/>
          <w:lang w:val="en-US" w:eastAsia="zh-CN"/>
        </w:rPr>
        <w:t>on developing protective coatings for the energy, mining, infrastruct</w:t>
      </w:r>
      <w:r w:rsidR="00814ED9">
        <w:rPr>
          <w:rFonts w:eastAsia="Times New Roman" w:cs="Arial"/>
          <w:szCs w:val="20"/>
          <w:lang w:val="en-US" w:eastAsia="zh-CN"/>
        </w:rPr>
        <w:t>ure and oil and gas industries.</w:t>
      </w:r>
    </w:p>
    <w:p w:rsidR="00814ED9" w:rsidRPr="00643F52" w:rsidRDefault="00814ED9" w:rsidP="00EE2E29">
      <w:pPr>
        <w:autoSpaceDE w:val="0"/>
        <w:autoSpaceDN w:val="0"/>
        <w:adjustRightInd w:val="0"/>
        <w:spacing w:after="0" w:line="240" w:lineRule="auto"/>
        <w:rPr>
          <w:rFonts w:eastAsia="Times New Roman" w:cs="Arial"/>
          <w:szCs w:val="20"/>
          <w:lang w:val="en-US" w:eastAsia="zh-CN"/>
        </w:rPr>
      </w:pPr>
    </w:p>
    <w:p w:rsidR="003B278C" w:rsidRDefault="0053001C" w:rsidP="00EE2E29">
      <w:pPr>
        <w:spacing w:after="0" w:line="240" w:lineRule="auto"/>
        <w:rPr>
          <w:rFonts w:eastAsia="Times New Roman" w:cs="Arial"/>
          <w:szCs w:val="20"/>
          <w:lang w:val="en-US" w:eastAsia="zh-CN"/>
        </w:rPr>
      </w:pPr>
      <w:r>
        <w:rPr>
          <w:rFonts w:eastAsia="Times New Roman" w:cs="Arial"/>
          <w:b/>
          <w:szCs w:val="20"/>
          <w:lang w:val="en-US" w:eastAsia="zh-CN"/>
        </w:rPr>
        <w:t>Specialty Chemicals</w:t>
      </w:r>
      <w:r w:rsidR="006F0EC0">
        <w:rPr>
          <w:rFonts w:eastAsia="Times New Roman" w:cs="Arial"/>
          <w:b/>
          <w:szCs w:val="20"/>
          <w:lang w:val="en-US" w:eastAsia="zh-CN"/>
        </w:rPr>
        <w:t>:</w:t>
      </w:r>
      <w:r>
        <w:rPr>
          <w:rFonts w:eastAsia="Times New Roman" w:cs="Arial"/>
          <w:b/>
          <w:szCs w:val="20"/>
          <w:lang w:val="en-US" w:eastAsia="zh-CN"/>
        </w:rPr>
        <w:t xml:space="preserve"> </w:t>
      </w:r>
      <w:r w:rsidR="0055701B">
        <w:rPr>
          <w:rFonts w:eastAsia="Times New Roman" w:cs="Arial"/>
          <w:szCs w:val="20"/>
          <w:lang w:val="en-US" w:eastAsia="zh-CN"/>
        </w:rPr>
        <w:t>Revenue was up 7%</w:t>
      </w:r>
      <w:r w:rsidR="002E13CD">
        <w:rPr>
          <w:rFonts w:eastAsia="Times New Roman" w:cs="Arial"/>
          <w:szCs w:val="20"/>
          <w:lang w:val="en-US" w:eastAsia="zh-CN"/>
        </w:rPr>
        <w:t>,</w:t>
      </w:r>
      <w:r w:rsidR="0055701B">
        <w:rPr>
          <w:rFonts w:eastAsia="Times New Roman" w:cs="Arial"/>
          <w:szCs w:val="20"/>
          <w:lang w:val="en-US" w:eastAsia="zh-CN"/>
        </w:rPr>
        <w:t xml:space="preserve"> due to positive volume developments </w:t>
      </w:r>
      <w:r w:rsidR="00686900">
        <w:rPr>
          <w:rFonts w:eastAsia="Times New Roman" w:cs="Arial"/>
          <w:szCs w:val="20"/>
          <w:lang w:val="en-US" w:eastAsia="zh-CN"/>
        </w:rPr>
        <w:t>in all business units and region</w:t>
      </w:r>
      <w:r w:rsidR="00E73F5E">
        <w:rPr>
          <w:rFonts w:eastAsia="Times New Roman" w:cs="Arial"/>
          <w:szCs w:val="20"/>
          <w:lang w:val="en-US" w:eastAsia="zh-CN"/>
        </w:rPr>
        <w:t>s</w:t>
      </w:r>
      <w:r w:rsidR="00686900">
        <w:rPr>
          <w:rFonts w:eastAsia="Times New Roman" w:cs="Arial"/>
          <w:szCs w:val="20"/>
          <w:lang w:val="en-US" w:eastAsia="zh-CN"/>
        </w:rPr>
        <w:t xml:space="preserve"> </w:t>
      </w:r>
      <w:r w:rsidR="0055701B">
        <w:rPr>
          <w:rFonts w:eastAsia="Times New Roman" w:cs="Arial"/>
          <w:szCs w:val="20"/>
          <w:lang w:val="en-US" w:eastAsia="zh-CN"/>
        </w:rPr>
        <w:t xml:space="preserve">and favorable currency </w:t>
      </w:r>
      <w:r w:rsidR="00E73F5E">
        <w:rPr>
          <w:rFonts w:eastAsia="Times New Roman" w:cs="Arial"/>
          <w:szCs w:val="20"/>
          <w:lang w:val="en-US" w:eastAsia="zh-CN"/>
        </w:rPr>
        <w:t>effects</w:t>
      </w:r>
      <w:r w:rsidR="0055701B">
        <w:rPr>
          <w:rFonts w:eastAsia="Times New Roman" w:cs="Arial"/>
          <w:szCs w:val="20"/>
          <w:lang w:val="en-US" w:eastAsia="zh-CN"/>
        </w:rPr>
        <w:t>. V</w:t>
      </w:r>
      <w:r w:rsidR="00CB1FF4">
        <w:rPr>
          <w:rFonts w:eastAsia="Times New Roman" w:cs="Arial"/>
          <w:szCs w:val="20"/>
          <w:lang w:val="en-US" w:eastAsia="zh-CN"/>
        </w:rPr>
        <w:t xml:space="preserve">olumes were up 5%, with </w:t>
      </w:r>
      <w:r w:rsidR="00E3492F">
        <w:rPr>
          <w:rFonts w:eastAsia="Times New Roman" w:cs="Arial"/>
          <w:szCs w:val="20"/>
          <w:lang w:val="en-US" w:eastAsia="zh-CN"/>
        </w:rPr>
        <w:t>several businesses benefi</w:t>
      </w:r>
      <w:r w:rsidR="00DC539A">
        <w:rPr>
          <w:rFonts w:eastAsia="Times New Roman" w:cs="Arial"/>
          <w:szCs w:val="20"/>
          <w:lang w:val="en-US" w:eastAsia="zh-CN"/>
        </w:rPr>
        <w:t xml:space="preserve">ting from improved market conditions in the oil drilling, </w:t>
      </w:r>
      <w:r w:rsidR="00636CE6">
        <w:rPr>
          <w:rFonts w:eastAsia="Times New Roman" w:cs="Arial"/>
          <w:szCs w:val="20"/>
          <w:lang w:val="en-US" w:eastAsia="zh-CN"/>
        </w:rPr>
        <w:t>mining</w:t>
      </w:r>
      <w:r w:rsidR="00DC539A">
        <w:rPr>
          <w:rFonts w:eastAsia="Times New Roman" w:cs="Arial"/>
          <w:szCs w:val="20"/>
          <w:lang w:val="en-US" w:eastAsia="zh-CN"/>
        </w:rPr>
        <w:t>, agrochemical and building and construction segments</w:t>
      </w:r>
      <w:r w:rsidR="00CB1FF4">
        <w:rPr>
          <w:rFonts w:eastAsia="Times New Roman" w:cs="Arial"/>
          <w:szCs w:val="20"/>
          <w:lang w:val="en-US" w:eastAsia="zh-CN"/>
        </w:rPr>
        <w:t>. EBIT increased by 7%</w:t>
      </w:r>
      <w:r w:rsidR="00640789">
        <w:rPr>
          <w:rFonts w:eastAsia="Times New Roman" w:cs="Arial"/>
          <w:szCs w:val="20"/>
          <w:lang w:val="en-US" w:eastAsia="zh-CN"/>
        </w:rPr>
        <w:t xml:space="preserve">, mainly due to </w:t>
      </w:r>
      <w:r w:rsidR="00CB1FF4">
        <w:rPr>
          <w:rFonts w:eastAsia="Times New Roman" w:cs="Arial"/>
          <w:szCs w:val="20"/>
          <w:lang w:val="en-US" w:eastAsia="zh-CN"/>
        </w:rPr>
        <w:t>improved volu</w:t>
      </w:r>
      <w:r w:rsidR="0055701B">
        <w:rPr>
          <w:rFonts w:eastAsia="Times New Roman" w:cs="Arial"/>
          <w:szCs w:val="20"/>
          <w:lang w:val="en-US" w:eastAsia="zh-CN"/>
        </w:rPr>
        <w:t>m</w:t>
      </w:r>
      <w:r w:rsidR="00CB1FF4">
        <w:rPr>
          <w:rFonts w:eastAsia="Times New Roman" w:cs="Arial"/>
          <w:szCs w:val="20"/>
          <w:lang w:val="en-US" w:eastAsia="zh-CN"/>
        </w:rPr>
        <w:t>es and operational effic</w:t>
      </w:r>
      <w:r w:rsidR="00E73F5E">
        <w:rPr>
          <w:rFonts w:eastAsia="Times New Roman" w:cs="Arial"/>
          <w:szCs w:val="20"/>
          <w:lang w:val="en-US" w:eastAsia="zh-CN"/>
        </w:rPr>
        <w:t xml:space="preserve">iencies, partly offset by price increases </w:t>
      </w:r>
      <w:r w:rsidR="00D46316">
        <w:rPr>
          <w:rFonts w:eastAsia="Times New Roman" w:cs="Arial"/>
          <w:szCs w:val="20"/>
          <w:lang w:val="en-US" w:eastAsia="zh-CN"/>
        </w:rPr>
        <w:t>which were</w:t>
      </w:r>
      <w:r w:rsidR="00E73F5E">
        <w:rPr>
          <w:rFonts w:eastAsia="Times New Roman" w:cs="Arial"/>
          <w:szCs w:val="20"/>
          <w:lang w:val="en-US" w:eastAsia="zh-CN"/>
        </w:rPr>
        <w:t xml:space="preserve"> not </w:t>
      </w:r>
      <w:r w:rsidR="00D46316">
        <w:rPr>
          <w:rFonts w:eastAsia="Times New Roman" w:cs="Arial"/>
          <w:szCs w:val="20"/>
          <w:lang w:val="en-US" w:eastAsia="zh-CN"/>
        </w:rPr>
        <w:t xml:space="preserve">yet </w:t>
      </w:r>
      <w:r w:rsidR="00E73F5E">
        <w:rPr>
          <w:rFonts w:eastAsia="Times New Roman" w:cs="Arial"/>
          <w:szCs w:val="20"/>
          <w:lang w:val="en-US" w:eastAsia="zh-CN"/>
        </w:rPr>
        <w:t xml:space="preserve">fully recaptured through increased selling prices. </w:t>
      </w:r>
      <w:r w:rsidR="001A7F57">
        <w:rPr>
          <w:rFonts w:eastAsia="Times New Roman" w:cs="Arial"/>
          <w:szCs w:val="20"/>
          <w:lang w:val="en-US" w:eastAsia="zh-CN"/>
        </w:rPr>
        <w:t xml:space="preserve"> </w:t>
      </w:r>
      <w:r w:rsidR="00814ED9" w:rsidRPr="00814ED9">
        <w:rPr>
          <w:rFonts w:eastAsia="Times New Roman" w:cs="Arial"/>
          <w:szCs w:val="20"/>
          <w:lang w:val="en-US" w:eastAsia="zh-CN"/>
        </w:rPr>
        <w:t xml:space="preserve">AkzoNobel’s </w:t>
      </w:r>
      <w:hyperlink r:id="rId11" w:history="1">
        <w:r w:rsidR="00814ED9" w:rsidRPr="00814ED9">
          <w:rPr>
            <w:rStyle w:val="Hyperlink"/>
            <w:rFonts w:eastAsia="Times New Roman" w:cs="Arial"/>
            <w:szCs w:val="20"/>
            <w:lang w:val="en-US" w:eastAsia="zh-CN"/>
          </w:rPr>
          <w:t>Imagine Chemistry</w:t>
        </w:r>
      </w:hyperlink>
      <w:r w:rsidR="00814ED9" w:rsidRPr="00814ED9">
        <w:rPr>
          <w:rFonts w:eastAsia="Times New Roman" w:cs="Arial"/>
          <w:szCs w:val="20"/>
          <w:lang w:val="en-US" w:eastAsia="zh-CN"/>
        </w:rPr>
        <w:t xml:space="preserve"> </w:t>
      </w:r>
      <w:r w:rsidR="00814ED9">
        <w:rPr>
          <w:rFonts w:eastAsia="Times New Roman" w:cs="Arial"/>
          <w:szCs w:val="20"/>
          <w:lang w:val="en-US" w:eastAsia="zh-CN"/>
        </w:rPr>
        <w:t>open innovation challenge</w:t>
      </w:r>
      <w:r w:rsidR="00814ED9" w:rsidRPr="00814ED9">
        <w:rPr>
          <w:rFonts w:eastAsia="Times New Roman" w:cs="Arial"/>
          <w:szCs w:val="20"/>
          <w:lang w:val="en-US" w:eastAsia="zh-CN"/>
        </w:rPr>
        <w:t xml:space="preserve"> </w:t>
      </w:r>
      <w:r w:rsidR="00814ED9">
        <w:rPr>
          <w:rFonts w:eastAsia="Times New Roman" w:cs="Arial"/>
          <w:szCs w:val="20"/>
          <w:lang w:val="en-US" w:eastAsia="zh-CN"/>
        </w:rPr>
        <w:t xml:space="preserve">generated </w:t>
      </w:r>
      <w:r w:rsidR="00814ED9" w:rsidRPr="00814ED9">
        <w:rPr>
          <w:rFonts w:eastAsia="Times New Roman" w:cs="Arial"/>
          <w:szCs w:val="20"/>
          <w:lang w:val="en-US" w:eastAsia="zh-CN"/>
        </w:rPr>
        <w:t>more than 200 ideas</w:t>
      </w:r>
      <w:r w:rsidR="00814ED9">
        <w:rPr>
          <w:rFonts w:eastAsia="Times New Roman" w:cs="Arial"/>
          <w:szCs w:val="20"/>
          <w:lang w:val="en-US" w:eastAsia="zh-CN"/>
        </w:rPr>
        <w:t xml:space="preserve"> to solve </w:t>
      </w:r>
      <w:r w:rsidR="00814ED9" w:rsidRPr="00814ED9">
        <w:rPr>
          <w:rFonts w:eastAsia="Times New Roman" w:cs="Arial"/>
          <w:szCs w:val="20"/>
          <w:lang w:val="en-US" w:eastAsia="zh-CN"/>
        </w:rPr>
        <w:t xml:space="preserve">real-life chemistry-related challenges as well as uncovering sustainable </w:t>
      </w:r>
      <w:r w:rsidR="00814ED9">
        <w:rPr>
          <w:rFonts w:eastAsia="Times New Roman" w:cs="Arial"/>
          <w:szCs w:val="20"/>
          <w:lang w:val="en-US" w:eastAsia="zh-CN"/>
        </w:rPr>
        <w:t>c</w:t>
      </w:r>
      <w:r w:rsidR="00814ED9" w:rsidRPr="00814ED9">
        <w:rPr>
          <w:rFonts w:eastAsia="Times New Roman" w:cs="Arial"/>
          <w:szCs w:val="20"/>
          <w:lang w:val="en-US" w:eastAsia="zh-CN"/>
        </w:rPr>
        <w:t xml:space="preserve">ommercial opportunities for the Specialty Chemicals businesses.  </w:t>
      </w:r>
    </w:p>
    <w:p w:rsidR="00444121" w:rsidRPr="00814ED9" w:rsidRDefault="00444121" w:rsidP="00EE2E29">
      <w:pPr>
        <w:spacing w:after="0" w:line="240" w:lineRule="auto"/>
        <w:rPr>
          <w:rFonts w:cs="Arial"/>
          <w:b/>
          <w:bCs/>
          <w:color w:val="000000" w:themeColor="text1"/>
          <w:lang w:val="en-US"/>
        </w:rPr>
      </w:pPr>
    </w:p>
    <w:p w:rsidR="00AB2C59" w:rsidRPr="00D5439B" w:rsidRDefault="001A7F57" w:rsidP="00EE2E29">
      <w:pPr>
        <w:spacing w:after="0" w:line="240" w:lineRule="auto"/>
        <w:rPr>
          <w:rFonts w:cs="Arial"/>
          <w:bCs/>
          <w:color w:val="000000" w:themeColor="text1"/>
          <w:lang w:val="en-GB"/>
        </w:rPr>
      </w:pPr>
      <w:r w:rsidRPr="00D00B1A">
        <w:rPr>
          <w:rFonts w:cs="Arial"/>
          <w:b/>
          <w:bCs/>
          <w:color w:val="000000" w:themeColor="text1"/>
          <w:lang w:val="en-GB"/>
        </w:rPr>
        <w:t>Sustainabili</w:t>
      </w:r>
      <w:r>
        <w:rPr>
          <w:rFonts w:cs="Arial"/>
          <w:b/>
          <w:bCs/>
          <w:color w:val="000000" w:themeColor="text1"/>
          <w:lang w:val="en-GB"/>
        </w:rPr>
        <w:t>ty</w:t>
      </w:r>
      <w:r w:rsidR="00AB2C59">
        <w:rPr>
          <w:rFonts w:cs="Arial"/>
          <w:b/>
          <w:bCs/>
          <w:color w:val="000000" w:themeColor="text1"/>
          <w:lang w:val="en-GB"/>
        </w:rPr>
        <w:t>:</w:t>
      </w:r>
      <w:r w:rsidR="00D5439B">
        <w:rPr>
          <w:rFonts w:cs="Arial"/>
          <w:b/>
          <w:bCs/>
          <w:color w:val="000000" w:themeColor="text1"/>
          <w:lang w:val="en-GB"/>
        </w:rPr>
        <w:t xml:space="preserve"> </w:t>
      </w:r>
      <w:r w:rsidR="00D5439B" w:rsidRPr="00D5439B">
        <w:rPr>
          <w:rFonts w:cs="Arial"/>
          <w:bCs/>
          <w:color w:val="000000" w:themeColor="text1"/>
          <w:lang w:val="en-GB"/>
        </w:rPr>
        <w:t>AkzoNobel</w:t>
      </w:r>
      <w:r w:rsidR="00D5439B">
        <w:rPr>
          <w:rFonts w:cs="Arial"/>
          <w:b/>
          <w:bCs/>
          <w:color w:val="000000" w:themeColor="text1"/>
          <w:lang w:val="en-GB"/>
        </w:rPr>
        <w:t xml:space="preserve"> </w:t>
      </w:r>
      <w:r w:rsidR="00D5439B" w:rsidRPr="00D5439B">
        <w:rPr>
          <w:rFonts w:cs="Arial"/>
          <w:bCs/>
          <w:color w:val="000000" w:themeColor="text1"/>
          <w:lang w:val="en-GB"/>
        </w:rPr>
        <w:t xml:space="preserve">has committed to accelerating its sustainability agenda by announcing a new ambition to use 100% renewable energy and become </w:t>
      </w:r>
      <w:hyperlink r:id="rId12" w:history="1">
        <w:r w:rsidR="00D5439B" w:rsidRPr="00D5439B">
          <w:rPr>
            <w:rStyle w:val="Hyperlink"/>
            <w:rFonts w:cs="Arial"/>
            <w:bCs/>
            <w:lang w:val="en-GB"/>
          </w:rPr>
          <w:t>carbon neutral by 2050</w:t>
        </w:r>
      </w:hyperlink>
      <w:r w:rsidR="00D5439B" w:rsidRPr="00D5439B">
        <w:rPr>
          <w:rFonts w:cs="Arial"/>
          <w:bCs/>
          <w:color w:val="000000" w:themeColor="text1"/>
          <w:lang w:val="en-GB"/>
        </w:rPr>
        <w:t>.</w:t>
      </w:r>
      <w:r w:rsidR="00D5439B">
        <w:rPr>
          <w:rFonts w:cs="Arial"/>
          <w:bCs/>
          <w:color w:val="000000" w:themeColor="text1"/>
          <w:lang w:val="en-GB"/>
        </w:rPr>
        <w:t xml:space="preserve"> The company was also awarded a top grade on the Influential </w:t>
      </w:r>
      <w:hyperlink r:id="rId13" w:history="1">
        <w:r w:rsidR="00D5439B" w:rsidRPr="00D5439B">
          <w:rPr>
            <w:rStyle w:val="Hyperlink"/>
            <w:rFonts w:cs="Arial"/>
            <w:bCs/>
            <w:lang w:val="en-GB"/>
          </w:rPr>
          <w:t>Supplier Climate A List</w:t>
        </w:r>
      </w:hyperlink>
      <w:r w:rsidR="00D5439B">
        <w:rPr>
          <w:rFonts w:cs="Arial"/>
          <w:bCs/>
          <w:color w:val="000000" w:themeColor="text1"/>
          <w:lang w:val="en-GB"/>
        </w:rPr>
        <w:t xml:space="preserve"> for its efforts to combat climate change. </w:t>
      </w:r>
      <w:r w:rsidR="003653DF" w:rsidRPr="003653DF">
        <w:rPr>
          <w:rFonts w:cs="Arial"/>
          <w:bCs/>
          <w:color w:val="000000" w:themeColor="text1"/>
          <w:lang w:val="en-GB"/>
        </w:rPr>
        <w:t xml:space="preserve">The Dutch government </w:t>
      </w:r>
      <w:r w:rsidR="003653DF">
        <w:rPr>
          <w:rFonts w:cs="Arial"/>
          <w:bCs/>
          <w:color w:val="000000" w:themeColor="text1"/>
          <w:lang w:val="en-GB"/>
        </w:rPr>
        <w:t xml:space="preserve">recognized </w:t>
      </w:r>
      <w:r w:rsidR="003653DF" w:rsidRPr="003653DF">
        <w:rPr>
          <w:rFonts w:cs="Arial"/>
          <w:bCs/>
          <w:color w:val="000000" w:themeColor="text1"/>
          <w:lang w:val="en-GB"/>
        </w:rPr>
        <w:t>AkzoNobel</w:t>
      </w:r>
      <w:r w:rsidR="003653DF">
        <w:rPr>
          <w:rFonts w:cs="Arial"/>
          <w:bCs/>
          <w:color w:val="000000" w:themeColor="text1"/>
          <w:lang w:val="en-GB"/>
        </w:rPr>
        <w:t>’s</w:t>
      </w:r>
      <w:r w:rsidR="003653DF" w:rsidRPr="003653DF">
        <w:rPr>
          <w:rFonts w:cs="Arial"/>
          <w:bCs/>
          <w:color w:val="000000" w:themeColor="text1"/>
          <w:lang w:val="en-GB"/>
        </w:rPr>
        <w:t xml:space="preserve"> </w:t>
      </w:r>
      <w:r w:rsidR="003653DF">
        <w:rPr>
          <w:rFonts w:cs="Arial"/>
          <w:bCs/>
          <w:color w:val="000000" w:themeColor="text1"/>
          <w:lang w:val="en-GB"/>
        </w:rPr>
        <w:t xml:space="preserve">latest </w:t>
      </w:r>
      <w:r w:rsidR="003653DF" w:rsidRPr="003653DF">
        <w:rPr>
          <w:rFonts w:cs="Arial"/>
          <w:bCs/>
          <w:color w:val="000000" w:themeColor="text1"/>
          <w:lang w:val="en-GB"/>
        </w:rPr>
        <w:t xml:space="preserve">contribution to meeting </w:t>
      </w:r>
      <w:hyperlink r:id="rId14" w:history="1">
        <w:r w:rsidR="003653DF" w:rsidRPr="003653DF">
          <w:rPr>
            <w:rStyle w:val="Hyperlink"/>
            <w:rFonts w:cs="Arial"/>
            <w:bCs/>
            <w:lang w:val="en-GB"/>
          </w:rPr>
          <w:t>national sustainability targets</w:t>
        </w:r>
      </w:hyperlink>
      <w:r w:rsidR="003653DF" w:rsidRPr="003653DF">
        <w:rPr>
          <w:rFonts w:cs="Arial"/>
          <w:bCs/>
          <w:color w:val="000000" w:themeColor="text1"/>
          <w:lang w:val="en-GB"/>
        </w:rPr>
        <w:t xml:space="preserve"> resulting from investments at its chemicals complex in Rotterdam.</w:t>
      </w:r>
    </w:p>
    <w:p w:rsidR="00AB2C59" w:rsidRDefault="00AB2C59" w:rsidP="00EE2E29">
      <w:pPr>
        <w:spacing w:after="0" w:line="240" w:lineRule="auto"/>
        <w:rPr>
          <w:rFonts w:cs="Arial"/>
          <w:b/>
          <w:bCs/>
          <w:color w:val="000000" w:themeColor="text1"/>
          <w:lang w:val="en-GB"/>
        </w:rPr>
      </w:pPr>
    </w:p>
    <w:p w:rsidR="003653DF" w:rsidRDefault="001A7F57" w:rsidP="00EE2E29">
      <w:pPr>
        <w:spacing w:after="0" w:line="240" w:lineRule="auto"/>
        <w:rPr>
          <w:rFonts w:cs="Arial"/>
          <w:bCs/>
          <w:lang w:val="en-GB"/>
        </w:rPr>
      </w:pPr>
      <w:r>
        <w:rPr>
          <w:rFonts w:cs="Arial"/>
          <w:b/>
          <w:bCs/>
          <w:color w:val="000000" w:themeColor="text1"/>
          <w:lang w:val="en-GB"/>
        </w:rPr>
        <w:t>Human Cities</w:t>
      </w:r>
      <w:r w:rsidR="00AB2C59">
        <w:rPr>
          <w:rFonts w:cs="Arial"/>
          <w:b/>
          <w:bCs/>
          <w:color w:val="000000" w:themeColor="text1"/>
          <w:lang w:val="en-GB"/>
        </w:rPr>
        <w:t>:</w:t>
      </w:r>
      <w:r w:rsidR="003653DF">
        <w:rPr>
          <w:rFonts w:cs="Arial"/>
          <w:b/>
          <w:bCs/>
          <w:color w:val="000000" w:themeColor="text1"/>
          <w:lang w:val="en-GB"/>
        </w:rPr>
        <w:t xml:space="preserve"> </w:t>
      </w:r>
      <w:r w:rsidR="003653DF">
        <w:rPr>
          <w:rFonts w:cs="Arial"/>
          <w:bCs/>
          <w:lang w:val="en-GB"/>
        </w:rPr>
        <w:t xml:space="preserve">AkzoNobel </w:t>
      </w:r>
      <w:r w:rsidR="003653DF" w:rsidRPr="003653DF">
        <w:rPr>
          <w:rFonts w:cs="Arial"/>
          <w:bCs/>
          <w:lang w:val="en-GB"/>
        </w:rPr>
        <w:t>join</w:t>
      </w:r>
      <w:r w:rsidR="003653DF">
        <w:rPr>
          <w:rFonts w:cs="Arial"/>
          <w:bCs/>
          <w:lang w:val="en-GB"/>
        </w:rPr>
        <w:t xml:space="preserve">ed </w:t>
      </w:r>
      <w:r w:rsidR="003653DF" w:rsidRPr="003653DF">
        <w:rPr>
          <w:rFonts w:cs="Arial"/>
          <w:bCs/>
          <w:lang w:val="en-GB"/>
        </w:rPr>
        <w:t xml:space="preserve">forces with </w:t>
      </w:r>
      <w:hyperlink r:id="rId15" w:history="1">
        <w:r w:rsidR="003653DF" w:rsidRPr="003653DF">
          <w:rPr>
            <w:rStyle w:val="Hyperlink"/>
            <w:rFonts w:cs="Arial"/>
            <w:bCs/>
            <w:lang w:val="en-GB"/>
          </w:rPr>
          <w:t>SOS Children's Villages</w:t>
        </w:r>
      </w:hyperlink>
      <w:r w:rsidR="003653DF" w:rsidRPr="003653DF">
        <w:rPr>
          <w:rFonts w:cs="Arial"/>
          <w:bCs/>
          <w:lang w:val="en-GB"/>
        </w:rPr>
        <w:t xml:space="preserve"> to drive a positive impact on youth unemployment</w:t>
      </w:r>
      <w:r w:rsidR="003653DF">
        <w:rPr>
          <w:rFonts w:cs="Arial"/>
          <w:bCs/>
          <w:lang w:val="en-GB"/>
        </w:rPr>
        <w:t xml:space="preserve"> including </w:t>
      </w:r>
      <w:r w:rsidR="003653DF" w:rsidRPr="003653DF">
        <w:rPr>
          <w:rFonts w:cs="Arial"/>
          <w:bCs/>
          <w:lang w:val="en-GB"/>
        </w:rPr>
        <w:t xml:space="preserve">professional training through </w:t>
      </w:r>
      <w:r w:rsidR="003653DF">
        <w:rPr>
          <w:rFonts w:cs="Arial"/>
          <w:bCs/>
          <w:lang w:val="en-GB"/>
        </w:rPr>
        <w:t xml:space="preserve">the company’s </w:t>
      </w:r>
      <w:r w:rsidR="003653DF" w:rsidRPr="003653DF">
        <w:rPr>
          <w:rFonts w:cs="Arial"/>
          <w:bCs/>
          <w:lang w:val="en-GB"/>
        </w:rPr>
        <w:t>painter academies</w:t>
      </w:r>
      <w:r w:rsidR="003653DF">
        <w:rPr>
          <w:rFonts w:cs="Arial"/>
          <w:bCs/>
          <w:lang w:val="en-GB"/>
        </w:rPr>
        <w:t xml:space="preserve">. </w:t>
      </w:r>
    </w:p>
    <w:p w:rsidR="003653DF" w:rsidRPr="00D5439B" w:rsidRDefault="003653DF" w:rsidP="00EE2E29">
      <w:pPr>
        <w:spacing w:after="0" w:line="240" w:lineRule="auto"/>
        <w:rPr>
          <w:rFonts w:cs="Arial"/>
          <w:bCs/>
          <w:lang w:val="en-GB"/>
        </w:rPr>
      </w:pPr>
      <w:r w:rsidRPr="003653DF">
        <w:rPr>
          <w:rFonts w:cs="Arial"/>
          <w:bCs/>
          <w:lang w:val="en-GB"/>
        </w:rPr>
        <w:t xml:space="preserve">More than </w:t>
      </w:r>
      <w:hyperlink r:id="rId16" w:history="1">
        <w:r w:rsidRPr="00BC7827">
          <w:rPr>
            <w:rStyle w:val="Hyperlink"/>
            <w:rFonts w:cs="Arial"/>
            <w:bCs/>
            <w:lang w:val="en-GB"/>
          </w:rPr>
          <w:t>200 children in Egypt</w:t>
        </w:r>
      </w:hyperlink>
      <w:r w:rsidR="00BC7827">
        <w:rPr>
          <w:rFonts w:cs="Arial"/>
          <w:bCs/>
          <w:lang w:val="en-GB"/>
        </w:rPr>
        <w:t xml:space="preserve"> </w:t>
      </w:r>
      <w:r w:rsidRPr="003653DF">
        <w:rPr>
          <w:rFonts w:cs="Arial"/>
          <w:bCs/>
          <w:lang w:val="en-GB"/>
        </w:rPr>
        <w:t>have benefited from a major renovati</w:t>
      </w:r>
      <w:r w:rsidR="00BC7827">
        <w:rPr>
          <w:rFonts w:cs="Arial"/>
          <w:bCs/>
          <w:lang w:val="en-GB"/>
        </w:rPr>
        <w:t>on of their school’s facilities by AkzoNobel volunteers</w:t>
      </w:r>
      <w:r w:rsidRPr="003653DF">
        <w:rPr>
          <w:rFonts w:cs="Arial"/>
          <w:bCs/>
          <w:lang w:val="en-GB"/>
        </w:rPr>
        <w:t>.</w:t>
      </w:r>
      <w:r w:rsidR="00BC7827">
        <w:rPr>
          <w:rFonts w:cs="Arial"/>
          <w:bCs/>
          <w:lang w:val="en-GB"/>
        </w:rPr>
        <w:t xml:space="preserve"> The company’</w:t>
      </w:r>
      <w:r w:rsidR="00CB1FF4">
        <w:rPr>
          <w:rFonts w:cs="Arial"/>
          <w:bCs/>
          <w:lang w:val="en-GB"/>
        </w:rPr>
        <w:t xml:space="preserve">s Human </w:t>
      </w:r>
      <w:r w:rsidR="00BC7827">
        <w:rPr>
          <w:rFonts w:cs="Arial"/>
          <w:bCs/>
          <w:lang w:val="en-GB"/>
        </w:rPr>
        <w:t xml:space="preserve">Cities projects have touched the lives of more than </w:t>
      </w:r>
      <w:hyperlink r:id="rId17" w:history="1">
        <w:r w:rsidR="00BC7827" w:rsidRPr="00BC7827">
          <w:rPr>
            <w:rStyle w:val="Hyperlink"/>
            <w:rFonts w:cs="Arial"/>
            <w:bCs/>
            <w:lang w:val="en-GB"/>
          </w:rPr>
          <w:t>9 million people</w:t>
        </w:r>
      </w:hyperlink>
      <w:r w:rsidR="00BC7827">
        <w:rPr>
          <w:rFonts w:cs="Arial"/>
          <w:bCs/>
          <w:lang w:val="en-GB"/>
        </w:rPr>
        <w:t xml:space="preserve"> in the past year. </w:t>
      </w:r>
    </w:p>
    <w:p w:rsidR="00AB2C59" w:rsidRDefault="00AB2C59" w:rsidP="00EE2E29">
      <w:pPr>
        <w:spacing w:after="0" w:line="240" w:lineRule="auto"/>
        <w:rPr>
          <w:rFonts w:cs="Arial"/>
          <w:b/>
          <w:bCs/>
          <w:color w:val="000000" w:themeColor="text1"/>
          <w:lang w:val="en-GB"/>
        </w:rPr>
      </w:pPr>
    </w:p>
    <w:p w:rsidR="00AB2C59" w:rsidRDefault="001A7F57" w:rsidP="00EE2E29">
      <w:pPr>
        <w:spacing w:after="0" w:line="240" w:lineRule="auto"/>
        <w:rPr>
          <w:rFonts w:cs="Arial"/>
          <w:bCs/>
          <w:color w:val="000000" w:themeColor="text1"/>
          <w:lang w:val="en-GB"/>
        </w:rPr>
      </w:pPr>
      <w:r>
        <w:rPr>
          <w:rFonts w:cs="Arial"/>
          <w:b/>
          <w:bCs/>
          <w:color w:val="000000" w:themeColor="text1"/>
          <w:lang w:val="en-GB"/>
        </w:rPr>
        <w:t>Innovation</w:t>
      </w:r>
      <w:r w:rsidR="00AB2C59">
        <w:rPr>
          <w:rFonts w:cs="Arial"/>
          <w:b/>
          <w:bCs/>
          <w:color w:val="000000" w:themeColor="text1"/>
          <w:lang w:val="en-GB"/>
        </w:rPr>
        <w:t>:</w:t>
      </w:r>
      <w:r w:rsidRPr="00D00B1A">
        <w:rPr>
          <w:rFonts w:cs="Arial"/>
          <w:bCs/>
          <w:color w:val="000000" w:themeColor="text1"/>
          <w:lang w:val="en-GB"/>
        </w:rPr>
        <w:t xml:space="preserve"> </w:t>
      </w:r>
      <w:r w:rsidR="00B1221B" w:rsidRPr="00B1221B">
        <w:rPr>
          <w:rFonts w:cs="Arial"/>
          <w:bCs/>
          <w:color w:val="000000" w:themeColor="text1"/>
          <w:lang w:val="en-GB"/>
        </w:rPr>
        <w:t>AkzoNobel signed a</w:t>
      </w:r>
      <w:r w:rsidR="00B1221B">
        <w:rPr>
          <w:rFonts w:cs="Arial"/>
          <w:bCs/>
          <w:color w:val="000000" w:themeColor="text1"/>
          <w:lang w:val="en-GB"/>
        </w:rPr>
        <w:t>n</w:t>
      </w:r>
      <w:r w:rsidR="00B1221B" w:rsidRPr="00B1221B">
        <w:rPr>
          <w:rFonts w:cs="Arial"/>
          <w:bCs/>
          <w:color w:val="000000" w:themeColor="text1"/>
          <w:lang w:val="en-GB"/>
        </w:rPr>
        <w:t xml:space="preserve"> agreement with specialty chemicals company Itaconix to explore opportunities for the production of </w:t>
      </w:r>
      <w:hyperlink r:id="rId18" w:history="1">
        <w:r w:rsidR="00B1221B" w:rsidRPr="00B1221B">
          <w:rPr>
            <w:rStyle w:val="Hyperlink"/>
            <w:rFonts w:cs="Arial"/>
            <w:bCs/>
            <w:lang w:val="en-GB"/>
          </w:rPr>
          <w:t>bio-based polymers</w:t>
        </w:r>
      </w:hyperlink>
      <w:r w:rsidR="00B1221B">
        <w:rPr>
          <w:rFonts w:cs="Arial"/>
          <w:bCs/>
          <w:color w:val="000000" w:themeColor="text1"/>
          <w:lang w:val="en-GB"/>
        </w:rPr>
        <w:t xml:space="preserve">. </w:t>
      </w:r>
      <w:r w:rsidR="00BC7827" w:rsidRPr="00BC7827">
        <w:rPr>
          <w:rFonts w:cs="Arial"/>
          <w:bCs/>
          <w:color w:val="000000" w:themeColor="text1"/>
          <w:lang w:val="en-GB"/>
        </w:rPr>
        <w:t xml:space="preserve">A new online tool which can track </w:t>
      </w:r>
      <w:r w:rsidR="00B1221B">
        <w:rPr>
          <w:rFonts w:cs="Arial"/>
          <w:bCs/>
          <w:color w:val="000000" w:themeColor="text1"/>
          <w:lang w:val="en-GB"/>
        </w:rPr>
        <w:t xml:space="preserve">and certify </w:t>
      </w:r>
      <w:r w:rsidR="00BC7827" w:rsidRPr="00BC7827">
        <w:rPr>
          <w:rFonts w:cs="Arial"/>
          <w:bCs/>
          <w:color w:val="000000" w:themeColor="text1"/>
          <w:lang w:val="en-GB"/>
        </w:rPr>
        <w:t xml:space="preserve">the </w:t>
      </w:r>
      <w:r w:rsidR="00B1221B">
        <w:rPr>
          <w:rFonts w:cs="Arial"/>
          <w:bCs/>
          <w:color w:val="000000" w:themeColor="text1"/>
          <w:lang w:val="en-GB"/>
        </w:rPr>
        <w:t>amount</w:t>
      </w:r>
      <w:r w:rsidR="008E63F8">
        <w:rPr>
          <w:rFonts w:cs="Arial"/>
          <w:bCs/>
          <w:color w:val="000000" w:themeColor="text1"/>
          <w:lang w:val="en-GB"/>
        </w:rPr>
        <w:t xml:space="preserve"> of</w:t>
      </w:r>
      <w:r w:rsidR="00B1221B">
        <w:rPr>
          <w:rFonts w:cs="Arial"/>
          <w:bCs/>
          <w:color w:val="000000" w:themeColor="text1"/>
          <w:lang w:val="en-GB"/>
        </w:rPr>
        <w:t xml:space="preserve"> </w:t>
      </w:r>
      <w:hyperlink r:id="rId19" w:history="1">
        <w:r w:rsidR="00BC7827" w:rsidRPr="00B1221B">
          <w:rPr>
            <w:rStyle w:val="Hyperlink"/>
            <w:rFonts w:cs="Arial"/>
            <w:bCs/>
            <w:lang w:val="en-GB"/>
          </w:rPr>
          <w:t>bio-based raw materials</w:t>
        </w:r>
      </w:hyperlink>
      <w:r w:rsidR="00BC7827" w:rsidRPr="00BC7827">
        <w:rPr>
          <w:rFonts w:cs="Arial"/>
          <w:bCs/>
          <w:color w:val="000000" w:themeColor="text1"/>
          <w:lang w:val="en-GB"/>
        </w:rPr>
        <w:t xml:space="preserve"> in products </w:t>
      </w:r>
      <w:r w:rsidR="00636CE6">
        <w:rPr>
          <w:rFonts w:cs="Arial"/>
          <w:bCs/>
          <w:color w:val="000000" w:themeColor="text1"/>
          <w:lang w:val="en-GB"/>
        </w:rPr>
        <w:t>was</w:t>
      </w:r>
      <w:r w:rsidR="00BC7827" w:rsidRPr="00BC7827">
        <w:rPr>
          <w:rFonts w:cs="Arial"/>
          <w:bCs/>
          <w:color w:val="000000" w:themeColor="text1"/>
          <w:lang w:val="en-GB"/>
        </w:rPr>
        <w:t xml:space="preserve"> launched as a pilot by AkzoNobel</w:t>
      </w:r>
      <w:r w:rsidR="00B1221B">
        <w:rPr>
          <w:rFonts w:cs="Arial"/>
          <w:bCs/>
          <w:color w:val="000000" w:themeColor="text1"/>
          <w:lang w:val="en-GB"/>
        </w:rPr>
        <w:t xml:space="preserve"> and partners. Another partnership involving AkzoNobel is </w:t>
      </w:r>
      <w:hyperlink r:id="rId20" w:history="1">
        <w:r w:rsidR="00B1221B" w:rsidRPr="00071346">
          <w:rPr>
            <w:rStyle w:val="Hyperlink"/>
            <w:rFonts w:cs="Arial"/>
            <w:bCs/>
            <w:lang w:val="en-GB"/>
          </w:rPr>
          <w:t>developing a drone</w:t>
        </w:r>
      </w:hyperlink>
      <w:r w:rsidR="00B1221B" w:rsidRPr="00B1221B">
        <w:rPr>
          <w:rFonts w:cs="Arial"/>
          <w:bCs/>
          <w:color w:val="000000" w:themeColor="text1"/>
          <w:lang w:val="en-GB"/>
        </w:rPr>
        <w:t xml:space="preserve"> capable of remotely inspecting enclosed</w:t>
      </w:r>
      <w:r w:rsidR="009B6E40">
        <w:rPr>
          <w:rFonts w:cs="Arial"/>
          <w:bCs/>
          <w:color w:val="000000" w:themeColor="text1"/>
          <w:lang w:val="en-GB"/>
        </w:rPr>
        <w:t xml:space="preserve"> spaces</w:t>
      </w:r>
      <w:r w:rsidR="00B1221B">
        <w:rPr>
          <w:rFonts w:cs="Arial"/>
          <w:bCs/>
          <w:color w:val="000000" w:themeColor="text1"/>
          <w:lang w:val="en-GB"/>
        </w:rPr>
        <w:t>, helping to improve s</w:t>
      </w:r>
      <w:r w:rsidR="00B1221B" w:rsidRPr="00B1221B">
        <w:rPr>
          <w:rFonts w:cs="Arial"/>
          <w:bCs/>
          <w:color w:val="000000" w:themeColor="text1"/>
          <w:lang w:val="en-GB"/>
        </w:rPr>
        <w:t xml:space="preserve">afety in the marine </w:t>
      </w:r>
      <w:r w:rsidR="00B1221B">
        <w:rPr>
          <w:rFonts w:cs="Arial"/>
          <w:bCs/>
          <w:color w:val="000000" w:themeColor="text1"/>
          <w:lang w:val="en-GB"/>
        </w:rPr>
        <w:t xml:space="preserve">and oil and gas </w:t>
      </w:r>
      <w:r w:rsidR="00B1221B" w:rsidRPr="00B1221B">
        <w:rPr>
          <w:rFonts w:cs="Arial"/>
          <w:bCs/>
          <w:color w:val="000000" w:themeColor="text1"/>
          <w:lang w:val="en-GB"/>
        </w:rPr>
        <w:t>industr</w:t>
      </w:r>
      <w:r w:rsidR="00B1221B">
        <w:rPr>
          <w:rFonts w:cs="Arial"/>
          <w:bCs/>
          <w:color w:val="000000" w:themeColor="text1"/>
          <w:lang w:val="en-GB"/>
        </w:rPr>
        <w:t>ies.</w:t>
      </w:r>
      <w:r w:rsidR="00B1221B" w:rsidRPr="00B1221B">
        <w:rPr>
          <w:rFonts w:cs="Arial"/>
          <w:bCs/>
          <w:color w:val="000000" w:themeColor="text1"/>
          <w:lang w:val="en-GB"/>
        </w:rPr>
        <w:t xml:space="preserve"> </w:t>
      </w:r>
    </w:p>
    <w:p w:rsidR="00B1221B" w:rsidRDefault="00B1221B" w:rsidP="00EE2E29">
      <w:pPr>
        <w:spacing w:after="0" w:line="240" w:lineRule="auto"/>
        <w:rPr>
          <w:rFonts w:cs="Arial"/>
          <w:bCs/>
          <w:color w:val="000000" w:themeColor="text1"/>
          <w:lang w:val="en-GB"/>
        </w:rPr>
      </w:pPr>
    </w:p>
    <w:p w:rsidR="000F0FC8" w:rsidRPr="000F0FC8" w:rsidRDefault="000F0FC8" w:rsidP="00F5531C">
      <w:pPr>
        <w:spacing w:after="0" w:line="240" w:lineRule="auto"/>
        <w:rPr>
          <w:rFonts w:cs="Arial"/>
          <w:bCs/>
          <w:lang w:val="en-GB"/>
        </w:rPr>
      </w:pPr>
      <w:r>
        <w:rPr>
          <w:rFonts w:cs="Arial"/>
          <w:b/>
          <w:bCs/>
          <w:lang w:val="en-GB"/>
        </w:rPr>
        <w:t xml:space="preserve">Strategic review: </w:t>
      </w:r>
      <w:r w:rsidRPr="000F0FC8">
        <w:rPr>
          <w:rFonts w:cs="Arial"/>
          <w:bCs/>
          <w:lang w:val="en-GB"/>
        </w:rPr>
        <w:t>We</w:t>
      </w:r>
      <w:r>
        <w:rPr>
          <w:rFonts w:cs="Arial"/>
          <w:bCs/>
          <w:lang w:val="en-GB"/>
        </w:rPr>
        <w:t xml:space="preserve"> announced a review of strategic options for the separation of our Specialty Chemicals business.</w:t>
      </w:r>
      <w:r w:rsidR="00AD7C6B">
        <w:rPr>
          <w:rFonts w:cs="Arial"/>
          <w:bCs/>
          <w:lang w:val="en-GB"/>
        </w:rPr>
        <w:t xml:space="preserve"> Further details will </w:t>
      </w:r>
      <w:r w:rsidR="00276055">
        <w:rPr>
          <w:rFonts w:cs="Arial"/>
          <w:bCs/>
          <w:lang w:val="en-GB"/>
        </w:rPr>
        <w:t>follow today at 08.00 CET</w:t>
      </w:r>
      <w:r w:rsidR="00AD7C6B">
        <w:rPr>
          <w:rFonts w:cs="Arial"/>
          <w:bCs/>
          <w:lang w:val="en-GB"/>
        </w:rPr>
        <w:t xml:space="preserve">. </w:t>
      </w:r>
    </w:p>
    <w:p w:rsidR="000F0FC8" w:rsidRDefault="000F0FC8" w:rsidP="00F5531C">
      <w:pPr>
        <w:spacing w:after="0" w:line="240" w:lineRule="auto"/>
        <w:rPr>
          <w:rFonts w:cs="Arial"/>
          <w:b/>
          <w:bCs/>
          <w:lang w:val="en-GB"/>
        </w:rPr>
      </w:pPr>
    </w:p>
    <w:p w:rsidR="00F5531C" w:rsidRDefault="00F5531C" w:rsidP="00F5531C">
      <w:pPr>
        <w:spacing w:after="0" w:line="240" w:lineRule="auto"/>
        <w:rPr>
          <w:rFonts w:cs="Arial"/>
          <w:b/>
          <w:bCs/>
          <w:lang w:val="en-GB"/>
        </w:rPr>
      </w:pPr>
    </w:p>
    <w:p w:rsidR="00D5439B" w:rsidRPr="00D5439B" w:rsidRDefault="00D5439B" w:rsidP="00EE2E29">
      <w:pPr>
        <w:spacing w:after="0" w:line="240" w:lineRule="auto"/>
        <w:rPr>
          <w:rFonts w:cs="Arial"/>
          <w:bCs/>
          <w:lang w:val="en-GB"/>
        </w:rPr>
      </w:pPr>
    </w:p>
    <w:p w:rsidR="00F45CCF" w:rsidRDefault="00F45CCF" w:rsidP="00EE2E29">
      <w:pPr>
        <w:spacing w:after="200" w:line="240" w:lineRule="auto"/>
        <w:rPr>
          <w:rFonts w:eastAsia="Times New Roman" w:cs="Times New Roman"/>
          <w:b/>
          <w:szCs w:val="20"/>
          <w:lang w:val="en-US"/>
        </w:rPr>
      </w:pPr>
      <w:r>
        <w:rPr>
          <w:rFonts w:eastAsia="Times New Roman" w:cs="Times New Roman"/>
          <w:b/>
          <w:szCs w:val="20"/>
          <w:lang w:val="en-US"/>
        </w:rPr>
        <w:br w:type="page"/>
      </w:r>
    </w:p>
    <w:p w:rsidR="001815A6" w:rsidRDefault="008E2477" w:rsidP="008E2477">
      <w:pPr>
        <w:widowControl w:val="0"/>
        <w:spacing w:after="0" w:line="240" w:lineRule="auto"/>
        <w:rPr>
          <w:rFonts w:cs="Arial"/>
          <w:sz w:val="18"/>
          <w:szCs w:val="18"/>
          <w:lang w:val="en-US"/>
        </w:rPr>
      </w:pPr>
      <w:r w:rsidRPr="00922498">
        <w:rPr>
          <w:rFonts w:eastAsia="Times New Roman" w:cs="Times New Roman"/>
          <w:b/>
          <w:szCs w:val="20"/>
          <w:lang w:val="en-US"/>
        </w:rPr>
        <w:lastRenderedPageBreak/>
        <w:t xml:space="preserve">Business Area highlights </w:t>
      </w:r>
      <w:r w:rsidRPr="00922498">
        <w:rPr>
          <w:rFonts w:cs="Arial"/>
          <w:sz w:val="18"/>
          <w:szCs w:val="18"/>
          <w:lang w:val="en-US"/>
        </w:rPr>
        <w:t>in € million</w:t>
      </w:r>
    </w:p>
    <w:p w:rsidR="00954C59" w:rsidRPr="00922498" w:rsidRDefault="00954C59" w:rsidP="008E2477">
      <w:pPr>
        <w:widowControl w:val="0"/>
        <w:spacing w:after="0" w:line="240" w:lineRule="auto"/>
        <w:rPr>
          <w:rFonts w:cs="Arial"/>
          <w:sz w:val="18"/>
          <w:szCs w:val="18"/>
          <w:lang w:val="en-US"/>
        </w:rPr>
      </w:pPr>
    </w:p>
    <w:p w:rsidR="008E2477" w:rsidRPr="0074331A" w:rsidRDefault="008E2477" w:rsidP="008E2477">
      <w:pPr>
        <w:widowControl w:val="0"/>
        <w:spacing w:after="0" w:line="240" w:lineRule="auto"/>
        <w:rPr>
          <w:rFonts w:eastAsia="Times New Roman" w:cs="Times New Roman"/>
          <w:b/>
          <w:sz w:val="4"/>
          <w:szCs w:val="20"/>
          <w:highlight w:val="yellow"/>
          <w:lang w:val="en-US"/>
        </w:rPr>
      </w:pPr>
    </w:p>
    <w:tbl>
      <w:tblPr>
        <w:tblStyle w:val="TableGrid1"/>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1560"/>
        <w:gridCol w:w="708"/>
        <w:gridCol w:w="426"/>
      </w:tblGrid>
      <w:tr w:rsidR="00954C59" w:rsidRPr="00910A94" w:rsidTr="00954C59">
        <w:tc>
          <w:tcPr>
            <w:tcW w:w="3969" w:type="dxa"/>
            <w:shd w:val="clear" w:color="auto" w:fill="auto"/>
            <w:vAlign w:val="center"/>
          </w:tcPr>
          <w:p w:rsidR="00954C59" w:rsidRPr="00910A94" w:rsidRDefault="00954C59" w:rsidP="00536AA8">
            <w:pPr>
              <w:spacing w:after="0" w:line="240" w:lineRule="auto"/>
              <w:rPr>
                <w:rFonts w:cs="Arial"/>
                <w:b/>
                <w:color w:val="FFFFFF"/>
              </w:rPr>
            </w:pPr>
            <w:r w:rsidRPr="00954C59">
              <w:rPr>
                <w:rFonts w:cs="Arial"/>
                <w:b/>
              </w:rPr>
              <w:t>Decorat</w:t>
            </w:r>
            <w:r>
              <w:rPr>
                <w:rFonts w:cs="Arial"/>
                <w:b/>
              </w:rPr>
              <w:t>iv</w:t>
            </w:r>
            <w:r w:rsidRPr="00954C59">
              <w:rPr>
                <w:rFonts w:cs="Arial"/>
                <w:b/>
              </w:rPr>
              <w:t>e Paints</w:t>
            </w:r>
          </w:p>
        </w:tc>
        <w:tc>
          <w:tcPr>
            <w:tcW w:w="1701" w:type="dxa"/>
            <w:shd w:val="clear" w:color="auto" w:fill="auto"/>
          </w:tcPr>
          <w:p w:rsidR="00954C59" w:rsidRDefault="00954C59" w:rsidP="00E1017A">
            <w:pPr>
              <w:spacing w:after="0" w:line="240" w:lineRule="auto"/>
              <w:jc w:val="right"/>
              <w:rPr>
                <w:rFonts w:cs="Arial"/>
                <w:b/>
                <w:color w:val="FFFFFF"/>
                <w:lang w:val="en-GB"/>
              </w:rPr>
            </w:pPr>
          </w:p>
        </w:tc>
        <w:tc>
          <w:tcPr>
            <w:tcW w:w="1560" w:type="dxa"/>
            <w:shd w:val="clear" w:color="auto" w:fill="auto"/>
          </w:tcPr>
          <w:p w:rsidR="00954C59" w:rsidRDefault="00954C59" w:rsidP="00E1017A">
            <w:pPr>
              <w:spacing w:after="0" w:line="240" w:lineRule="auto"/>
              <w:jc w:val="right"/>
              <w:rPr>
                <w:rFonts w:cs="Arial"/>
                <w:b/>
                <w:color w:val="FFFFFF"/>
                <w:lang w:val="en-GB"/>
              </w:rPr>
            </w:pPr>
          </w:p>
        </w:tc>
        <w:tc>
          <w:tcPr>
            <w:tcW w:w="1134" w:type="dxa"/>
            <w:gridSpan w:val="2"/>
            <w:shd w:val="clear" w:color="auto" w:fill="auto"/>
          </w:tcPr>
          <w:p w:rsidR="00954C59" w:rsidRPr="00910A94" w:rsidRDefault="00954C59" w:rsidP="00536AA8">
            <w:pPr>
              <w:spacing w:after="0" w:line="240" w:lineRule="auto"/>
              <w:jc w:val="right"/>
              <w:rPr>
                <w:rFonts w:cs="Arial"/>
                <w:b/>
                <w:color w:val="FFFFFF"/>
                <w:lang w:val="en-GB"/>
              </w:rPr>
            </w:pPr>
          </w:p>
        </w:tc>
      </w:tr>
      <w:tr w:rsidR="00E1017A" w:rsidRPr="00910A94" w:rsidTr="00071346">
        <w:tc>
          <w:tcPr>
            <w:tcW w:w="3969" w:type="dxa"/>
            <w:shd w:val="clear" w:color="auto" w:fill="004386"/>
            <w:vAlign w:val="center"/>
          </w:tcPr>
          <w:p w:rsidR="00E1017A" w:rsidRPr="00910A94" w:rsidRDefault="00E1017A" w:rsidP="00536AA8">
            <w:pPr>
              <w:spacing w:after="0" w:line="240" w:lineRule="auto"/>
              <w:rPr>
                <w:rFonts w:cs="Arial"/>
                <w:b/>
                <w:color w:val="FFFFFF"/>
              </w:rPr>
            </w:pPr>
          </w:p>
        </w:tc>
        <w:tc>
          <w:tcPr>
            <w:tcW w:w="1701" w:type="dxa"/>
            <w:shd w:val="clear" w:color="auto" w:fill="004386"/>
          </w:tcPr>
          <w:p w:rsidR="00E1017A" w:rsidRPr="00910A94" w:rsidRDefault="00E1017A" w:rsidP="00E1017A">
            <w:pPr>
              <w:spacing w:after="0" w:line="240" w:lineRule="auto"/>
              <w:jc w:val="right"/>
              <w:rPr>
                <w:rFonts w:cs="Arial"/>
                <w:b/>
                <w:color w:val="FFFFFF"/>
                <w:lang w:val="en-GB"/>
              </w:rPr>
            </w:pPr>
            <w:r>
              <w:rPr>
                <w:rFonts w:cs="Arial"/>
                <w:b/>
                <w:color w:val="FFFFFF"/>
                <w:lang w:val="en-GB"/>
              </w:rPr>
              <w:t xml:space="preserve">Q1 </w:t>
            </w:r>
            <w:r w:rsidRPr="00910A94">
              <w:rPr>
                <w:rFonts w:cs="Arial"/>
                <w:b/>
                <w:color w:val="FFFFFF"/>
                <w:lang w:val="en-GB"/>
              </w:rPr>
              <w:t>201</w:t>
            </w:r>
            <w:r>
              <w:rPr>
                <w:rFonts w:cs="Arial"/>
                <w:b/>
                <w:color w:val="FFFFFF"/>
                <w:lang w:val="en-GB"/>
              </w:rPr>
              <w:t>6</w:t>
            </w:r>
          </w:p>
        </w:tc>
        <w:tc>
          <w:tcPr>
            <w:tcW w:w="1560" w:type="dxa"/>
            <w:shd w:val="clear" w:color="auto" w:fill="004386"/>
          </w:tcPr>
          <w:p w:rsidR="00E1017A" w:rsidRPr="00910A94" w:rsidRDefault="00E1017A" w:rsidP="00954C59">
            <w:pPr>
              <w:spacing w:after="0" w:line="240" w:lineRule="auto"/>
              <w:jc w:val="right"/>
              <w:rPr>
                <w:rFonts w:cs="Arial"/>
                <w:b/>
                <w:color w:val="FFFFFF"/>
                <w:lang w:val="en-GB"/>
              </w:rPr>
            </w:pPr>
            <w:r>
              <w:rPr>
                <w:rFonts w:cs="Arial"/>
                <w:b/>
                <w:color w:val="FFFFFF"/>
                <w:lang w:val="en-GB"/>
              </w:rPr>
              <w:t xml:space="preserve">Q1 </w:t>
            </w:r>
            <w:r w:rsidRPr="00910A94">
              <w:rPr>
                <w:rFonts w:cs="Arial"/>
                <w:b/>
                <w:color w:val="FFFFFF"/>
                <w:lang w:val="en-GB"/>
              </w:rPr>
              <w:t>201</w:t>
            </w:r>
            <w:r w:rsidR="00954C59">
              <w:rPr>
                <w:rFonts w:cs="Arial"/>
                <w:b/>
                <w:color w:val="FFFFFF"/>
                <w:lang w:val="en-GB"/>
              </w:rPr>
              <w:t>7</w:t>
            </w:r>
          </w:p>
        </w:tc>
        <w:tc>
          <w:tcPr>
            <w:tcW w:w="1134" w:type="dxa"/>
            <w:gridSpan w:val="2"/>
            <w:shd w:val="clear" w:color="auto" w:fill="004386"/>
          </w:tcPr>
          <w:p w:rsidR="00E1017A" w:rsidRPr="00910A94" w:rsidRDefault="00E1017A" w:rsidP="00536AA8">
            <w:pPr>
              <w:spacing w:after="0" w:line="240" w:lineRule="auto"/>
              <w:jc w:val="right"/>
              <w:rPr>
                <w:rFonts w:cs="Arial"/>
                <w:b/>
                <w:color w:val="FFFFFF"/>
              </w:rPr>
            </w:pPr>
            <w:r w:rsidRPr="00910A94">
              <w:rPr>
                <w:rFonts w:cs="Arial"/>
                <w:b/>
                <w:color w:val="FFFFFF"/>
                <w:lang w:val="en-GB"/>
              </w:rPr>
              <w:t>Δ%</w:t>
            </w:r>
          </w:p>
        </w:tc>
      </w:tr>
      <w:tr w:rsidR="00E1017A" w:rsidRPr="008E31A4" w:rsidTr="00071346">
        <w:tc>
          <w:tcPr>
            <w:tcW w:w="3969" w:type="dxa"/>
            <w:vAlign w:val="center"/>
          </w:tcPr>
          <w:p w:rsidR="00E1017A" w:rsidRPr="001A2ECC" w:rsidRDefault="00E1017A" w:rsidP="00536AA8">
            <w:pPr>
              <w:spacing w:after="0" w:line="240" w:lineRule="auto"/>
              <w:rPr>
                <w:rFonts w:cs="Arial"/>
                <w:color w:val="000000"/>
                <w:lang w:val="en-GB"/>
              </w:rPr>
            </w:pPr>
            <w:r w:rsidRPr="001A2ECC">
              <w:rPr>
                <w:rFonts w:cs="Arial"/>
                <w:color w:val="000000"/>
              </w:rPr>
              <w:t>Revenue</w:t>
            </w:r>
          </w:p>
        </w:tc>
        <w:tc>
          <w:tcPr>
            <w:tcW w:w="1701" w:type="dxa"/>
          </w:tcPr>
          <w:p w:rsidR="00E1017A" w:rsidRPr="00954C59" w:rsidRDefault="00954C59" w:rsidP="00536AA8">
            <w:pPr>
              <w:spacing w:after="0" w:line="240" w:lineRule="auto"/>
              <w:jc w:val="right"/>
              <w:rPr>
                <w:rFonts w:cs="Arial"/>
                <w:color w:val="000000"/>
                <w:lang w:val="en-GB"/>
              </w:rPr>
            </w:pPr>
            <w:r>
              <w:rPr>
                <w:rFonts w:cs="Arial"/>
                <w:color w:val="000000"/>
                <w:lang w:val="en-GB"/>
              </w:rPr>
              <w:t>861</w:t>
            </w:r>
          </w:p>
        </w:tc>
        <w:tc>
          <w:tcPr>
            <w:tcW w:w="1560" w:type="dxa"/>
          </w:tcPr>
          <w:p w:rsidR="00E1017A" w:rsidRPr="00954C59" w:rsidRDefault="00954C59" w:rsidP="00536AA8">
            <w:pPr>
              <w:spacing w:after="0" w:line="240" w:lineRule="auto"/>
              <w:jc w:val="right"/>
              <w:rPr>
                <w:rFonts w:cs="Arial"/>
                <w:b/>
                <w:color w:val="000000"/>
                <w:lang w:val="en-GB"/>
              </w:rPr>
            </w:pPr>
            <w:r>
              <w:rPr>
                <w:rFonts w:cs="Arial"/>
                <w:b/>
                <w:color w:val="000000"/>
                <w:lang w:val="en-GB"/>
              </w:rPr>
              <w:t>922</w:t>
            </w:r>
          </w:p>
        </w:tc>
        <w:tc>
          <w:tcPr>
            <w:tcW w:w="1134" w:type="dxa"/>
            <w:gridSpan w:val="2"/>
          </w:tcPr>
          <w:p w:rsidR="00E1017A" w:rsidRPr="00954C59" w:rsidRDefault="00954C59" w:rsidP="00536AA8">
            <w:pPr>
              <w:spacing w:after="0" w:line="240" w:lineRule="auto"/>
              <w:jc w:val="right"/>
              <w:rPr>
                <w:rFonts w:cs="Arial"/>
                <w:color w:val="000000"/>
              </w:rPr>
            </w:pPr>
            <w:r>
              <w:rPr>
                <w:rFonts w:cs="Arial"/>
                <w:color w:val="000000"/>
              </w:rPr>
              <w:t>7</w:t>
            </w:r>
          </w:p>
        </w:tc>
      </w:tr>
      <w:tr w:rsidR="00E1017A" w:rsidRPr="00DF6065" w:rsidTr="00071346">
        <w:tc>
          <w:tcPr>
            <w:tcW w:w="3969" w:type="dxa"/>
            <w:vAlign w:val="center"/>
          </w:tcPr>
          <w:p w:rsidR="00E1017A" w:rsidRPr="00DF6065" w:rsidRDefault="00E1017A" w:rsidP="00646457">
            <w:pPr>
              <w:spacing w:after="0" w:line="240" w:lineRule="auto"/>
              <w:rPr>
                <w:rFonts w:cs="Arial"/>
                <w:color w:val="000000"/>
              </w:rPr>
            </w:pPr>
            <w:r>
              <w:rPr>
                <w:rFonts w:cs="Arial"/>
                <w:color w:val="000000"/>
              </w:rPr>
              <w:t>EBIT</w:t>
            </w:r>
            <w:r w:rsidR="00646457">
              <w:rPr>
                <w:rFonts w:cs="Arial"/>
                <w:sz w:val="18"/>
                <w:szCs w:val="18"/>
                <w:vertAlign w:val="superscript"/>
              </w:rPr>
              <w:t>1</w:t>
            </w:r>
          </w:p>
        </w:tc>
        <w:tc>
          <w:tcPr>
            <w:tcW w:w="1701" w:type="dxa"/>
          </w:tcPr>
          <w:p w:rsidR="00E1017A" w:rsidRPr="00954C59" w:rsidRDefault="00954C59" w:rsidP="00536AA8">
            <w:pPr>
              <w:spacing w:after="0" w:line="240" w:lineRule="auto"/>
              <w:jc w:val="right"/>
              <w:rPr>
                <w:rFonts w:cs="Arial"/>
                <w:color w:val="000000"/>
                <w:lang w:val="en-GB"/>
              </w:rPr>
            </w:pPr>
            <w:r>
              <w:rPr>
                <w:rFonts w:cs="Arial"/>
                <w:color w:val="000000"/>
                <w:lang w:val="en-GB"/>
              </w:rPr>
              <w:t>52</w:t>
            </w:r>
          </w:p>
        </w:tc>
        <w:tc>
          <w:tcPr>
            <w:tcW w:w="1560" w:type="dxa"/>
          </w:tcPr>
          <w:p w:rsidR="00E1017A" w:rsidRPr="00954C59" w:rsidRDefault="00954C59" w:rsidP="00536AA8">
            <w:pPr>
              <w:spacing w:after="0" w:line="240" w:lineRule="auto"/>
              <w:jc w:val="right"/>
              <w:rPr>
                <w:rFonts w:cs="Arial"/>
                <w:b/>
                <w:color w:val="000000"/>
                <w:lang w:val="en-GB"/>
              </w:rPr>
            </w:pPr>
            <w:r>
              <w:rPr>
                <w:rFonts w:cs="Arial"/>
                <w:b/>
                <w:color w:val="000000"/>
                <w:lang w:val="en-GB"/>
              </w:rPr>
              <w:t>77</w:t>
            </w:r>
          </w:p>
        </w:tc>
        <w:tc>
          <w:tcPr>
            <w:tcW w:w="1134" w:type="dxa"/>
            <w:gridSpan w:val="2"/>
          </w:tcPr>
          <w:p w:rsidR="00E1017A" w:rsidRPr="00954C59" w:rsidRDefault="00E1017A" w:rsidP="00536AA8">
            <w:pPr>
              <w:spacing w:after="0" w:line="240" w:lineRule="auto"/>
              <w:jc w:val="right"/>
              <w:rPr>
                <w:rFonts w:cs="Arial"/>
                <w:color w:val="000000"/>
                <w:lang w:val="en-GB"/>
              </w:rPr>
            </w:pPr>
            <w:r w:rsidRPr="00954C59">
              <w:rPr>
                <w:rFonts w:cs="Arial"/>
                <w:color w:val="000000"/>
                <w:lang w:val="en-GB"/>
              </w:rPr>
              <w:t>4</w:t>
            </w:r>
            <w:r w:rsidR="00954C59">
              <w:rPr>
                <w:rFonts w:cs="Arial"/>
                <w:color w:val="000000"/>
                <w:lang w:val="en-GB"/>
              </w:rPr>
              <w:t>8</w:t>
            </w:r>
          </w:p>
        </w:tc>
      </w:tr>
      <w:tr w:rsidR="00E1017A" w:rsidRPr="00DF6065" w:rsidTr="00071346">
        <w:tc>
          <w:tcPr>
            <w:tcW w:w="3969" w:type="dxa"/>
            <w:vAlign w:val="center"/>
          </w:tcPr>
          <w:p w:rsidR="00E1017A" w:rsidRPr="00DF6065" w:rsidRDefault="00E1017A" w:rsidP="00646457">
            <w:pPr>
              <w:spacing w:after="0" w:line="240" w:lineRule="auto"/>
              <w:rPr>
                <w:rFonts w:cs="Arial"/>
                <w:color w:val="000000"/>
              </w:rPr>
            </w:pPr>
            <w:r w:rsidRPr="00DF6065">
              <w:rPr>
                <w:rFonts w:cs="Arial"/>
                <w:color w:val="000000"/>
              </w:rPr>
              <w:t xml:space="preserve">ROS </w:t>
            </w:r>
            <w:r>
              <w:rPr>
                <w:rFonts w:cs="Arial"/>
                <w:sz w:val="18"/>
                <w:szCs w:val="18"/>
              </w:rPr>
              <w:t>%</w:t>
            </w:r>
            <w:r w:rsidR="00646457">
              <w:rPr>
                <w:rFonts w:cs="Arial"/>
                <w:sz w:val="18"/>
                <w:szCs w:val="18"/>
                <w:vertAlign w:val="superscript"/>
              </w:rPr>
              <w:t>2</w:t>
            </w:r>
          </w:p>
        </w:tc>
        <w:tc>
          <w:tcPr>
            <w:tcW w:w="1701" w:type="dxa"/>
          </w:tcPr>
          <w:p w:rsidR="00E1017A" w:rsidRPr="00954C59" w:rsidRDefault="00954C59" w:rsidP="00536AA8">
            <w:pPr>
              <w:spacing w:after="0" w:line="240" w:lineRule="auto"/>
              <w:ind w:left="37"/>
              <w:jc w:val="right"/>
              <w:rPr>
                <w:rFonts w:cs="Arial"/>
                <w:color w:val="000000"/>
                <w:lang w:val="en-GB"/>
              </w:rPr>
            </w:pPr>
            <w:r>
              <w:rPr>
                <w:rFonts w:cs="Arial"/>
                <w:color w:val="000000"/>
                <w:lang w:val="en-GB"/>
              </w:rPr>
              <w:t>6.0</w:t>
            </w:r>
          </w:p>
        </w:tc>
        <w:tc>
          <w:tcPr>
            <w:tcW w:w="1560" w:type="dxa"/>
          </w:tcPr>
          <w:p w:rsidR="00E1017A" w:rsidRPr="00954C59" w:rsidRDefault="00954C59" w:rsidP="00536AA8">
            <w:pPr>
              <w:spacing w:after="0" w:line="240" w:lineRule="auto"/>
              <w:jc w:val="right"/>
              <w:rPr>
                <w:rFonts w:cs="Arial"/>
                <w:b/>
                <w:color w:val="000000"/>
                <w:lang w:val="en-GB"/>
              </w:rPr>
            </w:pPr>
            <w:r>
              <w:rPr>
                <w:rFonts w:cs="Arial"/>
                <w:b/>
                <w:color w:val="000000"/>
                <w:lang w:val="en-GB"/>
              </w:rPr>
              <w:t>8.4</w:t>
            </w:r>
          </w:p>
        </w:tc>
        <w:tc>
          <w:tcPr>
            <w:tcW w:w="1134" w:type="dxa"/>
            <w:gridSpan w:val="2"/>
          </w:tcPr>
          <w:p w:rsidR="00E1017A" w:rsidRPr="00954C59" w:rsidRDefault="00E1017A" w:rsidP="00536AA8">
            <w:pPr>
              <w:spacing w:after="0" w:line="240" w:lineRule="auto"/>
              <w:jc w:val="right"/>
              <w:rPr>
                <w:rFonts w:cs="Arial"/>
                <w:color w:val="000000"/>
                <w:lang w:val="en-GB"/>
              </w:rPr>
            </w:pPr>
          </w:p>
        </w:tc>
      </w:tr>
      <w:tr w:rsidR="00E1017A" w:rsidRPr="00954C59" w:rsidTr="00071346">
        <w:trPr>
          <w:gridAfter w:val="1"/>
          <w:wAfter w:w="426" w:type="dxa"/>
        </w:trPr>
        <w:tc>
          <w:tcPr>
            <w:tcW w:w="7938" w:type="dxa"/>
            <w:gridSpan w:val="4"/>
            <w:vAlign w:val="center"/>
          </w:tcPr>
          <w:p w:rsidR="00E1017A" w:rsidRPr="00954C59" w:rsidRDefault="00E1017A" w:rsidP="00536AA8">
            <w:pPr>
              <w:spacing w:after="0" w:line="240" w:lineRule="auto"/>
              <w:rPr>
                <w:rFonts w:cs="Arial"/>
                <w:b/>
                <w:color w:val="000000"/>
                <w:sz w:val="10"/>
                <w:lang w:val="en-GB"/>
              </w:rPr>
            </w:pPr>
          </w:p>
          <w:p w:rsidR="00E1017A" w:rsidRPr="00954C59" w:rsidRDefault="00E1017A" w:rsidP="00536AA8">
            <w:pPr>
              <w:spacing w:after="0" w:line="240" w:lineRule="auto"/>
              <w:rPr>
                <w:rFonts w:cs="Arial"/>
                <w:b/>
                <w:color w:val="000000"/>
                <w:lang w:val="en-GB"/>
              </w:rPr>
            </w:pPr>
            <w:r w:rsidRPr="00954C59">
              <w:rPr>
                <w:rFonts w:cs="Arial"/>
                <w:b/>
                <w:color w:val="000000"/>
                <w:lang w:val="en-GB"/>
              </w:rPr>
              <w:t>Performance Coatings</w:t>
            </w:r>
          </w:p>
        </w:tc>
      </w:tr>
      <w:tr w:rsidR="00E1017A" w:rsidRPr="00DF6065" w:rsidTr="00071346">
        <w:tc>
          <w:tcPr>
            <w:tcW w:w="3969" w:type="dxa"/>
            <w:shd w:val="clear" w:color="auto" w:fill="004386"/>
            <w:vAlign w:val="center"/>
          </w:tcPr>
          <w:p w:rsidR="00E1017A" w:rsidRPr="00DF6065" w:rsidRDefault="00E1017A" w:rsidP="00536AA8">
            <w:pPr>
              <w:spacing w:after="0" w:line="240" w:lineRule="auto"/>
              <w:rPr>
                <w:rFonts w:cs="Arial"/>
                <w:b/>
                <w:color w:val="FFFFFF"/>
                <w:highlight w:val="yellow"/>
              </w:rPr>
            </w:pPr>
          </w:p>
        </w:tc>
        <w:tc>
          <w:tcPr>
            <w:tcW w:w="1701" w:type="dxa"/>
            <w:shd w:val="clear" w:color="auto" w:fill="004386"/>
          </w:tcPr>
          <w:p w:rsidR="00E1017A" w:rsidRPr="00954C59" w:rsidRDefault="00E1017A" w:rsidP="00E1017A">
            <w:pPr>
              <w:spacing w:after="0" w:line="240" w:lineRule="auto"/>
              <w:jc w:val="right"/>
              <w:rPr>
                <w:rFonts w:cs="Arial"/>
                <w:b/>
                <w:color w:val="FFFFFF"/>
                <w:lang w:val="en-GB"/>
              </w:rPr>
            </w:pPr>
            <w:r w:rsidRPr="00954C59">
              <w:rPr>
                <w:rFonts w:cs="Arial"/>
                <w:b/>
                <w:color w:val="FFFFFF"/>
                <w:lang w:val="en-GB"/>
              </w:rPr>
              <w:t>Q1 2016</w:t>
            </w:r>
          </w:p>
        </w:tc>
        <w:tc>
          <w:tcPr>
            <w:tcW w:w="1560" w:type="dxa"/>
            <w:shd w:val="clear" w:color="auto" w:fill="004386"/>
          </w:tcPr>
          <w:p w:rsidR="00E1017A" w:rsidRPr="00954C59" w:rsidRDefault="00E1017A" w:rsidP="00E1017A">
            <w:pPr>
              <w:spacing w:after="0" w:line="240" w:lineRule="auto"/>
              <w:jc w:val="right"/>
              <w:rPr>
                <w:rFonts w:cs="Arial"/>
                <w:b/>
                <w:color w:val="FFFFFF"/>
                <w:lang w:val="en-GB"/>
              </w:rPr>
            </w:pPr>
            <w:r w:rsidRPr="00954C59">
              <w:rPr>
                <w:rFonts w:cs="Arial"/>
                <w:b/>
                <w:color w:val="FFFFFF"/>
                <w:lang w:val="en-GB"/>
              </w:rPr>
              <w:t>Q1 2017</w:t>
            </w:r>
          </w:p>
        </w:tc>
        <w:tc>
          <w:tcPr>
            <w:tcW w:w="1134" w:type="dxa"/>
            <w:gridSpan w:val="2"/>
            <w:shd w:val="clear" w:color="auto" w:fill="004386"/>
          </w:tcPr>
          <w:p w:rsidR="00E1017A" w:rsidRPr="00954C59" w:rsidRDefault="00E1017A" w:rsidP="00536AA8">
            <w:pPr>
              <w:spacing w:after="0" w:line="240" w:lineRule="auto"/>
              <w:jc w:val="right"/>
              <w:rPr>
                <w:rFonts w:cs="Arial"/>
                <w:b/>
                <w:color w:val="FFFFFF"/>
              </w:rPr>
            </w:pPr>
            <w:r w:rsidRPr="00954C59">
              <w:rPr>
                <w:rFonts w:cs="Arial"/>
                <w:b/>
                <w:color w:val="FFFFFF"/>
                <w:lang w:val="en-GB"/>
              </w:rPr>
              <w:t>Δ%</w:t>
            </w:r>
          </w:p>
        </w:tc>
      </w:tr>
      <w:tr w:rsidR="00E1017A" w:rsidRPr="00DF6065" w:rsidTr="00071346">
        <w:tc>
          <w:tcPr>
            <w:tcW w:w="3969" w:type="dxa"/>
            <w:vAlign w:val="center"/>
          </w:tcPr>
          <w:p w:rsidR="00E1017A" w:rsidRPr="005C5680" w:rsidRDefault="00E1017A" w:rsidP="00536AA8">
            <w:pPr>
              <w:spacing w:after="0" w:line="240" w:lineRule="auto"/>
              <w:rPr>
                <w:rFonts w:cs="Arial"/>
                <w:color w:val="000000"/>
                <w:lang w:val="en-GB"/>
              </w:rPr>
            </w:pPr>
            <w:r w:rsidRPr="00DF6065">
              <w:rPr>
                <w:rFonts w:cs="Arial"/>
                <w:color w:val="000000"/>
              </w:rPr>
              <w:t>Revenue</w:t>
            </w:r>
          </w:p>
        </w:tc>
        <w:tc>
          <w:tcPr>
            <w:tcW w:w="1701" w:type="dxa"/>
          </w:tcPr>
          <w:p w:rsidR="00E1017A" w:rsidRPr="00954C59" w:rsidRDefault="00954C59" w:rsidP="00536AA8">
            <w:pPr>
              <w:spacing w:after="0" w:line="240" w:lineRule="auto"/>
              <w:jc w:val="right"/>
              <w:rPr>
                <w:rFonts w:cs="Arial"/>
                <w:color w:val="000000"/>
                <w:lang w:val="en-GB"/>
              </w:rPr>
            </w:pPr>
            <w:r>
              <w:rPr>
                <w:rFonts w:cs="Arial"/>
                <w:color w:val="000000"/>
                <w:lang w:val="en-GB"/>
              </w:rPr>
              <w:t>1,388</w:t>
            </w:r>
          </w:p>
        </w:tc>
        <w:tc>
          <w:tcPr>
            <w:tcW w:w="1560" w:type="dxa"/>
          </w:tcPr>
          <w:p w:rsidR="00E1017A" w:rsidRPr="00954C59" w:rsidRDefault="00CE4A2F" w:rsidP="00536AA8">
            <w:pPr>
              <w:spacing w:after="0" w:line="240" w:lineRule="auto"/>
              <w:jc w:val="right"/>
              <w:rPr>
                <w:rFonts w:cs="Arial"/>
                <w:b/>
                <w:color w:val="000000"/>
                <w:lang w:val="en-GB"/>
              </w:rPr>
            </w:pPr>
            <w:r>
              <w:rPr>
                <w:rFonts w:cs="Arial"/>
                <w:b/>
                <w:color w:val="000000"/>
                <w:lang w:val="en-GB"/>
              </w:rPr>
              <w:t>1,471</w:t>
            </w:r>
          </w:p>
        </w:tc>
        <w:tc>
          <w:tcPr>
            <w:tcW w:w="1134" w:type="dxa"/>
            <w:gridSpan w:val="2"/>
          </w:tcPr>
          <w:p w:rsidR="00E1017A" w:rsidRPr="00954C59" w:rsidRDefault="00CE4A2F" w:rsidP="00536AA8">
            <w:pPr>
              <w:spacing w:after="0" w:line="240" w:lineRule="auto"/>
              <w:jc w:val="right"/>
              <w:rPr>
                <w:rFonts w:cs="Arial"/>
                <w:color w:val="000000"/>
              </w:rPr>
            </w:pPr>
            <w:r>
              <w:rPr>
                <w:rFonts w:cs="Arial"/>
                <w:color w:val="000000"/>
              </w:rPr>
              <w:t>6</w:t>
            </w:r>
          </w:p>
        </w:tc>
      </w:tr>
      <w:tr w:rsidR="00E1017A" w:rsidRPr="000C53A8" w:rsidTr="00071346">
        <w:tc>
          <w:tcPr>
            <w:tcW w:w="3969" w:type="dxa"/>
            <w:vAlign w:val="center"/>
          </w:tcPr>
          <w:p w:rsidR="00E1017A" w:rsidRPr="000C53A8" w:rsidRDefault="00E1017A" w:rsidP="00646457">
            <w:pPr>
              <w:spacing w:after="0" w:line="240" w:lineRule="auto"/>
              <w:rPr>
                <w:rFonts w:cs="Arial"/>
                <w:color w:val="000000"/>
                <w:lang w:val="en-GB"/>
              </w:rPr>
            </w:pPr>
            <w:r>
              <w:rPr>
                <w:rFonts w:cs="Arial"/>
                <w:color w:val="000000"/>
              </w:rPr>
              <w:t>EBIT</w:t>
            </w:r>
            <w:r w:rsidR="00646457">
              <w:rPr>
                <w:rFonts w:cs="Arial"/>
                <w:sz w:val="18"/>
                <w:szCs w:val="18"/>
                <w:vertAlign w:val="superscript"/>
              </w:rPr>
              <w:t>1</w:t>
            </w:r>
          </w:p>
        </w:tc>
        <w:tc>
          <w:tcPr>
            <w:tcW w:w="1701" w:type="dxa"/>
          </w:tcPr>
          <w:p w:rsidR="00E1017A" w:rsidRPr="00954C59" w:rsidRDefault="00CE4A2F" w:rsidP="00536AA8">
            <w:pPr>
              <w:spacing w:after="0" w:line="240" w:lineRule="auto"/>
              <w:jc w:val="right"/>
              <w:rPr>
                <w:rFonts w:cs="Arial"/>
                <w:color w:val="000000"/>
                <w:lang w:val="en-GB"/>
              </w:rPr>
            </w:pPr>
            <w:r>
              <w:rPr>
                <w:rFonts w:cs="Arial"/>
                <w:color w:val="000000"/>
                <w:lang w:val="en-GB"/>
              </w:rPr>
              <w:t>186</w:t>
            </w:r>
          </w:p>
        </w:tc>
        <w:tc>
          <w:tcPr>
            <w:tcW w:w="1560" w:type="dxa"/>
          </w:tcPr>
          <w:p w:rsidR="00E1017A" w:rsidRPr="00954C59" w:rsidRDefault="00E1017A" w:rsidP="00CE4A2F">
            <w:pPr>
              <w:spacing w:after="0" w:line="240" w:lineRule="auto"/>
              <w:jc w:val="right"/>
              <w:rPr>
                <w:rFonts w:cs="Arial"/>
                <w:b/>
                <w:color w:val="000000"/>
                <w:lang w:val="en-GB"/>
              </w:rPr>
            </w:pPr>
            <w:r w:rsidRPr="00954C59">
              <w:rPr>
                <w:rFonts w:cs="Arial"/>
                <w:b/>
                <w:color w:val="000000"/>
                <w:lang w:val="en-GB"/>
              </w:rPr>
              <w:t>18</w:t>
            </w:r>
            <w:r w:rsidR="00CE4A2F">
              <w:rPr>
                <w:rFonts w:cs="Arial"/>
                <w:b/>
                <w:color w:val="000000"/>
                <w:lang w:val="en-GB"/>
              </w:rPr>
              <w:t>7</w:t>
            </w:r>
          </w:p>
        </w:tc>
        <w:tc>
          <w:tcPr>
            <w:tcW w:w="1134" w:type="dxa"/>
            <w:gridSpan w:val="2"/>
          </w:tcPr>
          <w:p w:rsidR="00E1017A" w:rsidRPr="00954C59" w:rsidRDefault="00CE4A2F" w:rsidP="00536AA8">
            <w:pPr>
              <w:spacing w:after="0" w:line="240" w:lineRule="auto"/>
              <w:jc w:val="right"/>
              <w:rPr>
                <w:rFonts w:cs="Arial"/>
                <w:color w:val="000000"/>
                <w:lang w:val="en-GB"/>
              </w:rPr>
            </w:pPr>
            <w:r>
              <w:rPr>
                <w:rFonts w:cs="Arial"/>
                <w:color w:val="000000"/>
                <w:lang w:val="en-GB"/>
              </w:rPr>
              <w:t>1</w:t>
            </w:r>
          </w:p>
        </w:tc>
      </w:tr>
      <w:tr w:rsidR="00E1017A" w:rsidRPr="008E31A4" w:rsidTr="00071346">
        <w:tc>
          <w:tcPr>
            <w:tcW w:w="3969" w:type="dxa"/>
            <w:vAlign w:val="center"/>
          </w:tcPr>
          <w:p w:rsidR="00E1017A" w:rsidRPr="005C5680" w:rsidRDefault="00E1017A" w:rsidP="00646457">
            <w:pPr>
              <w:spacing w:after="0" w:line="240" w:lineRule="auto"/>
              <w:rPr>
                <w:rFonts w:cs="Arial"/>
                <w:color w:val="000000"/>
              </w:rPr>
            </w:pPr>
            <w:r w:rsidRPr="005C5680">
              <w:rPr>
                <w:rFonts w:cs="Arial"/>
                <w:color w:val="000000"/>
              </w:rPr>
              <w:t xml:space="preserve">ROS </w:t>
            </w:r>
            <w:r>
              <w:rPr>
                <w:rFonts w:cs="Arial"/>
                <w:sz w:val="18"/>
                <w:szCs w:val="18"/>
              </w:rPr>
              <w:t>%</w:t>
            </w:r>
            <w:r w:rsidR="00646457">
              <w:rPr>
                <w:rFonts w:cs="Arial"/>
                <w:sz w:val="18"/>
                <w:szCs w:val="18"/>
                <w:vertAlign w:val="superscript"/>
              </w:rPr>
              <w:t>2</w:t>
            </w:r>
          </w:p>
        </w:tc>
        <w:tc>
          <w:tcPr>
            <w:tcW w:w="1701" w:type="dxa"/>
          </w:tcPr>
          <w:p w:rsidR="00E1017A" w:rsidRPr="00954C59" w:rsidRDefault="00CE4A2F" w:rsidP="00536AA8">
            <w:pPr>
              <w:spacing w:after="0" w:line="240" w:lineRule="auto"/>
              <w:jc w:val="right"/>
              <w:rPr>
                <w:rFonts w:cs="Arial"/>
                <w:color w:val="000000"/>
                <w:lang w:val="en-GB"/>
              </w:rPr>
            </w:pPr>
            <w:r>
              <w:rPr>
                <w:rFonts w:cs="Arial"/>
                <w:color w:val="000000"/>
                <w:lang w:val="en-GB"/>
              </w:rPr>
              <w:t>13.4</w:t>
            </w:r>
          </w:p>
        </w:tc>
        <w:tc>
          <w:tcPr>
            <w:tcW w:w="1560" w:type="dxa"/>
          </w:tcPr>
          <w:p w:rsidR="00E1017A" w:rsidRPr="00954C59" w:rsidRDefault="00CE4A2F" w:rsidP="00536AA8">
            <w:pPr>
              <w:spacing w:after="0" w:line="240" w:lineRule="auto"/>
              <w:jc w:val="right"/>
              <w:rPr>
                <w:rFonts w:cs="Arial"/>
                <w:b/>
                <w:color w:val="000000"/>
                <w:lang w:val="en-GB"/>
              </w:rPr>
            </w:pPr>
            <w:r>
              <w:rPr>
                <w:rFonts w:cs="Arial"/>
                <w:b/>
                <w:color w:val="000000"/>
                <w:lang w:val="en-GB"/>
              </w:rPr>
              <w:t>12.7</w:t>
            </w:r>
          </w:p>
        </w:tc>
        <w:tc>
          <w:tcPr>
            <w:tcW w:w="1134" w:type="dxa"/>
            <w:gridSpan w:val="2"/>
          </w:tcPr>
          <w:p w:rsidR="00E1017A" w:rsidRPr="00954C59" w:rsidRDefault="00E1017A" w:rsidP="00536AA8">
            <w:pPr>
              <w:spacing w:after="0" w:line="240" w:lineRule="auto"/>
              <w:jc w:val="right"/>
              <w:rPr>
                <w:rFonts w:cs="Arial"/>
                <w:color w:val="000000"/>
                <w:lang w:val="en-GB"/>
              </w:rPr>
            </w:pPr>
          </w:p>
        </w:tc>
      </w:tr>
      <w:tr w:rsidR="00E1017A" w:rsidRPr="00954C59" w:rsidTr="00071346">
        <w:trPr>
          <w:gridAfter w:val="1"/>
          <w:wAfter w:w="426" w:type="dxa"/>
        </w:trPr>
        <w:tc>
          <w:tcPr>
            <w:tcW w:w="7938" w:type="dxa"/>
            <w:gridSpan w:val="4"/>
            <w:vAlign w:val="center"/>
          </w:tcPr>
          <w:p w:rsidR="00E1017A" w:rsidRPr="00954C59" w:rsidRDefault="00E1017A" w:rsidP="00536AA8">
            <w:pPr>
              <w:spacing w:after="0" w:line="240" w:lineRule="auto"/>
              <w:rPr>
                <w:rFonts w:cs="Arial"/>
                <w:color w:val="000000"/>
                <w:sz w:val="12"/>
                <w:lang w:val="en-GB"/>
              </w:rPr>
            </w:pPr>
          </w:p>
          <w:p w:rsidR="00E1017A" w:rsidRPr="00954C59" w:rsidRDefault="00E1017A" w:rsidP="00536AA8">
            <w:pPr>
              <w:spacing w:after="0" w:line="240" w:lineRule="auto"/>
              <w:rPr>
                <w:rFonts w:cs="Arial"/>
                <w:b/>
                <w:color w:val="000000"/>
                <w:lang w:val="en-GB"/>
              </w:rPr>
            </w:pPr>
            <w:r w:rsidRPr="00954C59">
              <w:rPr>
                <w:rFonts w:cs="Arial"/>
                <w:b/>
                <w:color w:val="000000"/>
                <w:lang w:val="en-GB"/>
              </w:rPr>
              <w:t>Specialty Chemicals</w:t>
            </w:r>
          </w:p>
        </w:tc>
      </w:tr>
      <w:tr w:rsidR="00E1017A" w:rsidRPr="000C53A8" w:rsidTr="00071346">
        <w:tc>
          <w:tcPr>
            <w:tcW w:w="3969" w:type="dxa"/>
            <w:shd w:val="clear" w:color="auto" w:fill="004386"/>
            <w:vAlign w:val="center"/>
          </w:tcPr>
          <w:p w:rsidR="00E1017A" w:rsidRPr="000C53A8" w:rsidRDefault="00E1017A" w:rsidP="00536AA8">
            <w:pPr>
              <w:spacing w:after="0" w:line="240" w:lineRule="auto"/>
              <w:rPr>
                <w:rFonts w:cs="Arial"/>
                <w:b/>
                <w:color w:val="FFFFFF"/>
              </w:rPr>
            </w:pPr>
          </w:p>
        </w:tc>
        <w:tc>
          <w:tcPr>
            <w:tcW w:w="1701" w:type="dxa"/>
            <w:shd w:val="clear" w:color="auto" w:fill="004386"/>
          </w:tcPr>
          <w:p w:rsidR="00E1017A" w:rsidRPr="00954C59" w:rsidRDefault="00E1017A" w:rsidP="00E1017A">
            <w:pPr>
              <w:spacing w:after="0" w:line="240" w:lineRule="auto"/>
              <w:jc w:val="right"/>
              <w:rPr>
                <w:rFonts w:cs="Arial"/>
                <w:b/>
                <w:color w:val="FFFFFF"/>
                <w:lang w:val="en-GB"/>
              </w:rPr>
            </w:pPr>
            <w:r w:rsidRPr="00954C59">
              <w:rPr>
                <w:rFonts w:cs="Arial"/>
                <w:b/>
                <w:color w:val="FFFFFF"/>
                <w:lang w:val="en-GB"/>
              </w:rPr>
              <w:t>Q1 2016</w:t>
            </w:r>
          </w:p>
        </w:tc>
        <w:tc>
          <w:tcPr>
            <w:tcW w:w="1560" w:type="dxa"/>
            <w:shd w:val="clear" w:color="auto" w:fill="004386"/>
          </w:tcPr>
          <w:p w:rsidR="00E1017A" w:rsidRPr="00954C59" w:rsidRDefault="00E1017A" w:rsidP="00E1017A">
            <w:pPr>
              <w:spacing w:after="0" w:line="240" w:lineRule="auto"/>
              <w:jc w:val="right"/>
              <w:rPr>
                <w:rFonts w:cs="Arial"/>
                <w:b/>
                <w:color w:val="FFFFFF"/>
                <w:lang w:val="en-GB"/>
              </w:rPr>
            </w:pPr>
            <w:r w:rsidRPr="00954C59">
              <w:rPr>
                <w:rFonts w:cs="Arial"/>
                <w:b/>
                <w:color w:val="FFFFFF"/>
                <w:lang w:val="en-GB"/>
              </w:rPr>
              <w:t>Q1 2017</w:t>
            </w:r>
          </w:p>
        </w:tc>
        <w:tc>
          <w:tcPr>
            <w:tcW w:w="1134" w:type="dxa"/>
            <w:gridSpan w:val="2"/>
            <w:shd w:val="clear" w:color="auto" w:fill="004386"/>
          </w:tcPr>
          <w:p w:rsidR="00E1017A" w:rsidRPr="00954C59" w:rsidRDefault="00E1017A" w:rsidP="00536AA8">
            <w:pPr>
              <w:spacing w:after="0" w:line="240" w:lineRule="auto"/>
              <w:jc w:val="right"/>
              <w:rPr>
                <w:rFonts w:cs="Arial"/>
                <w:b/>
                <w:color w:val="FFFFFF"/>
              </w:rPr>
            </w:pPr>
            <w:r w:rsidRPr="00954C59">
              <w:rPr>
                <w:rFonts w:cs="Arial"/>
                <w:b/>
                <w:color w:val="FFFFFF"/>
                <w:lang w:val="en-GB"/>
              </w:rPr>
              <w:t>Δ%</w:t>
            </w:r>
          </w:p>
        </w:tc>
      </w:tr>
      <w:tr w:rsidR="00E1017A" w:rsidRPr="000C53A8" w:rsidTr="00071346">
        <w:tc>
          <w:tcPr>
            <w:tcW w:w="3969" w:type="dxa"/>
            <w:vAlign w:val="center"/>
          </w:tcPr>
          <w:p w:rsidR="00E1017A" w:rsidRPr="000C53A8" w:rsidRDefault="00E1017A" w:rsidP="00536AA8">
            <w:pPr>
              <w:spacing w:after="0" w:line="240" w:lineRule="auto"/>
              <w:rPr>
                <w:rFonts w:cs="Arial"/>
                <w:color w:val="000000"/>
                <w:lang w:val="en-GB"/>
              </w:rPr>
            </w:pPr>
            <w:r w:rsidRPr="000C53A8">
              <w:rPr>
                <w:rFonts w:cs="Arial"/>
                <w:color w:val="000000"/>
              </w:rPr>
              <w:t>Revenue</w:t>
            </w:r>
          </w:p>
        </w:tc>
        <w:tc>
          <w:tcPr>
            <w:tcW w:w="1701" w:type="dxa"/>
          </w:tcPr>
          <w:p w:rsidR="00E1017A" w:rsidRPr="00954C59" w:rsidRDefault="00CE4A2F" w:rsidP="00536AA8">
            <w:pPr>
              <w:spacing w:after="0" w:line="240" w:lineRule="auto"/>
              <w:jc w:val="right"/>
              <w:rPr>
                <w:rFonts w:cs="Arial"/>
                <w:color w:val="000000"/>
                <w:lang w:val="en-GB"/>
              </w:rPr>
            </w:pPr>
            <w:r>
              <w:rPr>
                <w:rFonts w:cs="Arial"/>
                <w:color w:val="000000"/>
                <w:lang w:val="en-GB"/>
              </w:rPr>
              <w:t>1,206</w:t>
            </w:r>
          </w:p>
        </w:tc>
        <w:tc>
          <w:tcPr>
            <w:tcW w:w="1560" w:type="dxa"/>
          </w:tcPr>
          <w:p w:rsidR="00E1017A" w:rsidRPr="00954C59" w:rsidRDefault="00CE4A2F" w:rsidP="00536AA8">
            <w:pPr>
              <w:spacing w:after="0" w:line="240" w:lineRule="auto"/>
              <w:jc w:val="right"/>
              <w:rPr>
                <w:rFonts w:cs="Arial"/>
                <w:b/>
                <w:color w:val="000000"/>
                <w:lang w:val="en-GB"/>
              </w:rPr>
            </w:pPr>
            <w:r>
              <w:rPr>
                <w:rFonts w:cs="Arial"/>
                <w:b/>
                <w:color w:val="000000"/>
                <w:lang w:val="en-GB"/>
              </w:rPr>
              <w:t>1,289</w:t>
            </w:r>
          </w:p>
        </w:tc>
        <w:tc>
          <w:tcPr>
            <w:tcW w:w="1134" w:type="dxa"/>
            <w:gridSpan w:val="2"/>
          </w:tcPr>
          <w:p w:rsidR="00E1017A" w:rsidRPr="00954C59" w:rsidRDefault="00CE4A2F" w:rsidP="00536AA8">
            <w:pPr>
              <w:spacing w:after="0" w:line="240" w:lineRule="auto"/>
              <w:jc w:val="right"/>
              <w:rPr>
                <w:rFonts w:cs="Arial"/>
                <w:color w:val="000000"/>
              </w:rPr>
            </w:pPr>
            <w:r>
              <w:rPr>
                <w:rFonts w:cs="Arial"/>
                <w:color w:val="000000"/>
              </w:rPr>
              <w:t>7</w:t>
            </w:r>
          </w:p>
        </w:tc>
      </w:tr>
      <w:tr w:rsidR="00E1017A" w:rsidRPr="000C53A8" w:rsidTr="00071346">
        <w:tc>
          <w:tcPr>
            <w:tcW w:w="3969" w:type="dxa"/>
            <w:vAlign w:val="center"/>
          </w:tcPr>
          <w:p w:rsidR="00E1017A" w:rsidRPr="000C53A8" w:rsidRDefault="00E1017A" w:rsidP="00646457">
            <w:pPr>
              <w:spacing w:after="0" w:line="240" w:lineRule="auto"/>
              <w:rPr>
                <w:rFonts w:cs="Arial"/>
                <w:color w:val="000000"/>
                <w:lang w:val="en-GB"/>
              </w:rPr>
            </w:pPr>
            <w:r>
              <w:rPr>
                <w:rFonts w:cs="Arial"/>
                <w:color w:val="000000"/>
              </w:rPr>
              <w:t>EBIT</w:t>
            </w:r>
            <w:r w:rsidR="00646457">
              <w:rPr>
                <w:rFonts w:cs="Arial"/>
                <w:sz w:val="18"/>
                <w:szCs w:val="18"/>
                <w:vertAlign w:val="superscript"/>
              </w:rPr>
              <w:t>1</w:t>
            </w:r>
          </w:p>
        </w:tc>
        <w:tc>
          <w:tcPr>
            <w:tcW w:w="1701" w:type="dxa"/>
          </w:tcPr>
          <w:p w:rsidR="00E1017A" w:rsidRPr="00954C59" w:rsidRDefault="00E1017A" w:rsidP="00CE4A2F">
            <w:pPr>
              <w:spacing w:after="0" w:line="240" w:lineRule="auto"/>
              <w:jc w:val="right"/>
              <w:rPr>
                <w:rFonts w:cs="Arial"/>
                <w:color w:val="000000"/>
                <w:lang w:val="en-GB"/>
              </w:rPr>
            </w:pPr>
            <w:r w:rsidRPr="00954C59">
              <w:rPr>
                <w:rFonts w:cs="Arial"/>
                <w:color w:val="000000"/>
                <w:lang w:val="en-GB"/>
              </w:rPr>
              <w:t>16</w:t>
            </w:r>
            <w:r w:rsidR="00CE4A2F">
              <w:rPr>
                <w:rFonts w:cs="Arial"/>
                <w:color w:val="000000"/>
                <w:lang w:val="en-GB"/>
              </w:rPr>
              <w:t>4</w:t>
            </w:r>
          </w:p>
        </w:tc>
        <w:tc>
          <w:tcPr>
            <w:tcW w:w="1560" w:type="dxa"/>
          </w:tcPr>
          <w:p w:rsidR="00E1017A" w:rsidRPr="00954C59" w:rsidRDefault="00CE4A2F" w:rsidP="00536AA8">
            <w:pPr>
              <w:spacing w:after="0" w:line="240" w:lineRule="auto"/>
              <w:jc w:val="right"/>
              <w:rPr>
                <w:rFonts w:cs="Arial"/>
                <w:b/>
                <w:color w:val="000000"/>
                <w:lang w:val="en-GB"/>
              </w:rPr>
            </w:pPr>
            <w:r>
              <w:rPr>
                <w:rFonts w:cs="Arial"/>
                <w:b/>
                <w:color w:val="000000"/>
                <w:lang w:val="en-GB"/>
              </w:rPr>
              <w:t>176</w:t>
            </w:r>
          </w:p>
        </w:tc>
        <w:tc>
          <w:tcPr>
            <w:tcW w:w="1134" w:type="dxa"/>
            <w:gridSpan w:val="2"/>
          </w:tcPr>
          <w:p w:rsidR="00E1017A" w:rsidRPr="00954C59" w:rsidRDefault="00CE4A2F" w:rsidP="00536AA8">
            <w:pPr>
              <w:spacing w:after="0" w:line="240" w:lineRule="auto"/>
              <w:jc w:val="right"/>
              <w:rPr>
                <w:rFonts w:cs="Arial"/>
                <w:color w:val="000000"/>
                <w:lang w:val="en-GB"/>
              </w:rPr>
            </w:pPr>
            <w:r>
              <w:rPr>
                <w:rFonts w:cs="Arial"/>
                <w:color w:val="000000"/>
                <w:lang w:val="en-GB"/>
              </w:rPr>
              <w:t>7</w:t>
            </w:r>
          </w:p>
        </w:tc>
      </w:tr>
      <w:tr w:rsidR="00E1017A" w:rsidRPr="000C53A8" w:rsidTr="00071346">
        <w:tc>
          <w:tcPr>
            <w:tcW w:w="3969" w:type="dxa"/>
            <w:vAlign w:val="center"/>
          </w:tcPr>
          <w:p w:rsidR="00E1017A" w:rsidRPr="000C53A8" w:rsidRDefault="00E1017A" w:rsidP="00646457">
            <w:pPr>
              <w:spacing w:after="0" w:line="240" w:lineRule="auto"/>
              <w:rPr>
                <w:rFonts w:cs="Arial"/>
                <w:color w:val="000000"/>
              </w:rPr>
            </w:pPr>
            <w:r w:rsidRPr="000C53A8">
              <w:rPr>
                <w:rFonts w:cs="Arial"/>
                <w:color w:val="000000"/>
              </w:rPr>
              <w:t xml:space="preserve">ROS </w:t>
            </w:r>
            <w:r>
              <w:rPr>
                <w:rFonts w:cs="Arial"/>
                <w:sz w:val="18"/>
                <w:szCs w:val="18"/>
              </w:rPr>
              <w:t>%</w:t>
            </w:r>
            <w:r w:rsidR="00646457">
              <w:rPr>
                <w:rFonts w:cs="Arial"/>
                <w:sz w:val="18"/>
                <w:szCs w:val="18"/>
                <w:vertAlign w:val="superscript"/>
              </w:rPr>
              <w:t>2</w:t>
            </w:r>
          </w:p>
        </w:tc>
        <w:tc>
          <w:tcPr>
            <w:tcW w:w="1701" w:type="dxa"/>
          </w:tcPr>
          <w:p w:rsidR="00E1017A" w:rsidRPr="00954C59" w:rsidRDefault="00E1017A" w:rsidP="00CE4A2F">
            <w:pPr>
              <w:spacing w:after="0" w:line="240" w:lineRule="auto"/>
              <w:jc w:val="right"/>
              <w:rPr>
                <w:rFonts w:cs="Arial"/>
                <w:color w:val="000000"/>
                <w:lang w:val="en-GB"/>
              </w:rPr>
            </w:pPr>
            <w:r w:rsidRPr="00954C59">
              <w:rPr>
                <w:rFonts w:cs="Arial"/>
                <w:color w:val="000000"/>
                <w:lang w:val="en-GB"/>
              </w:rPr>
              <w:t>1</w:t>
            </w:r>
            <w:r w:rsidR="00CE4A2F">
              <w:rPr>
                <w:rFonts w:cs="Arial"/>
                <w:color w:val="000000"/>
                <w:lang w:val="en-GB"/>
              </w:rPr>
              <w:t>3</w:t>
            </w:r>
            <w:r w:rsidRPr="00954C59">
              <w:rPr>
                <w:rFonts w:cs="Arial"/>
                <w:color w:val="000000"/>
                <w:lang w:val="en-GB"/>
              </w:rPr>
              <w:t>.6</w:t>
            </w:r>
          </w:p>
        </w:tc>
        <w:tc>
          <w:tcPr>
            <w:tcW w:w="1560" w:type="dxa"/>
          </w:tcPr>
          <w:p w:rsidR="00E1017A" w:rsidRPr="00954C59" w:rsidRDefault="00E1017A" w:rsidP="00CE4A2F">
            <w:pPr>
              <w:spacing w:after="0" w:line="240" w:lineRule="auto"/>
              <w:jc w:val="right"/>
              <w:rPr>
                <w:rFonts w:cs="Arial"/>
                <w:b/>
                <w:color w:val="000000"/>
                <w:lang w:val="en-GB"/>
              </w:rPr>
            </w:pPr>
            <w:r w:rsidRPr="00954C59">
              <w:rPr>
                <w:rFonts w:cs="Arial"/>
                <w:b/>
                <w:color w:val="000000"/>
                <w:lang w:val="en-GB"/>
              </w:rPr>
              <w:t>13.</w:t>
            </w:r>
            <w:r w:rsidR="00CE4A2F">
              <w:rPr>
                <w:rFonts w:cs="Arial"/>
                <w:b/>
                <w:color w:val="000000"/>
                <w:lang w:val="en-GB"/>
              </w:rPr>
              <w:t>7</w:t>
            </w:r>
          </w:p>
        </w:tc>
        <w:tc>
          <w:tcPr>
            <w:tcW w:w="1134" w:type="dxa"/>
            <w:gridSpan w:val="2"/>
          </w:tcPr>
          <w:p w:rsidR="00E1017A" w:rsidRPr="00954C59" w:rsidRDefault="00E1017A" w:rsidP="00536AA8">
            <w:pPr>
              <w:spacing w:after="0" w:line="240" w:lineRule="auto"/>
              <w:jc w:val="right"/>
              <w:rPr>
                <w:rFonts w:cs="Arial"/>
                <w:color w:val="000000"/>
                <w:lang w:val="en-GB"/>
              </w:rPr>
            </w:pPr>
          </w:p>
        </w:tc>
      </w:tr>
    </w:tbl>
    <w:p w:rsidR="008E2477" w:rsidRDefault="008E2477" w:rsidP="008E2477">
      <w:pPr>
        <w:autoSpaceDE w:val="0"/>
        <w:autoSpaceDN w:val="0"/>
        <w:adjustRightInd w:val="0"/>
        <w:spacing w:line="240" w:lineRule="auto"/>
        <w:rPr>
          <w:rFonts w:cs="Arial"/>
          <w:bCs/>
          <w:i/>
          <w:sz w:val="16"/>
          <w:szCs w:val="16"/>
          <w:lang w:val="en-US"/>
        </w:rPr>
      </w:pPr>
    </w:p>
    <w:bookmarkEnd w:id="0"/>
    <w:bookmarkEnd w:id="1"/>
    <w:p w:rsidR="00AF07F7" w:rsidRDefault="00AF07F7" w:rsidP="00C2475C">
      <w:pPr>
        <w:spacing w:after="0" w:line="240" w:lineRule="auto"/>
        <w:rPr>
          <w:szCs w:val="20"/>
          <w:lang w:val="en-US"/>
        </w:rPr>
      </w:pPr>
    </w:p>
    <w:p w:rsidR="00F45CCF" w:rsidRDefault="007F4136" w:rsidP="00C2475C">
      <w:pPr>
        <w:spacing w:after="0" w:line="240" w:lineRule="auto"/>
        <w:rPr>
          <w:szCs w:val="20"/>
          <w:lang w:val="en-US"/>
        </w:rPr>
      </w:pPr>
      <w:r w:rsidRPr="002C2DA4">
        <w:rPr>
          <w:szCs w:val="20"/>
          <w:lang w:val="en-US"/>
        </w:rPr>
        <w:t xml:space="preserve">More information on our financial guidance can be found on </w:t>
      </w:r>
      <w:hyperlink r:id="rId21" w:history="1">
        <w:r w:rsidR="00F45CCF" w:rsidRPr="00467A58">
          <w:rPr>
            <w:rStyle w:val="Hyperlink"/>
            <w:szCs w:val="20"/>
            <w:lang w:val="en-US"/>
          </w:rPr>
          <w:t>www.akzonobel.com/about-us/strategy</w:t>
        </w:r>
      </w:hyperlink>
    </w:p>
    <w:p w:rsidR="007F4136" w:rsidRDefault="007F4136" w:rsidP="00C2475C">
      <w:pPr>
        <w:spacing w:after="0" w:line="240" w:lineRule="auto"/>
        <w:rPr>
          <w:i/>
          <w:sz w:val="16"/>
          <w:szCs w:val="20"/>
          <w:lang w:val="en-US"/>
        </w:rPr>
      </w:pPr>
    </w:p>
    <w:p w:rsidR="00646457" w:rsidRPr="005D2458" w:rsidRDefault="00646457" w:rsidP="00646457">
      <w:pPr>
        <w:pStyle w:val="ListParagraph"/>
        <w:numPr>
          <w:ilvl w:val="0"/>
          <w:numId w:val="15"/>
        </w:numPr>
        <w:spacing w:line="240" w:lineRule="auto"/>
        <w:rPr>
          <w:rFonts w:cs="Arial"/>
          <w:i/>
          <w:sz w:val="16"/>
          <w:szCs w:val="16"/>
          <w:lang w:val="en-US"/>
        </w:rPr>
      </w:pPr>
      <w:r w:rsidRPr="005D2458">
        <w:rPr>
          <w:rFonts w:cs="Arial"/>
          <w:i/>
          <w:sz w:val="16"/>
          <w:szCs w:val="16"/>
          <w:lang w:val="en-US"/>
        </w:rPr>
        <w:t xml:space="preserve">Operating income excluding </w:t>
      </w:r>
      <w:r>
        <w:rPr>
          <w:rFonts w:cs="Arial"/>
          <w:i/>
          <w:sz w:val="16"/>
          <w:szCs w:val="16"/>
          <w:lang w:val="en-US"/>
        </w:rPr>
        <w:t>identified</w:t>
      </w:r>
      <w:r w:rsidRPr="005D2458">
        <w:rPr>
          <w:rFonts w:cs="Arial"/>
          <w:i/>
          <w:sz w:val="16"/>
          <w:szCs w:val="16"/>
          <w:lang w:val="en-US"/>
        </w:rPr>
        <w:t xml:space="preserve"> items.</w:t>
      </w:r>
    </w:p>
    <w:p w:rsidR="00BD08B7" w:rsidRDefault="00E42848" w:rsidP="00E42848">
      <w:pPr>
        <w:pStyle w:val="ListParagraph"/>
        <w:numPr>
          <w:ilvl w:val="0"/>
          <w:numId w:val="15"/>
        </w:numPr>
        <w:spacing w:line="240" w:lineRule="auto"/>
        <w:rPr>
          <w:rFonts w:cs="Arial"/>
          <w:i/>
          <w:sz w:val="16"/>
          <w:szCs w:val="16"/>
          <w:lang w:val="en-US"/>
        </w:rPr>
      </w:pPr>
      <w:r w:rsidRPr="005D2458">
        <w:rPr>
          <w:rFonts w:cs="Arial"/>
          <w:i/>
          <w:sz w:val="16"/>
          <w:szCs w:val="16"/>
          <w:lang w:val="en-US"/>
        </w:rPr>
        <w:t xml:space="preserve">ROS% is EBIT divided by revenue.  </w:t>
      </w:r>
    </w:p>
    <w:p w:rsidR="00E42848" w:rsidRDefault="00E42848" w:rsidP="00E42848">
      <w:pPr>
        <w:pStyle w:val="ListParagraph"/>
        <w:numPr>
          <w:ilvl w:val="0"/>
          <w:numId w:val="15"/>
        </w:numPr>
        <w:spacing w:line="240" w:lineRule="auto"/>
        <w:rPr>
          <w:rFonts w:cs="Arial"/>
          <w:i/>
          <w:sz w:val="16"/>
          <w:szCs w:val="16"/>
          <w:lang w:val="en-US"/>
        </w:rPr>
      </w:pPr>
      <w:r w:rsidRPr="005D2458">
        <w:rPr>
          <w:rFonts w:cs="Arial"/>
          <w:i/>
          <w:sz w:val="16"/>
          <w:szCs w:val="16"/>
          <w:lang w:val="en-US"/>
        </w:rPr>
        <w:t>Moving average ROI% is 12 months EBIT divided by 12 months average invested capital</w:t>
      </w:r>
    </w:p>
    <w:p w:rsidR="002E37A6" w:rsidRDefault="002E37A6" w:rsidP="00FD1F06">
      <w:pPr>
        <w:spacing w:after="0"/>
        <w:rPr>
          <w:rFonts w:eastAsia="Arial" w:cs="Arial"/>
          <w:color w:val="000000"/>
          <w:lang w:val="en-US"/>
        </w:rPr>
      </w:pPr>
    </w:p>
    <w:p w:rsidR="00F45CCF" w:rsidRPr="00C312BC" w:rsidRDefault="00F45CCF" w:rsidP="00F45CCF">
      <w:pPr>
        <w:spacing w:line="240" w:lineRule="auto"/>
        <w:rPr>
          <w:b/>
          <w:szCs w:val="20"/>
          <w:lang w:val="en-US"/>
        </w:rPr>
      </w:pPr>
      <w:r w:rsidRPr="00C312BC">
        <w:rPr>
          <w:rFonts w:eastAsia="Arial Unicode MS" w:cs="Arial"/>
          <w:b/>
          <w:szCs w:val="20"/>
          <w:lang w:val="en-US"/>
        </w:rPr>
        <w:t>The Q</w:t>
      </w:r>
      <w:r w:rsidR="00B1221B">
        <w:rPr>
          <w:rFonts w:eastAsia="Arial Unicode MS" w:cs="Arial"/>
          <w:b/>
          <w:szCs w:val="20"/>
          <w:lang w:val="en-US"/>
        </w:rPr>
        <w:t>1</w:t>
      </w:r>
      <w:r w:rsidRPr="00C312BC">
        <w:rPr>
          <w:rFonts w:eastAsia="Arial Unicode MS" w:cs="Arial"/>
          <w:b/>
          <w:szCs w:val="20"/>
          <w:lang w:val="en-US"/>
        </w:rPr>
        <w:t xml:space="preserve"> 201</w:t>
      </w:r>
      <w:r w:rsidR="00B1221B">
        <w:rPr>
          <w:rFonts w:eastAsia="Arial Unicode MS" w:cs="Arial"/>
          <w:b/>
          <w:szCs w:val="20"/>
          <w:lang w:val="en-US"/>
        </w:rPr>
        <w:t>7</w:t>
      </w:r>
      <w:r w:rsidRPr="00C312BC">
        <w:rPr>
          <w:rFonts w:eastAsia="Arial Unicode MS" w:cs="Arial"/>
          <w:b/>
          <w:szCs w:val="20"/>
          <w:lang w:val="en-US"/>
        </w:rPr>
        <w:t xml:space="preserve"> report can be viewed and </w:t>
      </w:r>
      <w:r w:rsidRPr="00C312BC">
        <w:rPr>
          <w:b/>
          <w:szCs w:val="20"/>
          <w:lang w:val="en-US"/>
        </w:rPr>
        <w:t xml:space="preserve">downloaded </w:t>
      </w:r>
      <w:r w:rsidRPr="00C312BC">
        <w:rPr>
          <w:rFonts w:eastAsia="Arial Unicode MS" w:cs="Arial"/>
          <w:b/>
          <w:szCs w:val="20"/>
          <w:lang w:val="en-US"/>
        </w:rPr>
        <w:t xml:space="preserve">at </w:t>
      </w:r>
      <w:hyperlink r:id="rId22" w:history="1">
        <w:r w:rsidRPr="00467A58">
          <w:rPr>
            <w:rStyle w:val="Hyperlink"/>
            <w:rFonts w:eastAsia="Arial Unicode MS" w:cs="Arial"/>
            <w:b/>
            <w:szCs w:val="20"/>
            <w:lang w:val="en-US"/>
          </w:rPr>
          <w:t>www.akzonobel.com/quarterlyresults</w:t>
        </w:r>
      </w:hyperlink>
    </w:p>
    <w:p w:rsidR="00276055" w:rsidRDefault="00276055" w:rsidP="00FD1F06">
      <w:pPr>
        <w:spacing w:after="0"/>
        <w:rPr>
          <w:rFonts w:eastAsia="Arial" w:cs="Arial"/>
          <w:color w:val="000000"/>
          <w:lang w:val="en-US"/>
        </w:rPr>
      </w:pPr>
    </w:p>
    <w:p w:rsidR="00FD1F06" w:rsidRPr="00922498" w:rsidRDefault="00FD1F06" w:rsidP="00FD1F06">
      <w:pPr>
        <w:spacing w:after="0"/>
        <w:rPr>
          <w:rFonts w:eastAsia="Arial" w:cs="Times New Roman"/>
          <w:b/>
          <w:lang w:val="en-US"/>
        </w:rPr>
      </w:pPr>
      <w:r w:rsidRPr="00922498">
        <w:rPr>
          <w:rFonts w:eastAsia="Arial" w:cs="Arial"/>
          <w:color w:val="000000"/>
          <w:lang w:val="en-US"/>
        </w:rPr>
        <w:t>- - -</w:t>
      </w:r>
    </w:p>
    <w:p w:rsidR="00FD1F06" w:rsidRPr="00922498" w:rsidRDefault="00FD1F06" w:rsidP="00FD1F06">
      <w:pPr>
        <w:spacing w:after="0" w:line="160" w:lineRule="exact"/>
        <w:jc w:val="both"/>
        <w:rPr>
          <w:rFonts w:eastAsia="Arial" w:cs="Arial"/>
          <w:color w:val="000000"/>
          <w:spacing w:val="-1"/>
          <w:sz w:val="14"/>
          <w:szCs w:val="14"/>
          <w:lang w:val="en-US"/>
        </w:rPr>
      </w:pPr>
    </w:p>
    <w:p w:rsidR="00F76033" w:rsidRDefault="00F76033" w:rsidP="00C76BC8">
      <w:pPr>
        <w:spacing w:before="90" w:after="0" w:line="160" w:lineRule="exact"/>
        <w:rPr>
          <w:rFonts w:eastAsia="Arial" w:cs="Arial"/>
          <w:color w:val="000000"/>
          <w:spacing w:val="-1"/>
          <w:sz w:val="14"/>
          <w:szCs w:val="14"/>
          <w:lang w:val="en-GB"/>
        </w:rPr>
      </w:pPr>
      <w:r w:rsidRPr="003F6D43">
        <w:rPr>
          <w:rFonts w:eastAsia="Arial" w:cs="Arial"/>
          <w:color w:val="000000"/>
          <w:spacing w:val="-1"/>
          <w:sz w:val="14"/>
          <w:szCs w:val="14"/>
          <w:lang w:val="en-GB"/>
        </w:rPr>
        <w:t xml:space="preserve">AkzoNobel creates everyday essentials to make people’s lives more liveable and inspiring. As a leading global paints and coatings company and a major producer of specialty chemicals, we supply essential ingredients, essential protection and essential color to industries and consumers worldwide. Backed by a pioneering heritage, our innovative products and sustainable technologies are designed to meet the growing demands of our fast-changing planet, while making life easier. Headquartered in Amsterdam, the Netherlands, we have approximately </w:t>
      </w:r>
      <w:r w:rsidRPr="008C5897">
        <w:rPr>
          <w:rFonts w:eastAsia="Arial" w:cs="Arial"/>
          <w:color w:val="000000"/>
          <w:spacing w:val="-1"/>
          <w:sz w:val="14"/>
          <w:szCs w:val="14"/>
          <w:lang w:val="en-GB"/>
        </w:rPr>
        <w:t>4</w:t>
      </w:r>
      <w:r w:rsidR="00E36F6B">
        <w:rPr>
          <w:rFonts w:eastAsia="Arial" w:cs="Arial"/>
          <w:color w:val="000000"/>
          <w:spacing w:val="-1"/>
          <w:sz w:val="14"/>
          <w:szCs w:val="14"/>
          <w:lang w:val="en-GB"/>
        </w:rPr>
        <w:t>6</w:t>
      </w:r>
      <w:r w:rsidRPr="008C5897">
        <w:rPr>
          <w:rFonts w:eastAsia="Arial" w:cs="Arial"/>
          <w:color w:val="000000"/>
          <w:spacing w:val="-1"/>
          <w:sz w:val="14"/>
          <w:szCs w:val="14"/>
          <w:lang w:val="en-GB"/>
        </w:rPr>
        <w:t>,000</w:t>
      </w:r>
      <w:r w:rsidRPr="003F6D43">
        <w:rPr>
          <w:rFonts w:eastAsia="Arial" w:cs="Arial"/>
          <w:color w:val="000000"/>
          <w:spacing w:val="-1"/>
          <w:sz w:val="14"/>
          <w:szCs w:val="14"/>
          <w:lang w:val="en-GB"/>
        </w:rPr>
        <w:t xml:space="preserve"> people in around 80 countries, while our portfolio includes well-known brands such as Dulux, Sikkens, International, Interpon and Eka. Consistently ranked as a leader in sustainability, we are dedicated to energizing cities and communities while creating a protected, colorful world where life is improved by what we do.</w:t>
      </w:r>
    </w:p>
    <w:p w:rsidR="00F76033" w:rsidRDefault="00F76033" w:rsidP="00FD1F06">
      <w:pPr>
        <w:spacing w:before="90" w:after="0" w:line="160" w:lineRule="exact"/>
        <w:jc w:val="both"/>
        <w:rPr>
          <w:rFonts w:eastAsia="Arial" w:cs="Arial"/>
          <w:b/>
          <w:color w:val="000000"/>
          <w:spacing w:val="2"/>
          <w:sz w:val="14"/>
          <w:szCs w:val="14"/>
          <w:u w:val="single"/>
          <w:lang w:val="en-GB"/>
        </w:rPr>
      </w:pPr>
    </w:p>
    <w:p w:rsidR="00FD1F06" w:rsidRPr="00922498" w:rsidRDefault="00FD1F06" w:rsidP="00FD1F06">
      <w:pPr>
        <w:spacing w:before="90" w:after="0" w:line="160" w:lineRule="exact"/>
        <w:jc w:val="both"/>
        <w:rPr>
          <w:rFonts w:eastAsia="Arial" w:cs="Arial"/>
          <w:b/>
          <w:color w:val="000000"/>
          <w:spacing w:val="2"/>
          <w:sz w:val="14"/>
          <w:szCs w:val="14"/>
          <w:u w:val="single"/>
          <w:lang w:val="en-US"/>
        </w:rPr>
      </w:pPr>
      <w:r w:rsidRPr="00922498">
        <w:rPr>
          <w:rFonts w:eastAsia="Arial" w:cs="Arial"/>
          <w:b/>
          <w:color w:val="000000"/>
          <w:spacing w:val="2"/>
          <w:sz w:val="14"/>
          <w:szCs w:val="14"/>
          <w:u w:val="single"/>
          <w:lang w:val="en-US"/>
        </w:rPr>
        <w:t>Not for publication – for more information</w:t>
      </w:r>
    </w:p>
    <w:p w:rsidR="00FD1F06" w:rsidRPr="00922498" w:rsidRDefault="00FD1F06" w:rsidP="00FD1F06">
      <w:pPr>
        <w:widowControl w:val="0"/>
        <w:spacing w:after="0" w:line="240" w:lineRule="auto"/>
        <w:rPr>
          <w:rFonts w:eastAsia="Times New Roman" w:cs="Times New Roman"/>
          <w:b/>
          <w:bCs/>
          <w:sz w:val="14"/>
          <w:szCs w:val="14"/>
          <w:u w:val="single"/>
          <w:lang w:val="en-US"/>
        </w:rPr>
      </w:pPr>
    </w:p>
    <w:tbl>
      <w:tblPr>
        <w:tblW w:w="0" w:type="auto"/>
        <w:tblLayout w:type="fixed"/>
        <w:tblLook w:val="00A0" w:firstRow="1" w:lastRow="0" w:firstColumn="1" w:lastColumn="0" w:noHBand="0" w:noVBand="0"/>
      </w:tblPr>
      <w:tblGrid>
        <w:gridCol w:w="4502"/>
        <w:gridCol w:w="4503"/>
      </w:tblGrid>
      <w:tr w:rsidR="00FD1F06" w:rsidRPr="00922498" w:rsidTr="005063CE">
        <w:tc>
          <w:tcPr>
            <w:tcW w:w="4502" w:type="dxa"/>
          </w:tcPr>
          <w:p w:rsidR="00FD1F06" w:rsidRPr="00F76033" w:rsidRDefault="00FD1F06" w:rsidP="00FD1F06">
            <w:pPr>
              <w:widowControl w:val="0"/>
              <w:spacing w:after="0" w:line="240" w:lineRule="auto"/>
              <w:rPr>
                <w:rFonts w:eastAsia="Times New Roman" w:cs="Times New Roman"/>
                <w:sz w:val="14"/>
                <w:szCs w:val="14"/>
                <w:lang w:val="en-US"/>
              </w:rPr>
            </w:pPr>
            <w:r w:rsidRPr="00F76033">
              <w:rPr>
                <w:rFonts w:eastAsia="Times New Roman" w:cs="Times New Roman"/>
                <w:noProof/>
                <w:sz w:val="14"/>
                <w:szCs w:val="14"/>
                <w:lang w:val="en-US"/>
              </w:rPr>
              <w:t>Corporate Media Relations</w:t>
            </w:r>
          </w:p>
        </w:tc>
        <w:tc>
          <w:tcPr>
            <w:tcW w:w="4503" w:type="dxa"/>
          </w:tcPr>
          <w:p w:rsidR="00FD1F06" w:rsidRPr="00F76033" w:rsidRDefault="00FD1F06" w:rsidP="00FD1F06">
            <w:pPr>
              <w:widowControl w:val="0"/>
              <w:spacing w:after="0" w:line="240" w:lineRule="auto"/>
              <w:rPr>
                <w:rFonts w:eastAsia="Times New Roman" w:cs="Times New Roman"/>
                <w:sz w:val="14"/>
                <w:szCs w:val="14"/>
                <w:vertAlign w:val="subscript"/>
                <w:lang w:val="en-US"/>
              </w:rPr>
            </w:pPr>
            <w:r w:rsidRPr="00F76033">
              <w:rPr>
                <w:rFonts w:eastAsia="Times New Roman" w:cs="Times New Roman"/>
                <w:noProof/>
                <w:sz w:val="14"/>
                <w:szCs w:val="14"/>
                <w:lang w:val="en-US"/>
              </w:rPr>
              <w:t>Corporate Investor Relations</w:t>
            </w:r>
          </w:p>
        </w:tc>
      </w:tr>
      <w:tr w:rsidR="00FD1F06" w:rsidRPr="00922498" w:rsidTr="005063CE">
        <w:tc>
          <w:tcPr>
            <w:tcW w:w="4502" w:type="dxa"/>
            <w:shd w:val="clear" w:color="auto" w:fill="auto"/>
          </w:tcPr>
          <w:p w:rsidR="00FD1F06" w:rsidRPr="00F76033" w:rsidRDefault="00F76033" w:rsidP="00F76033">
            <w:pPr>
              <w:widowControl w:val="0"/>
              <w:spacing w:after="0" w:line="240" w:lineRule="auto"/>
              <w:rPr>
                <w:rFonts w:eastAsia="Times New Roman" w:cs="Times New Roman"/>
                <w:noProof/>
                <w:sz w:val="14"/>
                <w:szCs w:val="14"/>
                <w:lang w:val="en-US"/>
              </w:rPr>
            </w:pPr>
            <w:r>
              <w:rPr>
                <w:rFonts w:eastAsia="Times New Roman" w:cs="Times New Roman"/>
                <w:noProof/>
                <w:sz w:val="14"/>
                <w:szCs w:val="14"/>
                <w:lang w:val="en-US"/>
              </w:rPr>
              <w:t>T +</w:t>
            </w:r>
            <w:r w:rsidRPr="00A810C5">
              <w:rPr>
                <w:rFonts w:eastAsia="Times New Roman" w:cs="Times New Roman"/>
                <w:noProof/>
                <w:sz w:val="14"/>
                <w:szCs w:val="14"/>
                <w:lang w:val="en-US"/>
              </w:rPr>
              <w:t>31 (0)88 – 969 7833</w:t>
            </w:r>
          </w:p>
        </w:tc>
        <w:tc>
          <w:tcPr>
            <w:tcW w:w="4503" w:type="dxa"/>
            <w:shd w:val="clear" w:color="auto" w:fill="auto"/>
          </w:tcPr>
          <w:p w:rsidR="00FD1F06" w:rsidRPr="00F76033" w:rsidRDefault="00FD1F06" w:rsidP="00FD1F06">
            <w:pPr>
              <w:widowControl w:val="0"/>
              <w:spacing w:after="0" w:line="240" w:lineRule="auto"/>
              <w:rPr>
                <w:rFonts w:eastAsia="Times New Roman" w:cs="Times New Roman"/>
                <w:noProof/>
                <w:sz w:val="14"/>
                <w:szCs w:val="14"/>
                <w:lang w:val="en-US"/>
              </w:rPr>
            </w:pPr>
            <w:r w:rsidRPr="00F76033">
              <w:rPr>
                <w:rFonts w:eastAsia="Times New Roman" w:cs="Times New Roman"/>
                <w:noProof/>
                <w:sz w:val="14"/>
                <w:szCs w:val="14"/>
                <w:lang w:val="en-US"/>
              </w:rPr>
              <w:t xml:space="preserve">T </w:t>
            </w:r>
            <w:r w:rsidR="00F76033" w:rsidRPr="00A810C5">
              <w:rPr>
                <w:rFonts w:eastAsia="Times New Roman" w:cs="Times New Roman"/>
                <w:noProof/>
                <w:sz w:val="14"/>
                <w:szCs w:val="14"/>
                <w:lang w:val="en-US"/>
              </w:rPr>
              <w:t>+31 (0)88 – 969 7590</w:t>
            </w:r>
            <w:r w:rsidR="00DB5287">
              <w:rPr>
                <w:rFonts w:eastAsia="Times New Roman" w:cs="Times New Roman"/>
                <w:noProof/>
                <w:sz w:val="14"/>
                <w:szCs w:val="14"/>
                <w:lang w:val="en-US"/>
              </w:rPr>
              <w:t xml:space="preserve"> </w:t>
            </w:r>
          </w:p>
        </w:tc>
      </w:tr>
      <w:tr w:rsidR="00FD1F06" w:rsidRPr="00922498" w:rsidTr="005063CE">
        <w:tc>
          <w:tcPr>
            <w:tcW w:w="4502" w:type="dxa"/>
            <w:shd w:val="clear" w:color="auto" w:fill="auto"/>
          </w:tcPr>
          <w:p w:rsidR="00FD1F06" w:rsidRPr="00922498" w:rsidRDefault="00FD1F06" w:rsidP="00101F5B">
            <w:pPr>
              <w:widowControl w:val="0"/>
              <w:spacing w:after="0" w:line="240" w:lineRule="auto"/>
              <w:rPr>
                <w:rFonts w:eastAsia="Times New Roman" w:cs="Times New Roman"/>
                <w:sz w:val="14"/>
                <w:szCs w:val="14"/>
                <w:lang w:val="en-US"/>
              </w:rPr>
            </w:pPr>
            <w:r w:rsidRPr="00922498">
              <w:rPr>
                <w:rFonts w:eastAsia="Times New Roman" w:cs="Times New Roman"/>
                <w:noProof/>
                <w:sz w:val="14"/>
                <w:szCs w:val="14"/>
                <w:lang w:val="en-US"/>
              </w:rPr>
              <w:t>Contact:</w:t>
            </w:r>
            <w:r w:rsidRPr="00922498">
              <w:rPr>
                <w:rFonts w:eastAsia="Times New Roman" w:cs="Times New Roman"/>
                <w:sz w:val="14"/>
                <w:szCs w:val="14"/>
                <w:lang w:val="en-US"/>
              </w:rPr>
              <w:t xml:space="preserve"> </w:t>
            </w:r>
            <w:r w:rsidR="00101F5B">
              <w:rPr>
                <w:rFonts w:eastAsia="Times New Roman" w:cs="Times New Roman"/>
                <w:noProof/>
                <w:sz w:val="14"/>
                <w:szCs w:val="14"/>
                <w:lang w:val="en-US"/>
              </w:rPr>
              <w:t>Andrew Wood</w:t>
            </w:r>
          </w:p>
        </w:tc>
        <w:tc>
          <w:tcPr>
            <w:tcW w:w="4503" w:type="dxa"/>
            <w:shd w:val="clear" w:color="auto" w:fill="auto"/>
          </w:tcPr>
          <w:p w:rsidR="00FD1F06" w:rsidRPr="00922498" w:rsidRDefault="00FD1F06" w:rsidP="00FD1F06">
            <w:pPr>
              <w:widowControl w:val="0"/>
              <w:spacing w:after="0" w:line="240" w:lineRule="auto"/>
              <w:rPr>
                <w:rFonts w:eastAsia="Times New Roman" w:cs="Times New Roman"/>
                <w:sz w:val="14"/>
                <w:szCs w:val="14"/>
                <w:lang w:val="en-US"/>
              </w:rPr>
            </w:pPr>
            <w:r w:rsidRPr="00922498">
              <w:rPr>
                <w:rFonts w:eastAsia="Times New Roman" w:cs="Times New Roman"/>
                <w:noProof/>
                <w:sz w:val="14"/>
                <w:szCs w:val="14"/>
                <w:lang w:val="en-US"/>
              </w:rPr>
              <w:t>Contact:</w:t>
            </w:r>
            <w:r w:rsidRPr="00922498">
              <w:rPr>
                <w:rFonts w:eastAsia="Times New Roman" w:cs="Times New Roman"/>
                <w:sz w:val="14"/>
                <w:szCs w:val="14"/>
                <w:lang w:val="en-US"/>
              </w:rPr>
              <w:t xml:space="preserve"> Lloyd Midwinter</w:t>
            </w:r>
          </w:p>
        </w:tc>
      </w:tr>
    </w:tbl>
    <w:p w:rsidR="00FD1F06" w:rsidRPr="00922498" w:rsidRDefault="00FD1F06" w:rsidP="00FD1F06">
      <w:pPr>
        <w:tabs>
          <w:tab w:val="left" w:pos="4340"/>
        </w:tabs>
        <w:spacing w:after="0" w:line="160" w:lineRule="exact"/>
        <w:jc w:val="both"/>
        <w:rPr>
          <w:rFonts w:eastAsia="Arial" w:cs="Arial"/>
          <w:color w:val="000000"/>
          <w:spacing w:val="-1"/>
          <w:sz w:val="14"/>
          <w:szCs w:val="14"/>
          <w:lang w:val="en-US"/>
        </w:rPr>
      </w:pPr>
      <w:r w:rsidRPr="00922498">
        <w:rPr>
          <w:rFonts w:eastAsia="Arial" w:cs="Arial"/>
          <w:color w:val="000000"/>
          <w:spacing w:val="-1"/>
          <w:sz w:val="14"/>
          <w:szCs w:val="14"/>
          <w:lang w:val="en-US"/>
        </w:rPr>
        <w:tab/>
      </w:r>
    </w:p>
    <w:p w:rsidR="00C76BC8" w:rsidRDefault="00C76BC8" w:rsidP="00FD1F06">
      <w:pPr>
        <w:spacing w:after="0" w:line="160" w:lineRule="exact"/>
        <w:jc w:val="both"/>
        <w:rPr>
          <w:rFonts w:eastAsia="Arial" w:cs="Arial"/>
          <w:b/>
          <w:color w:val="000000"/>
          <w:spacing w:val="-1"/>
          <w:sz w:val="14"/>
          <w:szCs w:val="14"/>
          <w:lang w:val="en-US"/>
        </w:rPr>
      </w:pPr>
    </w:p>
    <w:p w:rsidR="00FD1F06" w:rsidRPr="00922498" w:rsidRDefault="00FD1F06" w:rsidP="00FD1F06">
      <w:pPr>
        <w:spacing w:after="0" w:line="160" w:lineRule="exact"/>
        <w:jc w:val="both"/>
        <w:rPr>
          <w:rFonts w:eastAsia="Arial" w:cs="Arial"/>
          <w:b/>
          <w:color w:val="000000"/>
          <w:spacing w:val="-1"/>
          <w:sz w:val="14"/>
          <w:szCs w:val="14"/>
          <w:lang w:val="en-US"/>
        </w:rPr>
      </w:pPr>
      <w:r w:rsidRPr="00922498">
        <w:rPr>
          <w:rFonts w:eastAsia="Arial" w:cs="Arial"/>
          <w:b/>
          <w:color w:val="000000"/>
          <w:spacing w:val="-1"/>
          <w:sz w:val="14"/>
          <w:szCs w:val="14"/>
          <w:lang w:val="en-US"/>
        </w:rPr>
        <w:t>Safe Harbor Statement</w:t>
      </w:r>
    </w:p>
    <w:p w:rsidR="00517D6E" w:rsidRDefault="00FD1F06" w:rsidP="00517D6E">
      <w:pPr>
        <w:spacing w:after="0" w:line="160" w:lineRule="exact"/>
        <w:rPr>
          <w:rFonts w:eastAsia="Arial" w:cs="Arial"/>
          <w:color w:val="000000"/>
          <w:spacing w:val="-1"/>
          <w:sz w:val="14"/>
          <w:szCs w:val="14"/>
          <w:lang w:val="en-US"/>
        </w:rPr>
      </w:pPr>
      <w:r w:rsidRPr="00517D6E">
        <w:rPr>
          <w:rFonts w:eastAsia="Arial" w:cs="Arial"/>
          <w:color w:val="000000"/>
          <w:spacing w:val="-1"/>
          <w:sz w:val="14"/>
          <w:szCs w:val="14"/>
          <w:lang w:val="en-US"/>
        </w:rPr>
        <w:t>This press release contains statements which address key issues such as AkzoNobel’s growth strategy, future financial results, market positions, product development, products in the pipeline and product approvals. Such statements should be carefully considered, and it should be understood that many factors could cause forecasted and actual results to differ from these statements. These factors include, but are not limited to, price fluctuations, currency fluctuations, developments in raw material and personnel costs, pensions, physical and environmental risks, legal issues, and legislative, fiscal, and other regulatory measures. Stated competitive positions are based on management estimates supported by information provided by specialized external agencies. For a more comprehensive discussion of the risk factors affecting our business please see our latest annual report, a copy of which can be found on our website</w:t>
      </w:r>
      <w:r w:rsidR="00517D6E">
        <w:rPr>
          <w:rFonts w:eastAsia="Arial" w:cs="Arial"/>
          <w:color w:val="000000"/>
          <w:spacing w:val="-1"/>
          <w:sz w:val="14"/>
          <w:szCs w:val="14"/>
          <w:lang w:val="en-US"/>
        </w:rPr>
        <w:t xml:space="preserve">: </w:t>
      </w:r>
      <w:hyperlink r:id="rId23" w:history="1">
        <w:r w:rsidR="00517D6E" w:rsidRPr="00737836">
          <w:rPr>
            <w:rStyle w:val="Hyperlink"/>
            <w:rFonts w:eastAsia="Arial" w:cs="Arial"/>
            <w:spacing w:val="-1"/>
            <w:sz w:val="14"/>
            <w:szCs w:val="14"/>
            <w:lang w:val="en-US"/>
          </w:rPr>
          <w:t>www.akzonobel.com</w:t>
        </w:r>
      </w:hyperlink>
      <w:r w:rsidR="00517D6E">
        <w:rPr>
          <w:rFonts w:eastAsia="Arial" w:cs="Arial"/>
          <w:color w:val="000000"/>
          <w:spacing w:val="-1"/>
          <w:sz w:val="14"/>
          <w:szCs w:val="14"/>
          <w:lang w:val="en-US"/>
        </w:rPr>
        <w:t>.</w:t>
      </w:r>
    </w:p>
    <w:p w:rsidR="003918C4" w:rsidRPr="005548F1" w:rsidRDefault="00D11496" w:rsidP="00517D6E">
      <w:pPr>
        <w:spacing w:after="0" w:line="160" w:lineRule="exact"/>
        <w:rPr>
          <w:lang w:val="en-US"/>
        </w:rPr>
      </w:pPr>
      <w:r>
        <w:rPr>
          <w:rFonts w:eastAsia="Arial" w:cs="Arial"/>
          <w:color w:val="000000"/>
          <w:spacing w:val="-1"/>
          <w:sz w:val="14"/>
          <w:szCs w:val="14"/>
          <w:lang w:val="en-US"/>
        </w:rPr>
        <w:t xml:space="preserve"> </w:t>
      </w:r>
      <w:r w:rsidR="00FD1F06" w:rsidRPr="00FD1F06">
        <w:rPr>
          <w:rFonts w:eastAsia="Arial" w:cs="Arial"/>
          <w:color w:val="000000"/>
          <w:spacing w:val="-1"/>
          <w:sz w:val="14"/>
          <w:szCs w:val="14"/>
          <w:lang w:val="en-US"/>
        </w:rPr>
        <w:t xml:space="preserve"> </w:t>
      </w:r>
    </w:p>
    <w:sectPr w:rsidR="003918C4" w:rsidRPr="005548F1" w:rsidSect="00847B10">
      <w:headerReference w:type="default" r:id="rId24"/>
      <w:footerReference w:type="default" r:id="rId25"/>
      <w:headerReference w:type="first" r:id="rId26"/>
      <w:pgSz w:w="11906" w:h="16838" w:code="9"/>
      <w:pgMar w:top="2552" w:right="1418" w:bottom="1134"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EE" w:rsidRDefault="00AF07EE" w:rsidP="002E6499">
      <w:pPr>
        <w:spacing w:after="0"/>
      </w:pPr>
      <w:r>
        <w:separator/>
      </w:r>
    </w:p>
  </w:endnote>
  <w:endnote w:type="continuationSeparator" w:id="0">
    <w:p w:rsidR="00AF07EE" w:rsidRDefault="00AF07EE" w:rsidP="002E6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334"/>
      <w:docPartObj>
        <w:docPartGallery w:val="Page Numbers (Bottom of Page)"/>
        <w:docPartUnique/>
      </w:docPartObj>
    </w:sdtPr>
    <w:sdtEndPr/>
    <w:sdtContent>
      <w:p w:rsidR="00A07A91" w:rsidRDefault="006E44E2" w:rsidP="00E71A66">
        <w:pPr>
          <w:pStyle w:val="ANPagenumber"/>
          <w:framePr w:wrap="around"/>
        </w:pPr>
        <w:r>
          <w:fldChar w:fldCharType="begin"/>
        </w:r>
        <w:r>
          <w:instrText xml:space="preserve"> PAGE   \* MERGEFORMAT </w:instrText>
        </w:r>
        <w:r>
          <w:fldChar w:fldCharType="separate"/>
        </w:r>
        <w:r w:rsidR="00625E9D">
          <w:rPr>
            <w:noProof/>
          </w:rPr>
          <w:t>3</w:t>
        </w:r>
        <w:r>
          <w:rPr>
            <w:noProof/>
          </w:rPr>
          <w:fldChar w:fldCharType="end"/>
        </w:r>
      </w:p>
    </w:sdtContent>
  </w:sdt>
  <w:p w:rsidR="00A07A91" w:rsidRDefault="00A07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EE" w:rsidRDefault="00AF07EE" w:rsidP="002E6499">
      <w:pPr>
        <w:spacing w:after="0"/>
      </w:pPr>
      <w:r>
        <w:separator/>
      </w:r>
    </w:p>
  </w:footnote>
  <w:footnote w:type="continuationSeparator" w:id="0">
    <w:p w:rsidR="00AF07EE" w:rsidRDefault="00AF07EE" w:rsidP="002E64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1" w:rsidRDefault="00A07A91" w:rsidP="007917FF">
    <w:pPr>
      <w:pStyle w:val="Header"/>
      <w:tabs>
        <w:tab w:val="clear" w:pos="4536"/>
        <w:tab w:val="clear" w:pos="9072"/>
        <w:tab w:val="left" w:pos="615"/>
        <w:tab w:val="left" w:pos="735"/>
      </w:tabs>
    </w:pPr>
    <w:r w:rsidRPr="008A475D">
      <w:rPr>
        <w:noProof/>
        <w:lang w:val="en-US" w:eastAsia="zh-CN"/>
      </w:rPr>
      <w:drawing>
        <wp:anchor distT="0" distB="0" distL="114300" distR="114300" simplePos="0" relativeHeight="251661312" behindDoc="1" locked="1" layoutInCell="0" allowOverlap="1" wp14:anchorId="71CF2CDA" wp14:editId="33F89A23">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rsidR="009E1DDD">
      <w:tab/>
    </w:r>
    <w:r w:rsidR="007917FF">
      <w:tab/>
    </w:r>
  </w:p>
  <w:p w:rsidR="003B278C" w:rsidRDefault="003B27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1" w:rsidRPr="00E954E7" w:rsidRDefault="00A07A91" w:rsidP="004678D1">
    <w:pPr>
      <w:pStyle w:val="ANLegalEntity"/>
      <w:framePr w:wrap="around" w:y="1126"/>
      <w:rPr>
        <w:lang w:val="en-US"/>
      </w:rPr>
    </w:pPr>
    <w:r w:rsidRPr="00712CAB">
      <w:rPr>
        <w:noProof/>
        <w:lang w:val="en-US" w:eastAsia="zh-CN"/>
      </w:rPr>
      <w:drawing>
        <wp:anchor distT="0" distB="0" distL="114300" distR="114300" simplePos="0" relativeHeight="251659264" behindDoc="1" locked="1" layoutInCell="0" allowOverlap="1" wp14:anchorId="633DFC9E" wp14:editId="5C111350">
          <wp:simplePos x="0" y="0"/>
          <wp:positionH relativeFrom="page">
            <wp:posOffset>2540</wp:posOffset>
          </wp:positionH>
          <wp:positionV relativeFrom="page">
            <wp:posOffset>558165</wp:posOffset>
          </wp:positionV>
          <wp:extent cx="7561580" cy="572770"/>
          <wp:effectExtent l="19050" t="0" r="1270" b="0"/>
          <wp:wrapNone/>
          <wp:docPr id="6"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rsidRPr="00E954E7">
      <w:rPr>
        <w:lang w:val="en-US"/>
      </w:rPr>
      <w:t>Akzo Nobel N.V.</w:t>
    </w:r>
  </w:p>
  <w:p w:rsidR="00A07A91" w:rsidRPr="00E954E7" w:rsidRDefault="001A7DAB" w:rsidP="004678D1">
    <w:pPr>
      <w:pStyle w:val="ANDepartment"/>
      <w:framePr w:wrap="around" w:y="1126"/>
      <w:rPr>
        <w:lang w:val="en-US"/>
      </w:rPr>
    </w:pPr>
    <w:r>
      <w:rPr>
        <w:lang w:val="en-US"/>
      </w:rPr>
      <w:t>Global</w:t>
    </w:r>
    <w:r w:rsidR="00A07A91" w:rsidRPr="00E954E7">
      <w:rPr>
        <w:lang w:val="en-US"/>
      </w:rPr>
      <w:t xml:space="preserve"> Communications</w:t>
    </w:r>
  </w:p>
  <w:p w:rsidR="00A07A91" w:rsidRPr="00E954E7" w:rsidRDefault="00B122E5" w:rsidP="00847B10">
    <w:pPr>
      <w:pStyle w:val="ANTitle"/>
      <w:framePr w:w="10066" w:h="541" w:hRule="exact" w:wrap="around" w:y="1845"/>
      <w:rPr>
        <w:lang w:val="en-US"/>
      </w:rPr>
    </w:pPr>
    <w:r>
      <w:rPr>
        <w:lang w:val="en-US"/>
      </w:rPr>
      <w:t>Media</w:t>
    </w:r>
    <w:r w:rsidR="00A07A91" w:rsidRPr="00E954E7">
      <w:rPr>
        <w:lang w:val="en-US"/>
      </w:rPr>
      <w:t xml:space="preserve"> release</w:t>
    </w:r>
  </w:p>
  <w:p w:rsidR="00234881" w:rsidRPr="00F97195" w:rsidRDefault="00234881" w:rsidP="00B80AD8">
    <w:pPr>
      <w:framePr w:h="856"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Christian Neefestraat 2</w:t>
    </w:r>
    <w:r w:rsidRPr="00F97195">
      <w:rPr>
        <w:rFonts w:eastAsia="SimHei" w:cs="Arial"/>
        <w:snapToGrid w:val="0"/>
        <w:color w:val="005192"/>
        <w:spacing w:val="-1"/>
        <w:sz w:val="16"/>
        <w:szCs w:val="16"/>
        <w:lang w:val="en-US"/>
      </w:rPr>
      <w:tab/>
    </w:r>
    <w:r w:rsidRPr="00F97195">
      <w:rPr>
        <w:rFonts w:eastAsia="Times New Roman" w:cs="Arial"/>
        <w:noProof/>
        <w:snapToGrid w:val="0"/>
        <w:color w:val="005192"/>
        <w:spacing w:val="-1"/>
        <w:sz w:val="16"/>
        <w:szCs w:val="16"/>
        <w:lang w:val="en-US"/>
      </w:rPr>
      <w:t>T</w:t>
    </w:r>
    <w:r w:rsidRPr="00F97195">
      <w:rPr>
        <w:rFonts w:eastAsia="Times New Roman" w:cs="Arial"/>
        <w:snapToGrid w:val="0"/>
        <w:color w:val="005192"/>
        <w:spacing w:val="-1"/>
        <w:sz w:val="16"/>
        <w:szCs w:val="16"/>
        <w:lang w:val="en-US"/>
      </w:rPr>
      <w:tab/>
      <w:t>+31 088 969 7833</w:t>
    </w:r>
  </w:p>
  <w:p w:rsidR="00234881" w:rsidRPr="00F97195" w:rsidRDefault="00234881" w:rsidP="00B80AD8">
    <w:pPr>
      <w:framePr w:h="856"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1077 WW  Amsterdam</w:t>
    </w:r>
    <w:r w:rsidRPr="00F97195">
      <w:rPr>
        <w:rFonts w:eastAsia="Times New Roman" w:cs="Arial"/>
        <w:noProof/>
        <w:snapToGrid w:val="0"/>
        <w:color w:val="005192"/>
        <w:spacing w:val="-1"/>
        <w:sz w:val="16"/>
        <w:szCs w:val="16"/>
        <w:lang w:val="en-US"/>
      </w:rPr>
      <w:tab/>
      <w:t>E</w:t>
    </w:r>
    <w:r w:rsidRPr="00F97195">
      <w:rPr>
        <w:rFonts w:eastAsia="Times New Roman" w:cs="Arial"/>
        <w:noProof/>
        <w:snapToGrid w:val="0"/>
        <w:color w:val="005192"/>
        <w:spacing w:val="-1"/>
        <w:sz w:val="16"/>
        <w:szCs w:val="16"/>
        <w:lang w:val="en-US"/>
      </w:rPr>
      <w:tab/>
      <w:t>media.relations@akzonobel.com</w:t>
    </w:r>
  </w:p>
  <w:p w:rsidR="00234881" w:rsidRPr="00F97195" w:rsidRDefault="00234881" w:rsidP="00B80AD8">
    <w:pPr>
      <w:framePr w:h="856"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P.O. Box 75730</w:t>
    </w:r>
    <w:r w:rsidRPr="00F97195">
      <w:rPr>
        <w:rFonts w:eastAsia="Times New Roman" w:cs="Arial"/>
        <w:noProof/>
        <w:snapToGrid w:val="0"/>
        <w:color w:val="005192"/>
        <w:spacing w:val="-1"/>
        <w:sz w:val="16"/>
        <w:szCs w:val="16"/>
        <w:lang w:val="en-US"/>
      </w:rPr>
      <w:tab/>
      <w:t>www.akzonobel.com</w:t>
    </w:r>
  </w:p>
  <w:p w:rsidR="00234881" w:rsidRPr="00F97195" w:rsidRDefault="00234881" w:rsidP="00B80AD8">
    <w:pPr>
      <w:framePr w:h="856"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1070 AS  Amsterdam</w:t>
    </w:r>
    <w:r w:rsidRPr="00F97195">
      <w:rPr>
        <w:rFonts w:eastAsia="SimHei" w:cs="Arial"/>
        <w:snapToGrid w:val="0"/>
        <w:color w:val="005192"/>
        <w:spacing w:val="-1"/>
        <w:sz w:val="16"/>
        <w:szCs w:val="16"/>
        <w:lang w:val="en-US"/>
      </w:rPr>
      <w:tab/>
    </w:r>
  </w:p>
  <w:p w:rsidR="00234881" w:rsidRPr="00F97195" w:rsidRDefault="00234881" w:rsidP="00B80AD8">
    <w:pPr>
      <w:framePr w:h="856"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Netherlands</w:t>
    </w:r>
  </w:p>
  <w:p w:rsidR="00A07A91" w:rsidRPr="004678D1" w:rsidRDefault="00A07A91" w:rsidP="00E954E7">
    <w:pPr>
      <w:pStyle w:val="ANRegister"/>
      <w:framePr w:wrap="aroun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C23EA"/>
    <w:multiLevelType w:val="hybridMultilevel"/>
    <w:tmpl w:val="C302A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2"/>
  </w:num>
  <w:num w:numId="5">
    <w:abstractNumId w:val="9"/>
  </w:num>
  <w:num w:numId="6">
    <w:abstractNumId w:val="3"/>
  </w:num>
  <w:num w:numId="7">
    <w:abstractNumId w:val="0"/>
  </w:num>
  <w:num w:numId="8">
    <w:abstractNumId w:val="11"/>
  </w:num>
  <w:num w:numId="9">
    <w:abstractNumId w:val="14"/>
  </w:num>
  <w:num w:numId="10">
    <w:abstractNumId w:val="5"/>
  </w:num>
  <w:num w:numId="11">
    <w:abstractNumId w:val="13"/>
  </w:num>
  <w:num w:numId="12">
    <w:abstractNumId w:val="8"/>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D7"/>
    <w:rsid w:val="000020F3"/>
    <w:rsid w:val="00007280"/>
    <w:rsid w:val="0001053E"/>
    <w:rsid w:val="00022F5B"/>
    <w:rsid w:val="00027BA0"/>
    <w:rsid w:val="0003131C"/>
    <w:rsid w:val="00032D64"/>
    <w:rsid w:val="00033D84"/>
    <w:rsid w:val="00040118"/>
    <w:rsid w:val="000424D3"/>
    <w:rsid w:val="00043B65"/>
    <w:rsid w:val="0004428D"/>
    <w:rsid w:val="000442F7"/>
    <w:rsid w:val="00044569"/>
    <w:rsid w:val="00054312"/>
    <w:rsid w:val="00056048"/>
    <w:rsid w:val="00057EB3"/>
    <w:rsid w:val="00057F9D"/>
    <w:rsid w:val="00061B39"/>
    <w:rsid w:val="00061F00"/>
    <w:rsid w:val="00062EAD"/>
    <w:rsid w:val="0006337C"/>
    <w:rsid w:val="000646ED"/>
    <w:rsid w:val="000669F9"/>
    <w:rsid w:val="00066F06"/>
    <w:rsid w:val="00067569"/>
    <w:rsid w:val="00071346"/>
    <w:rsid w:val="0007314C"/>
    <w:rsid w:val="000751CB"/>
    <w:rsid w:val="00075279"/>
    <w:rsid w:val="00080B6F"/>
    <w:rsid w:val="00085BB5"/>
    <w:rsid w:val="000922D5"/>
    <w:rsid w:val="000938DD"/>
    <w:rsid w:val="000951D1"/>
    <w:rsid w:val="000958F2"/>
    <w:rsid w:val="00095A44"/>
    <w:rsid w:val="00095A6D"/>
    <w:rsid w:val="000A25F9"/>
    <w:rsid w:val="000A3B2D"/>
    <w:rsid w:val="000A4F4A"/>
    <w:rsid w:val="000B3A31"/>
    <w:rsid w:val="000B4554"/>
    <w:rsid w:val="000B6B43"/>
    <w:rsid w:val="000B6E9F"/>
    <w:rsid w:val="000B7258"/>
    <w:rsid w:val="000C0D40"/>
    <w:rsid w:val="000C178E"/>
    <w:rsid w:val="000C1C62"/>
    <w:rsid w:val="000C1E38"/>
    <w:rsid w:val="000C230D"/>
    <w:rsid w:val="000C5DC9"/>
    <w:rsid w:val="000C6782"/>
    <w:rsid w:val="000C6BDC"/>
    <w:rsid w:val="000C7D47"/>
    <w:rsid w:val="000D11B0"/>
    <w:rsid w:val="000D3595"/>
    <w:rsid w:val="000E5990"/>
    <w:rsid w:val="000E6926"/>
    <w:rsid w:val="000E7C62"/>
    <w:rsid w:val="000F0FC8"/>
    <w:rsid w:val="000F1525"/>
    <w:rsid w:val="000F7A52"/>
    <w:rsid w:val="001006B3"/>
    <w:rsid w:val="00101F5B"/>
    <w:rsid w:val="00102141"/>
    <w:rsid w:val="00103655"/>
    <w:rsid w:val="0010640D"/>
    <w:rsid w:val="00106A98"/>
    <w:rsid w:val="0011155C"/>
    <w:rsid w:val="00111833"/>
    <w:rsid w:val="001119FB"/>
    <w:rsid w:val="001173A5"/>
    <w:rsid w:val="00122861"/>
    <w:rsid w:val="00122C0A"/>
    <w:rsid w:val="00123DC8"/>
    <w:rsid w:val="00124C58"/>
    <w:rsid w:val="001265A6"/>
    <w:rsid w:val="00126898"/>
    <w:rsid w:val="0014071D"/>
    <w:rsid w:val="00143C44"/>
    <w:rsid w:val="001445B5"/>
    <w:rsid w:val="00146266"/>
    <w:rsid w:val="001512DB"/>
    <w:rsid w:val="00151603"/>
    <w:rsid w:val="001529B1"/>
    <w:rsid w:val="00155517"/>
    <w:rsid w:val="001568CB"/>
    <w:rsid w:val="0016276B"/>
    <w:rsid w:val="00163100"/>
    <w:rsid w:val="001641F9"/>
    <w:rsid w:val="001815A6"/>
    <w:rsid w:val="00183977"/>
    <w:rsid w:val="00185187"/>
    <w:rsid w:val="001869EA"/>
    <w:rsid w:val="00190EAB"/>
    <w:rsid w:val="001A1269"/>
    <w:rsid w:val="001A3C2E"/>
    <w:rsid w:val="001A77D7"/>
    <w:rsid w:val="001A780A"/>
    <w:rsid w:val="001A7DAB"/>
    <w:rsid w:val="001A7F57"/>
    <w:rsid w:val="001B0DC9"/>
    <w:rsid w:val="001B1BFE"/>
    <w:rsid w:val="001C0829"/>
    <w:rsid w:val="001C0FFD"/>
    <w:rsid w:val="001C1B9B"/>
    <w:rsid w:val="001C34A2"/>
    <w:rsid w:val="001C44AF"/>
    <w:rsid w:val="001C5786"/>
    <w:rsid w:val="001C5F86"/>
    <w:rsid w:val="001C7A21"/>
    <w:rsid w:val="001E1D44"/>
    <w:rsid w:val="001E2CE7"/>
    <w:rsid w:val="001E3C7E"/>
    <w:rsid w:val="001E5EE5"/>
    <w:rsid w:val="001F1B61"/>
    <w:rsid w:val="001F583E"/>
    <w:rsid w:val="00200EE9"/>
    <w:rsid w:val="002034FF"/>
    <w:rsid w:val="00205D49"/>
    <w:rsid w:val="00211E04"/>
    <w:rsid w:val="00211E7B"/>
    <w:rsid w:val="00212222"/>
    <w:rsid w:val="00217C4C"/>
    <w:rsid w:val="00220626"/>
    <w:rsid w:val="00222FFC"/>
    <w:rsid w:val="00232FE5"/>
    <w:rsid w:val="00234881"/>
    <w:rsid w:val="00234FE8"/>
    <w:rsid w:val="002357FF"/>
    <w:rsid w:val="002372A0"/>
    <w:rsid w:val="002411DD"/>
    <w:rsid w:val="00243B7A"/>
    <w:rsid w:val="00247510"/>
    <w:rsid w:val="00254574"/>
    <w:rsid w:val="00264EC8"/>
    <w:rsid w:val="00266960"/>
    <w:rsid w:val="002713ED"/>
    <w:rsid w:val="002716A9"/>
    <w:rsid w:val="00276055"/>
    <w:rsid w:val="00277896"/>
    <w:rsid w:val="00277989"/>
    <w:rsid w:val="00277D07"/>
    <w:rsid w:val="002805E3"/>
    <w:rsid w:val="002814F2"/>
    <w:rsid w:val="002854EF"/>
    <w:rsid w:val="0028741B"/>
    <w:rsid w:val="00292942"/>
    <w:rsid w:val="002A0ABB"/>
    <w:rsid w:val="002A1027"/>
    <w:rsid w:val="002A57AA"/>
    <w:rsid w:val="002A5BC9"/>
    <w:rsid w:val="002B1D47"/>
    <w:rsid w:val="002B2E25"/>
    <w:rsid w:val="002B5387"/>
    <w:rsid w:val="002C0E79"/>
    <w:rsid w:val="002C2348"/>
    <w:rsid w:val="002C2DA4"/>
    <w:rsid w:val="002D056A"/>
    <w:rsid w:val="002D0570"/>
    <w:rsid w:val="002D0619"/>
    <w:rsid w:val="002D1CF9"/>
    <w:rsid w:val="002D2E1D"/>
    <w:rsid w:val="002E13CD"/>
    <w:rsid w:val="002E1FC3"/>
    <w:rsid w:val="002E2141"/>
    <w:rsid w:val="002E37A6"/>
    <w:rsid w:val="002E4281"/>
    <w:rsid w:val="002E4973"/>
    <w:rsid w:val="002E6499"/>
    <w:rsid w:val="002E6995"/>
    <w:rsid w:val="002E720D"/>
    <w:rsid w:val="002E7D52"/>
    <w:rsid w:val="002F04B9"/>
    <w:rsid w:val="002F231C"/>
    <w:rsid w:val="002F2852"/>
    <w:rsid w:val="002F3F09"/>
    <w:rsid w:val="002F4B36"/>
    <w:rsid w:val="00300E5F"/>
    <w:rsid w:val="0031463A"/>
    <w:rsid w:val="003168FB"/>
    <w:rsid w:val="00321D2B"/>
    <w:rsid w:val="00325F5A"/>
    <w:rsid w:val="00327EC7"/>
    <w:rsid w:val="00330DD2"/>
    <w:rsid w:val="0033375B"/>
    <w:rsid w:val="00342617"/>
    <w:rsid w:val="0034328A"/>
    <w:rsid w:val="003453C4"/>
    <w:rsid w:val="00346E4B"/>
    <w:rsid w:val="0035091E"/>
    <w:rsid w:val="003548C5"/>
    <w:rsid w:val="00354EF2"/>
    <w:rsid w:val="00355C5D"/>
    <w:rsid w:val="00355DCE"/>
    <w:rsid w:val="00357526"/>
    <w:rsid w:val="0036112A"/>
    <w:rsid w:val="00361E17"/>
    <w:rsid w:val="003629C1"/>
    <w:rsid w:val="0036390E"/>
    <w:rsid w:val="00363BD4"/>
    <w:rsid w:val="003653DF"/>
    <w:rsid w:val="003679F5"/>
    <w:rsid w:val="00374AAD"/>
    <w:rsid w:val="00376369"/>
    <w:rsid w:val="003770D6"/>
    <w:rsid w:val="00387183"/>
    <w:rsid w:val="003918C4"/>
    <w:rsid w:val="003920AA"/>
    <w:rsid w:val="0039318E"/>
    <w:rsid w:val="0039369E"/>
    <w:rsid w:val="003A0B53"/>
    <w:rsid w:val="003A0BAD"/>
    <w:rsid w:val="003A15D4"/>
    <w:rsid w:val="003A1785"/>
    <w:rsid w:val="003A3FFB"/>
    <w:rsid w:val="003B012D"/>
    <w:rsid w:val="003B232B"/>
    <w:rsid w:val="003B278C"/>
    <w:rsid w:val="003B2B57"/>
    <w:rsid w:val="003B39D1"/>
    <w:rsid w:val="003C1E6B"/>
    <w:rsid w:val="003C639F"/>
    <w:rsid w:val="003C64EC"/>
    <w:rsid w:val="003D346A"/>
    <w:rsid w:val="003D724C"/>
    <w:rsid w:val="003E0AD4"/>
    <w:rsid w:val="003E58A6"/>
    <w:rsid w:val="003E59C3"/>
    <w:rsid w:val="003E7889"/>
    <w:rsid w:val="003E7B2A"/>
    <w:rsid w:val="003F0B5D"/>
    <w:rsid w:val="003F2E08"/>
    <w:rsid w:val="003F38BA"/>
    <w:rsid w:val="003F6054"/>
    <w:rsid w:val="0040450F"/>
    <w:rsid w:val="00407DDA"/>
    <w:rsid w:val="0041035B"/>
    <w:rsid w:val="00412913"/>
    <w:rsid w:val="004158CA"/>
    <w:rsid w:val="00416B3A"/>
    <w:rsid w:val="00417407"/>
    <w:rsid w:val="00420C38"/>
    <w:rsid w:val="00423BED"/>
    <w:rsid w:val="004258B1"/>
    <w:rsid w:val="00427ED5"/>
    <w:rsid w:val="00433702"/>
    <w:rsid w:val="004370E9"/>
    <w:rsid w:val="00437E24"/>
    <w:rsid w:val="00442232"/>
    <w:rsid w:val="00444121"/>
    <w:rsid w:val="00444A41"/>
    <w:rsid w:val="00450249"/>
    <w:rsid w:val="0045032C"/>
    <w:rsid w:val="00451C3B"/>
    <w:rsid w:val="00452015"/>
    <w:rsid w:val="0045211F"/>
    <w:rsid w:val="0045312F"/>
    <w:rsid w:val="004535F1"/>
    <w:rsid w:val="00453B67"/>
    <w:rsid w:val="00457995"/>
    <w:rsid w:val="004651DC"/>
    <w:rsid w:val="00466B00"/>
    <w:rsid w:val="004678D1"/>
    <w:rsid w:val="00472AD6"/>
    <w:rsid w:val="00473B58"/>
    <w:rsid w:val="00474A79"/>
    <w:rsid w:val="004777B3"/>
    <w:rsid w:val="004807FF"/>
    <w:rsid w:val="00480DCF"/>
    <w:rsid w:val="00484726"/>
    <w:rsid w:val="00491160"/>
    <w:rsid w:val="00493607"/>
    <w:rsid w:val="004942EA"/>
    <w:rsid w:val="00495A10"/>
    <w:rsid w:val="00496871"/>
    <w:rsid w:val="004A69AB"/>
    <w:rsid w:val="004A757B"/>
    <w:rsid w:val="004B0859"/>
    <w:rsid w:val="004B14A8"/>
    <w:rsid w:val="004B28D7"/>
    <w:rsid w:val="004B7C40"/>
    <w:rsid w:val="004C1172"/>
    <w:rsid w:val="004C4E08"/>
    <w:rsid w:val="004D2BE3"/>
    <w:rsid w:val="004D5234"/>
    <w:rsid w:val="004D62EC"/>
    <w:rsid w:val="004E0695"/>
    <w:rsid w:val="004E2B7D"/>
    <w:rsid w:val="004E386F"/>
    <w:rsid w:val="004F2D4A"/>
    <w:rsid w:val="004F3F23"/>
    <w:rsid w:val="004F68DD"/>
    <w:rsid w:val="004F6EC8"/>
    <w:rsid w:val="004F72C1"/>
    <w:rsid w:val="00501C0B"/>
    <w:rsid w:val="00501D4D"/>
    <w:rsid w:val="0050665E"/>
    <w:rsid w:val="00510A60"/>
    <w:rsid w:val="00512E34"/>
    <w:rsid w:val="00517D6E"/>
    <w:rsid w:val="00522943"/>
    <w:rsid w:val="0053001C"/>
    <w:rsid w:val="00530450"/>
    <w:rsid w:val="005308D4"/>
    <w:rsid w:val="0053231F"/>
    <w:rsid w:val="005329F0"/>
    <w:rsid w:val="005331FA"/>
    <w:rsid w:val="00534730"/>
    <w:rsid w:val="00541018"/>
    <w:rsid w:val="005420E9"/>
    <w:rsid w:val="005432C8"/>
    <w:rsid w:val="005455E8"/>
    <w:rsid w:val="00547C34"/>
    <w:rsid w:val="005509DD"/>
    <w:rsid w:val="005548F1"/>
    <w:rsid w:val="0055701B"/>
    <w:rsid w:val="005570E1"/>
    <w:rsid w:val="005608FC"/>
    <w:rsid w:val="00561657"/>
    <w:rsid w:val="0056375B"/>
    <w:rsid w:val="00564190"/>
    <w:rsid w:val="005676F7"/>
    <w:rsid w:val="00574FD3"/>
    <w:rsid w:val="00575866"/>
    <w:rsid w:val="00577998"/>
    <w:rsid w:val="005826AA"/>
    <w:rsid w:val="005828ED"/>
    <w:rsid w:val="005832C2"/>
    <w:rsid w:val="00584E9E"/>
    <w:rsid w:val="0058593D"/>
    <w:rsid w:val="0059036E"/>
    <w:rsid w:val="005A0BC4"/>
    <w:rsid w:val="005A1FD4"/>
    <w:rsid w:val="005A2354"/>
    <w:rsid w:val="005A33CB"/>
    <w:rsid w:val="005A7446"/>
    <w:rsid w:val="005B3E33"/>
    <w:rsid w:val="005B7142"/>
    <w:rsid w:val="005C2252"/>
    <w:rsid w:val="005C2E4C"/>
    <w:rsid w:val="005C5325"/>
    <w:rsid w:val="005D026B"/>
    <w:rsid w:val="005D0550"/>
    <w:rsid w:val="005D2458"/>
    <w:rsid w:val="005D4E5D"/>
    <w:rsid w:val="005D5EF9"/>
    <w:rsid w:val="005E068D"/>
    <w:rsid w:val="005E3FFF"/>
    <w:rsid w:val="005E7F1A"/>
    <w:rsid w:val="005F107C"/>
    <w:rsid w:val="005F5F92"/>
    <w:rsid w:val="005F6CDF"/>
    <w:rsid w:val="006059BD"/>
    <w:rsid w:val="00607679"/>
    <w:rsid w:val="0061006E"/>
    <w:rsid w:val="006107A1"/>
    <w:rsid w:val="006115B7"/>
    <w:rsid w:val="006131F7"/>
    <w:rsid w:val="00613209"/>
    <w:rsid w:val="0061367A"/>
    <w:rsid w:val="00617D64"/>
    <w:rsid w:val="0062408F"/>
    <w:rsid w:val="00625E9D"/>
    <w:rsid w:val="006313F4"/>
    <w:rsid w:val="00631CD6"/>
    <w:rsid w:val="006341F7"/>
    <w:rsid w:val="00636CE6"/>
    <w:rsid w:val="00636F4F"/>
    <w:rsid w:val="0063728E"/>
    <w:rsid w:val="00640789"/>
    <w:rsid w:val="00642532"/>
    <w:rsid w:val="00642C26"/>
    <w:rsid w:val="00643F52"/>
    <w:rsid w:val="00645AA1"/>
    <w:rsid w:val="00646457"/>
    <w:rsid w:val="006539C9"/>
    <w:rsid w:val="00654A41"/>
    <w:rsid w:val="00657847"/>
    <w:rsid w:val="0066273F"/>
    <w:rsid w:val="00662DA9"/>
    <w:rsid w:val="00662FB2"/>
    <w:rsid w:val="00664C3F"/>
    <w:rsid w:val="00665A89"/>
    <w:rsid w:val="00666EC1"/>
    <w:rsid w:val="00675BBB"/>
    <w:rsid w:val="00676D7A"/>
    <w:rsid w:val="00677FAE"/>
    <w:rsid w:val="00680729"/>
    <w:rsid w:val="00681BA8"/>
    <w:rsid w:val="00683250"/>
    <w:rsid w:val="0068476E"/>
    <w:rsid w:val="00686900"/>
    <w:rsid w:val="006872C8"/>
    <w:rsid w:val="00687944"/>
    <w:rsid w:val="0069409C"/>
    <w:rsid w:val="00695E5E"/>
    <w:rsid w:val="00697381"/>
    <w:rsid w:val="006A025F"/>
    <w:rsid w:val="006A1717"/>
    <w:rsid w:val="006A2657"/>
    <w:rsid w:val="006A3314"/>
    <w:rsid w:val="006A4CD6"/>
    <w:rsid w:val="006A5446"/>
    <w:rsid w:val="006A5D53"/>
    <w:rsid w:val="006B3A74"/>
    <w:rsid w:val="006B542A"/>
    <w:rsid w:val="006C08C0"/>
    <w:rsid w:val="006C22CE"/>
    <w:rsid w:val="006C22F5"/>
    <w:rsid w:val="006C3C95"/>
    <w:rsid w:val="006C4017"/>
    <w:rsid w:val="006C4117"/>
    <w:rsid w:val="006C47BD"/>
    <w:rsid w:val="006D79A8"/>
    <w:rsid w:val="006E321E"/>
    <w:rsid w:val="006E44E2"/>
    <w:rsid w:val="006E55AD"/>
    <w:rsid w:val="006E6FF3"/>
    <w:rsid w:val="006F0EC0"/>
    <w:rsid w:val="006F4495"/>
    <w:rsid w:val="006F5DB3"/>
    <w:rsid w:val="006F6BFF"/>
    <w:rsid w:val="00700C20"/>
    <w:rsid w:val="0070120B"/>
    <w:rsid w:val="00701B42"/>
    <w:rsid w:val="00704188"/>
    <w:rsid w:val="00707CDD"/>
    <w:rsid w:val="00710952"/>
    <w:rsid w:val="00712CAB"/>
    <w:rsid w:val="00725C35"/>
    <w:rsid w:val="00727985"/>
    <w:rsid w:val="007305E4"/>
    <w:rsid w:val="00732E95"/>
    <w:rsid w:val="007337A7"/>
    <w:rsid w:val="00734D4B"/>
    <w:rsid w:val="00741775"/>
    <w:rsid w:val="0074420F"/>
    <w:rsid w:val="0075099D"/>
    <w:rsid w:val="0075186E"/>
    <w:rsid w:val="0075458F"/>
    <w:rsid w:val="0075470A"/>
    <w:rsid w:val="00756029"/>
    <w:rsid w:val="00762ACB"/>
    <w:rsid w:val="00762C61"/>
    <w:rsid w:val="00764440"/>
    <w:rsid w:val="007702E3"/>
    <w:rsid w:val="0077629C"/>
    <w:rsid w:val="007764FD"/>
    <w:rsid w:val="007773F0"/>
    <w:rsid w:val="00782B6B"/>
    <w:rsid w:val="007855E9"/>
    <w:rsid w:val="0078662C"/>
    <w:rsid w:val="007917FF"/>
    <w:rsid w:val="00793ECF"/>
    <w:rsid w:val="007A210E"/>
    <w:rsid w:val="007A30D7"/>
    <w:rsid w:val="007A31BD"/>
    <w:rsid w:val="007A3685"/>
    <w:rsid w:val="007A4347"/>
    <w:rsid w:val="007A46CE"/>
    <w:rsid w:val="007A4BDF"/>
    <w:rsid w:val="007A5329"/>
    <w:rsid w:val="007B1BBB"/>
    <w:rsid w:val="007B1BDC"/>
    <w:rsid w:val="007B341A"/>
    <w:rsid w:val="007B37ED"/>
    <w:rsid w:val="007B4CE7"/>
    <w:rsid w:val="007B4EA0"/>
    <w:rsid w:val="007C6788"/>
    <w:rsid w:val="007C692F"/>
    <w:rsid w:val="007D15DC"/>
    <w:rsid w:val="007D2FE9"/>
    <w:rsid w:val="007D5041"/>
    <w:rsid w:val="007D6059"/>
    <w:rsid w:val="007D7112"/>
    <w:rsid w:val="007E0305"/>
    <w:rsid w:val="007E0F6F"/>
    <w:rsid w:val="007E1174"/>
    <w:rsid w:val="007E39C4"/>
    <w:rsid w:val="007E3FAA"/>
    <w:rsid w:val="007E4345"/>
    <w:rsid w:val="007E691F"/>
    <w:rsid w:val="007F02DC"/>
    <w:rsid w:val="007F4136"/>
    <w:rsid w:val="007F5E0F"/>
    <w:rsid w:val="007F6D3F"/>
    <w:rsid w:val="00802650"/>
    <w:rsid w:val="00803EE9"/>
    <w:rsid w:val="00812DD7"/>
    <w:rsid w:val="00814ED9"/>
    <w:rsid w:val="00816820"/>
    <w:rsid w:val="0082001C"/>
    <w:rsid w:val="00820BBA"/>
    <w:rsid w:val="00823F63"/>
    <w:rsid w:val="00824022"/>
    <w:rsid w:val="008268A4"/>
    <w:rsid w:val="00831174"/>
    <w:rsid w:val="0083279F"/>
    <w:rsid w:val="0083557E"/>
    <w:rsid w:val="00836DE2"/>
    <w:rsid w:val="00837BE0"/>
    <w:rsid w:val="00837C5B"/>
    <w:rsid w:val="00842A57"/>
    <w:rsid w:val="008445B0"/>
    <w:rsid w:val="00846304"/>
    <w:rsid w:val="00847B10"/>
    <w:rsid w:val="0085025F"/>
    <w:rsid w:val="00850B7C"/>
    <w:rsid w:val="00853B10"/>
    <w:rsid w:val="008551E7"/>
    <w:rsid w:val="00860889"/>
    <w:rsid w:val="0086303D"/>
    <w:rsid w:val="00864CCA"/>
    <w:rsid w:val="008706DF"/>
    <w:rsid w:val="00871849"/>
    <w:rsid w:val="00871B20"/>
    <w:rsid w:val="008724E3"/>
    <w:rsid w:val="00874F65"/>
    <w:rsid w:val="008809BF"/>
    <w:rsid w:val="00880D19"/>
    <w:rsid w:val="00881BBD"/>
    <w:rsid w:val="00883EDF"/>
    <w:rsid w:val="008905F3"/>
    <w:rsid w:val="00893A1C"/>
    <w:rsid w:val="008949F7"/>
    <w:rsid w:val="008A0829"/>
    <w:rsid w:val="008A475D"/>
    <w:rsid w:val="008A503F"/>
    <w:rsid w:val="008B1400"/>
    <w:rsid w:val="008B35B2"/>
    <w:rsid w:val="008B42BF"/>
    <w:rsid w:val="008C47B7"/>
    <w:rsid w:val="008C4C51"/>
    <w:rsid w:val="008C5897"/>
    <w:rsid w:val="008C630F"/>
    <w:rsid w:val="008C68DB"/>
    <w:rsid w:val="008D39A5"/>
    <w:rsid w:val="008D3E76"/>
    <w:rsid w:val="008D5FBF"/>
    <w:rsid w:val="008D6ACF"/>
    <w:rsid w:val="008E2477"/>
    <w:rsid w:val="008E63F8"/>
    <w:rsid w:val="008E69CA"/>
    <w:rsid w:val="008F0C9E"/>
    <w:rsid w:val="008F2B46"/>
    <w:rsid w:val="008F5DA9"/>
    <w:rsid w:val="009014F8"/>
    <w:rsid w:val="00903AD0"/>
    <w:rsid w:val="00903B8F"/>
    <w:rsid w:val="00906D6B"/>
    <w:rsid w:val="00907E73"/>
    <w:rsid w:val="00910A94"/>
    <w:rsid w:val="00911804"/>
    <w:rsid w:val="009125A5"/>
    <w:rsid w:val="00912B67"/>
    <w:rsid w:val="00916E91"/>
    <w:rsid w:val="00917D44"/>
    <w:rsid w:val="00922498"/>
    <w:rsid w:val="00922EAA"/>
    <w:rsid w:val="009277A9"/>
    <w:rsid w:val="009316BC"/>
    <w:rsid w:val="0093676B"/>
    <w:rsid w:val="00936C7C"/>
    <w:rsid w:val="00940423"/>
    <w:rsid w:val="009448A4"/>
    <w:rsid w:val="0094661E"/>
    <w:rsid w:val="00947D4A"/>
    <w:rsid w:val="00954C59"/>
    <w:rsid w:val="00954FAB"/>
    <w:rsid w:val="0096414C"/>
    <w:rsid w:val="00971EE6"/>
    <w:rsid w:val="0098045C"/>
    <w:rsid w:val="0098531E"/>
    <w:rsid w:val="0099175C"/>
    <w:rsid w:val="00994B62"/>
    <w:rsid w:val="00994EA4"/>
    <w:rsid w:val="00994FFC"/>
    <w:rsid w:val="009A150A"/>
    <w:rsid w:val="009A15DB"/>
    <w:rsid w:val="009A3954"/>
    <w:rsid w:val="009A3CA4"/>
    <w:rsid w:val="009A3EBA"/>
    <w:rsid w:val="009A3FA9"/>
    <w:rsid w:val="009A694F"/>
    <w:rsid w:val="009A6CBB"/>
    <w:rsid w:val="009B2026"/>
    <w:rsid w:val="009B2259"/>
    <w:rsid w:val="009B336F"/>
    <w:rsid w:val="009B3856"/>
    <w:rsid w:val="009B4D95"/>
    <w:rsid w:val="009B51A0"/>
    <w:rsid w:val="009B5D3E"/>
    <w:rsid w:val="009B6E40"/>
    <w:rsid w:val="009C538D"/>
    <w:rsid w:val="009C7C84"/>
    <w:rsid w:val="009D5075"/>
    <w:rsid w:val="009E1DDD"/>
    <w:rsid w:val="009E1F8E"/>
    <w:rsid w:val="009E3B13"/>
    <w:rsid w:val="009E7531"/>
    <w:rsid w:val="009E776F"/>
    <w:rsid w:val="009F05A3"/>
    <w:rsid w:val="009F2019"/>
    <w:rsid w:val="009F46BC"/>
    <w:rsid w:val="009F5911"/>
    <w:rsid w:val="009F7151"/>
    <w:rsid w:val="00A01942"/>
    <w:rsid w:val="00A030B9"/>
    <w:rsid w:val="00A07A91"/>
    <w:rsid w:val="00A100FE"/>
    <w:rsid w:val="00A120F7"/>
    <w:rsid w:val="00A175F7"/>
    <w:rsid w:val="00A17A3B"/>
    <w:rsid w:val="00A17D02"/>
    <w:rsid w:val="00A20B32"/>
    <w:rsid w:val="00A227B4"/>
    <w:rsid w:val="00A273B3"/>
    <w:rsid w:val="00A30C45"/>
    <w:rsid w:val="00A320A6"/>
    <w:rsid w:val="00A331E4"/>
    <w:rsid w:val="00A3332C"/>
    <w:rsid w:val="00A33EB0"/>
    <w:rsid w:val="00A400C9"/>
    <w:rsid w:val="00A4095A"/>
    <w:rsid w:val="00A423C4"/>
    <w:rsid w:val="00A476CF"/>
    <w:rsid w:val="00A479DB"/>
    <w:rsid w:val="00A47D1D"/>
    <w:rsid w:val="00A60798"/>
    <w:rsid w:val="00A61AB7"/>
    <w:rsid w:val="00A71E59"/>
    <w:rsid w:val="00A74EB0"/>
    <w:rsid w:val="00A7678C"/>
    <w:rsid w:val="00A80722"/>
    <w:rsid w:val="00A83547"/>
    <w:rsid w:val="00A8368B"/>
    <w:rsid w:val="00A85B4A"/>
    <w:rsid w:val="00A867A1"/>
    <w:rsid w:val="00A921CF"/>
    <w:rsid w:val="00A92237"/>
    <w:rsid w:val="00A925F9"/>
    <w:rsid w:val="00A9328A"/>
    <w:rsid w:val="00A93DB4"/>
    <w:rsid w:val="00AA1ABF"/>
    <w:rsid w:val="00AA1D57"/>
    <w:rsid w:val="00AA2259"/>
    <w:rsid w:val="00AA546F"/>
    <w:rsid w:val="00AA5C95"/>
    <w:rsid w:val="00AA63F4"/>
    <w:rsid w:val="00AB14E7"/>
    <w:rsid w:val="00AB287C"/>
    <w:rsid w:val="00AB2C59"/>
    <w:rsid w:val="00AB2DCB"/>
    <w:rsid w:val="00AB4CE3"/>
    <w:rsid w:val="00AD07FD"/>
    <w:rsid w:val="00AD0CCA"/>
    <w:rsid w:val="00AD1EE5"/>
    <w:rsid w:val="00AD2A26"/>
    <w:rsid w:val="00AD5B31"/>
    <w:rsid w:val="00AD5E13"/>
    <w:rsid w:val="00AD75F1"/>
    <w:rsid w:val="00AD7C6B"/>
    <w:rsid w:val="00AE01F9"/>
    <w:rsid w:val="00AE3E62"/>
    <w:rsid w:val="00AE58E1"/>
    <w:rsid w:val="00AE7A11"/>
    <w:rsid w:val="00AE7A8F"/>
    <w:rsid w:val="00AF07EE"/>
    <w:rsid w:val="00AF07F7"/>
    <w:rsid w:val="00AF5BEF"/>
    <w:rsid w:val="00AF74D2"/>
    <w:rsid w:val="00AF7EEF"/>
    <w:rsid w:val="00B03248"/>
    <w:rsid w:val="00B03D9F"/>
    <w:rsid w:val="00B06B6C"/>
    <w:rsid w:val="00B1024C"/>
    <w:rsid w:val="00B10FA6"/>
    <w:rsid w:val="00B1221B"/>
    <w:rsid w:val="00B12282"/>
    <w:rsid w:val="00B122E5"/>
    <w:rsid w:val="00B12F5E"/>
    <w:rsid w:val="00B13B26"/>
    <w:rsid w:val="00B162D5"/>
    <w:rsid w:val="00B21FB3"/>
    <w:rsid w:val="00B236D8"/>
    <w:rsid w:val="00B237B1"/>
    <w:rsid w:val="00B23B21"/>
    <w:rsid w:val="00B27560"/>
    <w:rsid w:val="00B32E37"/>
    <w:rsid w:val="00B33305"/>
    <w:rsid w:val="00B34C3C"/>
    <w:rsid w:val="00B3590F"/>
    <w:rsid w:val="00B374E2"/>
    <w:rsid w:val="00B41704"/>
    <w:rsid w:val="00B47069"/>
    <w:rsid w:val="00B51670"/>
    <w:rsid w:val="00B5674F"/>
    <w:rsid w:val="00B60FE0"/>
    <w:rsid w:val="00B612D2"/>
    <w:rsid w:val="00B62462"/>
    <w:rsid w:val="00B62984"/>
    <w:rsid w:val="00B7044A"/>
    <w:rsid w:val="00B74BA0"/>
    <w:rsid w:val="00B76DC8"/>
    <w:rsid w:val="00B80AD8"/>
    <w:rsid w:val="00B9054A"/>
    <w:rsid w:val="00B95DD3"/>
    <w:rsid w:val="00B96089"/>
    <w:rsid w:val="00BA202A"/>
    <w:rsid w:val="00BA552E"/>
    <w:rsid w:val="00BA7D2D"/>
    <w:rsid w:val="00BA7E2B"/>
    <w:rsid w:val="00BB18CB"/>
    <w:rsid w:val="00BB3CC8"/>
    <w:rsid w:val="00BB4E04"/>
    <w:rsid w:val="00BC0674"/>
    <w:rsid w:val="00BC4DBC"/>
    <w:rsid w:val="00BC70C5"/>
    <w:rsid w:val="00BC7827"/>
    <w:rsid w:val="00BD0132"/>
    <w:rsid w:val="00BD08B7"/>
    <w:rsid w:val="00BD1F1A"/>
    <w:rsid w:val="00BE3772"/>
    <w:rsid w:val="00BE5260"/>
    <w:rsid w:val="00BE5AEF"/>
    <w:rsid w:val="00BE685F"/>
    <w:rsid w:val="00BF0E7E"/>
    <w:rsid w:val="00BF42ED"/>
    <w:rsid w:val="00BF6EB6"/>
    <w:rsid w:val="00C02BA1"/>
    <w:rsid w:val="00C02C10"/>
    <w:rsid w:val="00C039B1"/>
    <w:rsid w:val="00C05299"/>
    <w:rsid w:val="00C06D76"/>
    <w:rsid w:val="00C1070E"/>
    <w:rsid w:val="00C172F2"/>
    <w:rsid w:val="00C20AED"/>
    <w:rsid w:val="00C24076"/>
    <w:rsid w:val="00C2475C"/>
    <w:rsid w:val="00C263AE"/>
    <w:rsid w:val="00C312BC"/>
    <w:rsid w:val="00C31C23"/>
    <w:rsid w:val="00C3281E"/>
    <w:rsid w:val="00C32C14"/>
    <w:rsid w:val="00C346A9"/>
    <w:rsid w:val="00C352C4"/>
    <w:rsid w:val="00C35C46"/>
    <w:rsid w:val="00C40E8C"/>
    <w:rsid w:val="00C41187"/>
    <w:rsid w:val="00C41D79"/>
    <w:rsid w:val="00C459B7"/>
    <w:rsid w:val="00C52663"/>
    <w:rsid w:val="00C53658"/>
    <w:rsid w:val="00C54A67"/>
    <w:rsid w:val="00C557D7"/>
    <w:rsid w:val="00C60ADB"/>
    <w:rsid w:val="00C62420"/>
    <w:rsid w:val="00C63B37"/>
    <w:rsid w:val="00C67BFC"/>
    <w:rsid w:val="00C703FE"/>
    <w:rsid w:val="00C71F6B"/>
    <w:rsid w:val="00C76BC8"/>
    <w:rsid w:val="00C77F43"/>
    <w:rsid w:val="00C80A8F"/>
    <w:rsid w:val="00C83310"/>
    <w:rsid w:val="00C84BA6"/>
    <w:rsid w:val="00C857A3"/>
    <w:rsid w:val="00C865D7"/>
    <w:rsid w:val="00C9498E"/>
    <w:rsid w:val="00CA0068"/>
    <w:rsid w:val="00CA1FCC"/>
    <w:rsid w:val="00CA2960"/>
    <w:rsid w:val="00CA37B9"/>
    <w:rsid w:val="00CA4699"/>
    <w:rsid w:val="00CA4804"/>
    <w:rsid w:val="00CA7396"/>
    <w:rsid w:val="00CA74E3"/>
    <w:rsid w:val="00CB1119"/>
    <w:rsid w:val="00CB1FF4"/>
    <w:rsid w:val="00CB5C64"/>
    <w:rsid w:val="00CC2E05"/>
    <w:rsid w:val="00CD3A45"/>
    <w:rsid w:val="00CD3B1E"/>
    <w:rsid w:val="00CD3FF9"/>
    <w:rsid w:val="00CD5098"/>
    <w:rsid w:val="00CD50B5"/>
    <w:rsid w:val="00CD5313"/>
    <w:rsid w:val="00CD5DC4"/>
    <w:rsid w:val="00CD6BCC"/>
    <w:rsid w:val="00CE0624"/>
    <w:rsid w:val="00CE400D"/>
    <w:rsid w:val="00CE4A2F"/>
    <w:rsid w:val="00CE7BF7"/>
    <w:rsid w:val="00CF1A74"/>
    <w:rsid w:val="00D00588"/>
    <w:rsid w:val="00D008C8"/>
    <w:rsid w:val="00D00B1A"/>
    <w:rsid w:val="00D0174B"/>
    <w:rsid w:val="00D021D8"/>
    <w:rsid w:val="00D029AC"/>
    <w:rsid w:val="00D03F5B"/>
    <w:rsid w:val="00D10D22"/>
    <w:rsid w:val="00D11496"/>
    <w:rsid w:val="00D136FA"/>
    <w:rsid w:val="00D15B88"/>
    <w:rsid w:val="00D16982"/>
    <w:rsid w:val="00D20D19"/>
    <w:rsid w:val="00D22CF1"/>
    <w:rsid w:val="00D2526C"/>
    <w:rsid w:val="00D32813"/>
    <w:rsid w:val="00D40BFE"/>
    <w:rsid w:val="00D43C59"/>
    <w:rsid w:val="00D44740"/>
    <w:rsid w:val="00D44872"/>
    <w:rsid w:val="00D44A14"/>
    <w:rsid w:val="00D46054"/>
    <w:rsid w:val="00D462DF"/>
    <w:rsid w:val="00D46316"/>
    <w:rsid w:val="00D5260F"/>
    <w:rsid w:val="00D52C8F"/>
    <w:rsid w:val="00D5439B"/>
    <w:rsid w:val="00D55C76"/>
    <w:rsid w:val="00D56BF4"/>
    <w:rsid w:val="00D57F49"/>
    <w:rsid w:val="00D60D66"/>
    <w:rsid w:val="00D619EB"/>
    <w:rsid w:val="00D643F9"/>
    <w:rsid w:val="00D658E4"/>
    <w:rsid w:val="00D65D73"/>
    <w:rsid w:val="00D66B19"/>
    <w:rsid w:val="00D670E6"/>
    <w:rsid w:val="00D7169D"/>
    <w:rsid w:val="00D7218B"/>
    <w:rsid w:val="00D737E2"/>
    <w:rsid w:val="00D74D96"/>
    <w:rsid w:val="00D831C3"/>
    <w:rsid w:val="00D85F39"/>
    <w:rsid w:val="00D87FD2"/>
    <w:rsid w:val="00D935A8"/>
    <w:rsid w:val="00D9511B"/>
    <w:rsid w:val="00D95B22"/>
    <w:rsid w:val="00D9796E"/>
    <w:rsid w:val="00DA198C"/>
    <w:rsid w:val="00DA2BA9"/>
    <w:rsid w:val="00DA33BB"/>
    <w:rsid w:val="00DA39D6"/>
    <w:rsid w:val="00DA4915"/>
    <w:rsid w:val="00DA4D9A"/>
    <w:rsid w:val="00DA7BA8"/>
    <w:rsid w:val="00DB3C67"/>
    <w:rsid w:val="00DB409A"/>
    <w:rsid w:val="00DB482E"/>
    <w:rsid w:val="00DB5287"/>
    <w:rsid w:val="00DB5D7D"/>
    <w:rsid w:val="00DC19BB"/>
    <w:rsid w:val="00DC29FC"/>
    <w:rsid w:val="00DC3391"/>
    <w:rsid w:val="00DC351A"/>
    <w:rsid w:val="00DC4DD9"/>
    <w:rsid w:val="00DC539A"/>
    <w:rsid w:val="00DC722D"/>
    <w:rsid w:val="00DC7685"/>
    <w:rsid w:val="00DE0699"/>
    <w:rsid w:val="00DE40D7"/>
    <w:rsid w:val="00DF0E05"/>
    <w:rsid w:val="00DF1020"/>
    <w:rsid w:val="00DF1EF8"/>
    <w:rsid w:val="00DF5D71"/>
    <w:rsid w:val="00E0212A"/>
    <w:rsid w:val="00E07793"/>
    <w:rsid w:val="00E1017A"/>
    <w:rsid w:val="00E12C47"/>
    <w:rsid w:val="00E135C8"/>
    <w:rsid w:val="00E1421B"/>
    <w:rsid w:val="00E2014B"/>
    <w:rsid w:val="00E21798"/>
    <w:rsid w:val="00E25F85"/>
    <w:rsid w:val="00E261DC"/>
    <w:rsid w:val="00E2661F"/>
    <w:rsid w:val="00E267EC"/>
    <w:rsid w:val="00E3492F"/>
    <w:rsid w:val="00E34A4A"/>
    <w:rsid w:val="00E36F6B"/>
    <w:rsid w:val="00E41EDC"/>
    <w:rsid w:val="00E42848"/>
    <w:rsid w:val="00E43749"/>
    <w:rsid w:val="00E500F8"/>
    <w:rsid w:val="00E51ED3"/>
    <w:rsid w:val="00E53CB8"/>
    <w:rsid w:val="00E54958"/>
    <w:rsid w:val="00E57B70"/>
    <w:rsid w:val="00E61683"/>
    <w:rsid w:val="00E641E9"/>
    <w:rsid w:val="00E642CA"/>
    <w:rsid w:val="00E662EF"/>
    <w:rsid w:val="00E71A66"/>
    <w:rsid w:val="00E7337A"/>
    <w:rsid w:val="00E73F5E"/>
    <w:rsid w:val="00E81D97"/>
    <w:rsid w:val="00E8207F"/>
    <w:rsid w:val="00E8348C"/>
    <w:rsid w:val="00E8500A"/>
    <w:rsid w:val="00E850D6"/>
    <w:rsid w:val="00E85297"/>
    <w:rsid w:val="00E85B4F"/>
    <w:rsid w:val="00E85FEC"/>
    <w:rsid w:val="00E87551"/>
    <w:rsid w:val="00E9135D"/>
    <w:rsid w:val="00E93C69"/>
    <w:rsid w:val="00E944CD"/>
    <w:rsid w:val="00E954E7"/>
    <w:rsid w:val="00E97C5C"/>
    <w:rsid w:val="00EA141C"/>
    <w:rsid w:val="00EA156C"/>
    <w:rsid w:val="00EA5462"/>
    <w:rsid w:val="00EA5ED3"/>
    <w:rsid w:val="00EA6A2A"/>
    <w:rsid w:val="00EB0C7A"/>
    <w:rsid w:val="00EB1575"/>
    <w:rsid w:val="00EB62CA"/>
    <w:rsid w:val="00EB7560"/>
    <w:rsid w:val="00EC020B"/>
    <w:rsid w:val="00EC440E"/>
    <w:rsid w:val="00EC5449"/>
    <w:rsid w:val="00EC613C"/>
    <w:rsid w:val="00EC798E"/>
    <w:rsid w:val="00EC7D66"/>
    <w:rsid w:val="00ED3463"/>
    <w:rsid w:val="00ED3538"/>
    <w:rsid w:val="00ED47AB"/>
    <w:rsid w:val="00ED545C"/>
    <w:rsid w:val="00ED7CE2"/>
    <w:rsid w:val="00EE0136"/>
    <w:rsid w:val="00EE1458"/>
    <w:rsid w:val="00EE242F"/>
    <w:rsid w:val="00EE2E29"/>
    <w:rsid w:val="00EE3082"/>
    <w:rsid w:val="00EF2D99"/>
    <w:rsid w:val="00F03F50"/>
    <w:rsid w:val="00F13D28"/>
    <w:rsid w:val="00F1512F"/>
    <w:rsid w:val="00F16F14"/>
    <w:rsid w:val="00F27DFB"/>
    <w:rsid w:val="00F30E1E"/>
    <w:rsid w:val="00F32C6C"/>
    <w:rsid w:val="00F3354D"/>
    <w:rsid w:val="00F36FFF"/>
    <w:rsid w:val="00F3770A"/>
    <w:rsid w:val="00F40FCE"/>
    <w:rsid w:val="00F41159"/>
    <w:rsid w:val="00F419BD"/>
    <w:rsid w:val="00F45CCF"/>
    <w:rsid w:val="00F46E58"/>
    <w:rsid w:val="00F470DC"/>
    <w:rsid w:val="00F50AE8"/>
    <w:rsid w:val="00F53058"/>
    <w:rsid w:val="00F54D49"/>
    <w:rsid w:val="00F5531C"/>
    <w:rsid w:val="00F55AB3"/>
    <w:rsid w:val="00F565ED"/>
    <w:rsid w:val="00F56C13"/>
    <w:rsid w:val="00F66FE6"/>
    <w:rsid w:val="00F71AC5"/>
    <w:rsid w:val="00F76033"/>
    <w:rsid w:val="00F76966"/>
    <w:rsid w:val="00F82B81"/>
    <w:rsid w:val="00F83961"/>
    <w:rsid w:val="00F84B50"/>
    <w:rsid w:val="00F8524E"/>
    <w:rsid w:val="00F8709C"/>
    <w:rsid w:val="00F87DB8"/>
    <w:rsid w:val="00F90918"/>
    <w:rsid w:val="00F90E21"/>
    <w:rsid w:val="00F918A3"/>
    <w:rsid w:val="00F93996"/>
    <w:rsid w:val="00F97CBB"/>
    <w:rsid w:val="00FA0F33"/>
    <w:rsid w:val="00FA7A22"/>
    <w:rsid w:val="00FB5B41"/>
    <w:rsid w:val="00FB705F"/>
    <w:rsid w:val="00FB734F"/>
    <w:rsid w:val="00FC1DD9"/>
    <w:rsid w:val="00FD1F06"/>
    <w:rsid w:val="00FD42EC"/>
    <w:rsid w:val="00FD50BB"/>
    <w:rsid w:val="00FD71DD"/>
    <w:rsid w:val="00FE209D"/>
    <w:rsid w:val="00FE3347"/>
    <w:rsid w:val="00FE4F00"/>
    <w:rsid w:val="00FE698D"/>
    <w:rsid w:val="00FF0F71"/>
    <w:rsid w:val="00FF2374"/>
    <w:rsid w:val="00FF376C"/>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C4DD9"/>
    <w:pPr>
      <w:spacing w:after="20" w:line="250" w:lineRule="atLeast"/>
    </w:pPr>
    <w:rPr>
      <w:rFonts w:ascii="Arial" w:hAnsi="Arial"/>
      <w:sz w:val="20"/>
    </w:rPr>
  </w:style>
  <w:style w:type="paragraph" w:styleId="Heading3">
    <w:name w:val="heading 3"/>
    <w:basedOn w:val="Normal"/>
    <w:next w:val="Normal"/>
    <w:link w:val="Heading3Char"/>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2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52"/>
    <w:rPr>
      <w:rFonts w:ascii="Tahoma" w:hAnsi="Tahoma" w:cs="Tahoma"/>
      <w:sz w:val="16"/>
      <w:szCs w:val="16"/>
    </w:rPr>
  </w:style>
  <w:style w:type="paragraph" w:styleId="Header">
    <w:name w:val="header"/>
    <w:basedOn w:val="Normal"/>
    <w:link w:val="HeaderChar"/>
    <w:uiPriority w:val="99"/>
    <w:semiHidden/>
    <w:rsid w:val="002E6499"/>
    <w:pPr>
      <w:tabs>
        <w:tab w:val="center" w:pos="4536"/>
        <w:tab w:val="right" w:pos="9072"/>
      </w:tabs>
      <w:spacing w:after="0"/>
    </w:pPr>
  </w:style>
  <w:style w:type="character" w:customStyle="1" w:styleId="HeaderChar">
    <w:name w:val="Header Char"/>
    <w:basedOn w:val="DefaultParagraphFont"/>
    <w:link w:val="Header"/>
    <w:uiPriority w:val="99"/>
    <w:semiHidden/>
    <w:rsid w:val="00710952"/>
    <w:rPr>
      <w:rFonts w:ascii="HelveticaNeueLT Std" w:hAnsi="HelveticaNeueLT Std"/>
      <w:sz w:val="20"/>
    </w:rPr>
  </w:style>
  <w:style w:type="paragraph" w:styleId="Footer">
    <w:name w:val="footer"/>
    <w:basedOn w:val="Normal"/>
    <w:link w:val="FooterChar"/>
    <w:uiPriority w:val="99"/>
    <w:rsid w:val="002E6499"/>
    <w:pPr>
      <w:tabs>
        <w:tab w:val="center" w:pos="4536"/>
        <w:tab w:val="right" w:pos="9072"/>
      </w:tabs>
      <w:spacing w:after="0"/>
    </w:pPr>
  </w:style>
  <w:style w:type="character" w:customStyle="1" w:styleId="FooterChar">
    <w:name w:val="Footer Char"/>
    <w:basedOn w:val="DefaultParagraphFont"/>
    <w:link w:val="Footer"/>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Normal"/>
    <w:qFormat/>
    <w:rsid w:val="00662FB2"/>
    <w:pPr>
      <w:framePr w:w="5103" w:wrap="around" w:vAnchor="page" w:hAnchor="text" w:y="2042" w:anchorLock="1"/>
      <w:spacing w:after="0"/>
    </w:pPr>
    <w:rPr>
      <w:b/>
      <w:color w:val="005391"/>
      <w:sz w:val="40"/>
      <w:szCs w:val="16"/>
    </w:rPr>
  </w:style>
  <w:style w:type="character" w:styleId="Hyperlink">
    <w:name w:val="Hyperlink"/>
    <w:basedOn w:val="DefaultParagraphFont"/>
    <w:uiPriority w:val="99"/>
    <w:semiHidden/>
    <w:rsid w:val="00712CAB"/>
    <w:rPr>
      <w:color w:val="0000FF" w:themeColor="hyperlink"/>
      <w:u w:val="single"/>
    </w:rPr>
  </w:style>
  <w:style w:type="paragraph" w:customStyle="1" w:styleId="ANRegister">
    <w:name w:val="AN Register"/>
    <w:basedOn w:val="Header"/>
    <w:qFormat/>
    <w:rsid w:val="00FF376C"/>
    <w:pPr>
      <w:framePr w:wrap="around" w:vAnchor="page" w:hAnchor="text" w:y="16189" w:anchorLock="1"/>
      <w:spacing w:line="240" w:lineRule="auto"/>
    </w:pPr>
    <w:rPr>
      <w:color w:val="005391"/>
      <w:sz w:val="12"/>
    </w:rPr>
  </w:style>
  <w:style w:type="paragraph" w:customStyle="1" w:styleId="ANAddress">
    <w:name w:val="AN Address"/>
    <w:basedOn w:val="Header"/>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Normal"/>
    <w:qFormat/>
    <w:rsid w:val="00DC4DD9"/>
    <w:pPr>
      <w:spacing w:before="160" w:after="280"/>
    </w:pPr>
    <w:rPr>
      <w:sz w:val="24"/>
      <w:lang w:val="en-US"/>
    </w:rPr>
  </w:style>
  <w:style w:type="paragraph" w:customStyle="1" w:styleId="ANNote">
    <w:name w:val="AN Note"/>
    <w:basedOn w:val="Normal"/>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leGrid">
    <w:name w:val="Table Grid"/>
    <w:basedOn w:val="TableNormal"/>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Normal"/>
    <w:rsid w:val="004678D1"/>
    <w:pPr>
      <w:widowControl w:val="0"/>
      <w:spacing w:after="240"/>
    </w:pPr>
    <w:rPr>
      <w:rFonts w:eastAsia="Times New Roman" w:cs="Times New Roman"/>
      <w:szCs w:val="20"/>
      <w:lang w:val="en-GB"/>
    </w:rPr>
  </w:style>
  <w:style w:type="paragraph" w:customStyle="1" w:styleId="ANSignoffs">
    <w:name w:val="AN Signoffs"/>
    <w:basedOn w:val="Normal"/>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CommentReference">
    <w:name w:val="annotation reference"/>
    <w:basedOn w:val="DefaultParagraphFont"/>
    <w:uiPriority w:val="99"/>
    <w:semiHidden/>
    <w:rsid w:val="00F8524E"/>
    <w:rPr>
      <w:sz w:val="16"/>
      <w:szCs w:val="16"/>
    </w:rPr>
  </w:style>
  <w:style w:type="paragraph" w:styleId="CommentText">
    <w:name w:val="annotation text"/>
    <w:basedOn w:val="Normal"/>
    <w:link w:val="CommentTextChar"/>
    <w:uiPriority w:val="99"/>
    <w:semiHidden/>
    <w:rsid w:val="00F8524E"/>
    <w:pPr>
      <w:spacing w:line="240" w:lineRule="auto"/>
    </w:pPr>
    <w:rPr>
      <w:szCs w:val="20"/>
    </w:rPr>
  </w:style>
  <w:style w:type="character" w:customStyle="1" w:styleId="CommentTextChar">
    <w:name w:val="Comment Text Char"/>
    <w:basedOn w:val="DefaultParagraphFont"/>
    <w:link w:val="CommentText"/>
    <w:uiPriority w:val="99"/>
    <w:semiHidden/>
    <w:rsid w:val="00F8524E"/>
    <w:rPr>
      <w:rFonts w:ascii="Arial" w:hAnsi="Arial"/>
      <w:sz w:val="20"/>
      <w:szCs w:val="20"/>
    </w:rPr>
  </w:style>
  <w:style w:type="paragraph" w:styleId="CommentSubject">
    <w:name w:val="annotation subject"/>
    <w:basedOn w:val="CommentText"/>
    <w:next w:val="CommentText"/>
    <w:link w:val="CommentSubjectChar"/>
    <w:uiPriority w:val="99"/>
    <w:semiHidden/>
    <w:rsid w:val="00F8524E"/>
    <w:rPr>
      <w:b/>
      <w:bCs/>
    </w:rPr>
  </w:style>
  <w:style w:type="character" w:customStyle="1" w:styleId="CommentSubjectChar">
    <w:name w:val="Comment Subject Char"/>
    <w:basedOn w:val="CommentTextChar"/>
    <w:link w:val="CommentSubject"/>
    <w:uiPriority w:val="99"/>
    <w:semiHidden/>
    <w:rsid w:val="00F8524E"/>
    <w:rPr>
      <w:rFonts w:ascii="Arial" w:hAnsi="Arial"/>
      <w:b/>
      <w:bCs/>
      <w:sz w:val="20"/>
      <w:szCs w:val="20"/>
    </w:rPr>
  </w:style>
  <w:style w:type="character" w:customStyle="1" w:styleId="Heading3Char">
    <w:name w:val="Heading 3 Char"/>
    <w:basedOn w:val="DefaultParagraphFont"/>
    <w:link w:val="Heading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TableNormal"/>
    <w:next w:val="TableGrid"/>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7C62"/>
    <w:rPr>
      <w:b/>
      <w:bCs/>
    </w:rPr>
  </w:style>
  <w:style w:type="character" w:styleId="FollowedHyperlink">
    <w:name w:val="FollowedHyperlink"/>
    <w:basedOn w:val="DefaultParagraphFont"/>
    <w:uiPriority w:val="99"/>
    <w:semiHidden/>
    <w:rsid w:val="00A17D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C4DD9"/>
    <w:pPr>
      <w:spacing w:after="20" w:line="250" w:lineRule="atLeast"/>
    </w:pPr>
    <w:rPr>
      <w:rFonts w:ascii="Arial" w:hAnsi="Arial"/>
      <w:sz w:val="20"/>
    </w:rPr>
  </w:style>
  <w:style w:type="paragraph" w:styleId="Heading3">
    <w:name w:val="heading 3"/>
    <w:basedOn w:val="Normal"/>
    <w:next w:val="Normal"/>
    <w:link w:val="Heading3Char"/>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2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52"/>
    <w:rPr>
      <w:rFonts w:ascii="Tahoma" w:hAnsi="Tahoma" w:cs="Tahoma"/>
      <w:sz w:val="16"/>
      <w:szCs w:val="16"/>
    </w:rPr>
  </w:style>
  <w:style w:type="paragraph" w:styleId="Header">
    <w:name w:val="header"/>
    <w:basedOn w:val="Normal"/>
    <w:link w:val="HeaderChar"/>
    <w:uiPriority w:val="99"/>
    <w:semiHidden/>
    <w:rsid w:val="002E6499"/>
    <w:pPr>
      <w:tabs>
        <w:tab w:val="center" w:pos="4536"/>
        <w:tab w:val="right" w:pos="9072"/>
      </w:tabs>
      <w:spacing w:after="0"/>
    </w:pPr>
  </w:style>
  <w:style w:type="character" w:customStyle="1" w:styleId="HeaderChar">
    <w:name w:val="Header Char"/>
    <w:basedOn w:val="DefaultParagraphFont"/>
    <w:link w:val="Header"/>
    <w:uiPriority w:val="99"/>
    <w:semiHidden/>
    <w:rsid w:val="00710952"/>
    <w:rPr>
      <w:rFonts w:ascii="HelveticaNeueLT Std" w:hAnsi="HelveticaNeueLT Std"/>
      <w:sz w:val="20"/>
    </w:rPr>
  </w:style>
  <w:style w:type="paragraph" w:styleId="Footer">
    <w:name w:val="footer"/>
    <w:basedOn w:val="Normal"/>
    <w:link w:val="FooterChar"/>
    <w:uiPriority w:val="99"/>
    <w:rsid w:val="002E6499"/>
    <w:pPr>
      <w:tabs>
        <w:tab w:val="center" w:pos="4536"/>
        <w:tab w:val="right" w:pos="9072"/>
      </w:tabs>
      <w:spacing w:after="0"/>
    </w:pPr>
  </w:style>
  <w:style w:type="character" w:customStyle="1" w:styleId="FooterChar">
    <w:name w:val="Footer Char"/>
    <w:basedOn w:val="DefaultParagraphFont"/>
    <w:link w:val="Footer"/>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Normal"/>
    <w:qFormat/>
    <w:rsid w:val="00662FB2"/>
    <w:pPr>
      <w:framePr w:w="5103" w:wrap="around" w:vAnchor="page" w:hAnchor="text" w:y="2042" w:anchorLock="1"/>
      <w:spacing w:after="0"/>
    </w:pPr>
    <w:rPr>
      <w:b/>
      <w:color w:val="005391"/>
      <w:sz w:val="40"/>
      <w:szCs w:val="16"/>
    </w:rPr>
  </w:style>
  <w:style w:type="character" w:styleId="Hyperlink">
    <w:name w:val="Hyperlink"/>
    <w:basedOn w:val="DefaultParagraphFont"/>
    <w:uiPriority w:val="99"/>
    <w:semiHidden/>
    <w:rsid w:val="00712CAB"/>
    <w:rPr>
      <w:color w:val="0000FF" w:themeColor="hyperlink"/>
      <w:u w:val="single"/>
    </w:rPr>
  </w:style>
  <w:style w:type="paragraph" w:customStyle="1" w:styleId="ANRegister">
    <w:name w:val="AN Register"/>
    <w:basedOn w:val="Header"/>
    <w:qFormat/>
    <w:rsid w:val="00FF376C"/>
    <w:pPr>
      <w:framePr w:wrap="around" w:vAnchor="page" w:hAnchor="text" w:y="16189" w:anchorLock="1"/>
      <w:spacing w:line="240" w:lineRule="auto"/>
    </w:pPr>
    <w:rPr>
      <w:color w:val="005391"/>
      <w:sz w:val="12"/>
    </w:rPr>
  </w:style>
  <w:style w:type="paragraph" w:customStyle="1" w:styleId="ANAddress">
    <w:name w:val="AN Address"/>
    <w:basedOn w:val="Header"/>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Normal"/>
    <w:qFormat/>
    <w:rsid w:val="00DC4DD9"/>
    <w:pPr>
      <w:spacing w:before="160" w:after="280"/>
    </w:pPr>
    <w:rPr>
      <w:sz w:val="24"/>
      <w:lang w:val="en-US"/>
    </w:rPr>
  </w:style>
  <w:style w:type="paragraph" w:customStyle="1" w:styleId="ANNote">
    <w:name w:val="AN Note"/>
    <w:basedOn w:val="Normal"/>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leGrid">
    <w:name w:val="Table Grid"/>
    <w:basedOn w:val="TableNormal"/>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Normal"/>
    <w:rsid w:val="004678D1"/>
    <w:pPr>
      <w:widowControl w:val="0"/>
      <w:spacing w:after="240"/>
    </w:pPr>
    <w:rPr>
      <w:rFonts w:eastAsia="Times New Roman" w:cs="Times New Roman"/>
      <w:szCs w:val="20"/>
      <w:lang w:val="en-GB"/>
    </w:rPr>
  </w:style>
  <w:style w:type="paragraph" w:customStyle="1" w:styleId="ANSignoffs">
    <w:name w:val="AN Signoffs"/>
    <w:basedOn w:val="Normal"/>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CommentReference">
    <w:name w:val="annotation reference"/>
    <w:basedOn w:val="DefaultParagraphFont"/>
    <w:uiPriority w:val="99"/>
    <w:semiHidden/>
    <w:rsid w:val="00F8524E"/>
    <w:rPr>
      <w:sz w:val="16"/>
      <w:szCs w:val="16"/>
    </w:rPr>
  </w:style>
  <w:style w:type="paragraph" w:styleId="CommentText">
    <w:name w:val="annotation text"/>
    <w:basedOn w:val="Normal"/>
    <w:link w:val="CommentTextChar"/>
    <w:uiPriority w:val="99"/>
    <w:semiHidden/>
    <w:rsid w:val="00F8524E"/>
    <w:pPr>
      <w:spacing w:line="240" w:lineRule="auto"/>
    </w:pPr>
    <w:rPr>
      <w:szCs w:val="20"/>
    </w:rPr>
  </w:style>
  <w:style w:type="character" w:customStyle="1" w:styleId="CommentTextChar">
    <w:name w:val="Comment Text Char"/>
    <w:basedOn w:val="DefaultParagraphFont"/>
    <w:link w:val="CommentText"/>
    <w:uiPriority w:val="99"/>
    <w:semiHidden/>
    <w:rsid w:val="00F8524E"/>
    <w:rPr>
      <w:rFonts w:ascii="Arial" w:hAnsi="Arial"/>
      <w:sz w:val="20"/>
      <w:szCs w:val="20"/>
    </w:rPr>
  </w:style>
  <w:style w:type="paragraph" w:styleId="CommentSubject">
    <w:name w:val="annotation subject"/>
    <w:basedOn w:val="CommentText"/>
    <w:next w:val="CommentText"/>
    <w:link w:val="CommentSubjectChar"/>
    <w:uiPriority w:val="99"/>
    <w:semiHidden/>
    <w:rsid w:val="00F8524E"/>
    <w:rPr>
      <w:b/>
      <w:bCs/>
    </w:rPr>
  </w:style>
  <w:style w:type="character" w:customStyle="1" w:styleId="CommentSubjectChar">
    <w:name w:val="Comment Subject Char"/>
    <w:basedOn w:val="CommentTextChar"/>
    <w:link w:val="CommentSubject"/>
    <w:uiPriority w:val="99"/>
    <w:semiHidden/>
    <w:rsid w:val="00F8524E"/>
    <w:rPr>
      <w:rFonts w:ascii="Arial" w:hAnsi="Arial"/>
      <w:b/>
      <w:bCs/>
      <w:sz w:val="20"/>
      <w:szCs w:val="20"/>
    </w:rPr>
  </w:style>
  <w:style w:type="character" w:customStyle="1" w:styleId="Heading3Char">
    <w:name w:val="Heading 3 Char"/>
    <w:basedOn w:val="DefaultParagraphFont"/>
    <w:link w:val="Heading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TableNormal"/>
    <w:next w:val="TableGrid"/>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7C62"/>
    <w:rPr>
      <w:b/>
      <w:bCs/>
    </w:rPr>
  </w:style>
  <w:style w:type="character" w:styleId="FollowedHyperlink">
    <w:name w:val="FollowedHyperlink"/>
    <w:basedOn w:val="DefaultParagraphFont"/>
    <w:uiPriority w:val="99"/>
    <w:semiHidden/>
    <w:rsid w:val="00A17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zonobel.com/for-media/media-releases-and-features/akzonobel-gets-top-grade-cdp-supplier-climate-list" TargetMode="External"/><Relationship Id="rId18" Type="http://schemas.openxmlformats.org/officeDocument/2006/relationships/hyperlink" Target="https://www.akzonobel.com/for-media/media-releases-and-features/akzonobel-signs-cooperation-agreement-bio-based-polym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kzonobel.com/about-us/strategy" TargetMode="External"/><Relationship Id="rId7" Type="http://schemas.openxmlformats.org/officeDocument/2006/relationships/footnotes" Target="footnotes.xml"/><Relationship Id="rId12" Type="http://schemas.openxmlformats.org/officeDocument/2006/relationships/hyperlink" Target="https://www.akzonobel.com/for-media/media-releases-and-features/akzonobel-be-carbon-neutral-and-use-100-renewable-energy-2050" TargetMode="External"/><Relationship Id="rId17" Type="http://schemas.openxmlformats.org/officeDocument/2006/relationships/hyperlink" Target="https://www.akzonobel.com/for-media/media-releases-and-features/how-having-heart-good-business-akzonobel-touched-9-mill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kzonobel.com/for-media/media-releases-and-features/akzonobel-supporting-education-special-needs-children-egypt" TargetMode="External"/><Relationship Id="rId20" Type="http://schemas.openxmlformats.org/officeDocument/2006/relationships/hyperlink" Target="https://www.akzonobel.com/for-media/media-releases-and-features/akzonobel-and-partners-developing-drone-technology-make-mar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zonobel.com/for-media/media-releases-and-features/akzonobels-imagine-chemistry-challenge-generates-more-20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kzonobel.com/generic-content/we-partner-sos-childrens-villages-fight-youth-unemployment-power-paint" TargetMode="External"/><Relationship Id="rId23" Type="http://schemas.openxmlformats.org/officeDocument/2006/relationships/hyperlink" Target="http://www.akzonobel.com" TargetMode="External"/><Relationship Id="rId28" Type="http://schemas.openxmlformats.org/officeDocument/2006/relationships/theme" Target="theme/theme1.xml"/><Relationship Id="rId10" Type="http://schemas.openxmlformats.org/officeDocument/2006/relationships/hyperlink" Target="https://www.akzonobel.com/for-media/media-releases-and-features/akzonobel-invests-%E2%82%AC12.6-million-in-new-innovation-hub-in-the-UK" TargetMode="External"/><Relationship Id="rId19" Type="http://schemas.openxmlformats.org/officeDocument/2006/relationships/hyperlink" Target="https://www.akzonobel.com/for-media/media-releases-and-features/new-tool-launched-monitor-bio-based-materials-chemical" TargetMode="External"/><Relationship Id="rId4" Type="http://schemas.microsoft.com/office/2007/relationships/stylesWithEffects" Target="stylesWithEffects.xml"/><Relationship Id="rId9" Type="http://schemas.openxmlformats.org/officeDocument/2006/relationships/hyperlink" Target="https://www.akzonobel.com/for-media/media-releases-and-features/akzonobel-and-masterpeace-join-forces-color-100-walls" TargetMode="External"/><Relationship Id="rId14" Type="http://schemas.openxmlformats.org/officeDocument/2006/relationships/hyperlink" Target="https://www.akzonobel.com/for-media/media-releases-and-features/dutch-government-recognizes-akzonobels-contribution-national" TargetMode="External"/><Relationship Id="rId22" Type="http://schemas.openxmlformats.org/officeDocument/2006/relationships/hyperlink" Target="http://www.akzonobel.com/quarterlyresul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347E-AF0C-4023-B14E-A02F4CF9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AkzoNobel</cp:lastModifiedBy>
  <cp:revision>7</cp:revision>
  <cp:lastPrinted>2017-04-18T14:50:00Z</cp:lastPrinted>
  <dcterms:created xsi:type="dcterms:W3CDTF">2017-04-18T17:54:00Z</dcterms:created>
  <dcterms:modified xsi:type="dcterms:W3CDTF">2017-04-18T19:00:00Z</dcterms:modified>
</cp:coreProperties>
</file>