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86F87" w14:textId="77777777" w:rsidR="00A42CE1" w:rsidRDefault="005B42AD" w:rsidP="00A42CE1">
      <w:pPr>
        <w:keepLines/>
        <w:spacing w:line="276" w:lineRule="auto"/>
        <w:rPr>
          <w:rFonts w:ascii="Arial" w:hAnsi="Arial" w:cs="Arial"/>
          <w:lang w:val="en-GB"/>
        </w:rPr>
      </w:pPr>
    </w:p>
    <w:p w14:paraId="2E0B809C" w14:textId="77777777" w:rsidR="00A42CE1" w:rsidRPr="00D15FA0" w:rsidRDefault="00060B62" w:rsidP="00A42CE1">
      <w:pPr>
        <w:keepLines/>
        <w:spacing w:line="276" w:lineRule="auto"/>
        <w:rPr>
          <w:rFonts w:ascii="Arial" w:hAnsi="Arial" w:cs="Arial"/>
        </w:rPr>
      </w:pPr>
      <w:r w:rsidRPr="00D15FA0">
        <w:rPr>
          <w:rFonts w:ascii="Arial" w:hAnsi="Arial" w:cs="Arial"/>
          <w:lang w:val="sv-SE"/>
        </w:rPr>
        <w:t>Pressmeddelande från Norconsult AS:</w:t>
      </w:r>
    </w:p>
    <w:p w14:paraId="0A51B019" w14:textId="0311031A" w:rsidR="00A42CE1" w:rsidRPr="00A42CE1" w:rsidRDefault="005B42AD" w:rsidP="00A42CE1">
      <w:pPr>
        <w:keepLines/>
        <w:spacing w:line="276" w:lineRule="auto"/>
        <w:jc w:val="right"/>
        <w:rPr>
          <w:rFonts w:ascii="Arial" w:hAnsi="Arial" w:cs="Arial"/>
        </w:rPr>
      </w:pPr>
      <w:r>
        <w:rPr>
          <w:rFonts w:ascii="Arial" w:hAnsi="Arial" w:cs="Arial"/>
          <w:lang w:val="sv-SE"/>
        </w:rPr>
        <w:t>2018-09-14</w:t>
      </w:r>
    </w:p>
    <w:p w14:paraId="7ADD773C" w14:textId="77777777" w:rsidR="005217E3" w:rsidRPr="0040428F" w:rsidRDefault="00060B62" w:rsidP="005217E3">
      <w:pPr>
        <w:pStyle w:val="Oformateradtext"/>
        <w:rPr>
          <w:b/>
          <w:sz w:val="32"/>
          <w:szCs w:val="32"/>
        </w:rPr>
      </w:pPr>
      <w:r w:rsidRPr="0040428F">
        <w:rPr>
          <w:b/>
          <w:bCs/>
          <w:sz w:val="32"/>
          <w:szCs w:val="32"/>
          <w:lang w:val="sv-SE"/>
        </w:rPr>
        <w:t>Andra kvartalet 2018: Ökad omsättning och förbättrat resultat</w:t>
      </w:r>
    </w:p>
    <w:p w14:paraId="1D3435EE" w14:textId="77777777" w:rsidR="0040428F" w:rsidRPr="0040428F" w:rsidRDefault="005B42AD" w:rsidP="005217E3">
      <w:pPr>
        <w:pStyle w:val="Oformateradtext"/>
        <w:rPr>
          <w:b/>
        </w:rPr>
      </w:pPr>
    </w:p>
    <w:p w14:paraId="7705AC1F" w14:textId="47E10481" w:rsidR="0040428F" w:rsidRPr="00427231" w:rsidRDefault="00060B62" w:rsidP="005217E3">
      <w:pPr>
        <w:pStyle w:val="Oformateradtext"/>
        <w:rPr>
          <w:b/>
          <w:highlight w:val="yellow"/>
        </w:rPr>
      </w:pPr>
      <w:r w:rsidRPr="00757F89">
        <w:rPr>
          <w:b/>
          <w:bCs/>
          <w:lang w:val="sv-SE"/>
        </w:rPr>
        <w:t>Under det andra kvartalet 2018 omsatte Norconsult 1,3 miljarder norska kronor, jämfört med 1,14 miljarder samma period föregående år.</w:t>
      </w:r>
      <w:r w:rsidRPr="00757F89">
        <w:rPr>
          <w:lang w:val="sv-SE"/>
        </w:rPr>
        <w:t xml:space="preserve"> </w:t>
      </w:r>
      <w:r w:rsidRPr="00757F89">
        <w:rPr>
          <w:b/>
          <w:bCs/>
          <w:lang w:val="sv-SE"/>
        </w:rPr>
        <w:t>Rörelseresultatet för det andra kvartalet uppgick till 114 miljoner norska kronor, jämfört med 93 miljoner samma kvartal 2017. Rörelsemarginalen för det andra kvartalet blev 8,7 procent, jämfört med 8,1 samma period i fjol.</w:t>
      </w:r>
      <w:r w:rsidRPr="00757F89">
        <w:rPr>
          <w:b/>
          <w:bCs/>
          <w:lang w:val="sv-SE"/>
        </w:rPr>
        <w:br/>
      </w:r>
    </w:p>
    <w:p w14:paraId="2FA91819" w14:textId="10698E7F" w:rsidR="005217E3" w:rsidRDefault="00060B62" w:rsidP="005217E3">
      <w:pPr>
        <w:pStyle w:val="Oformateradtext"/>
      </w:pPr>
      <w:r w:rsidRPr="00757F89">
        <w:rPr>
          <w:lang w:val="sv-SE"/>
        </w:rPr>
        <w:t xml:space="preserve">Omsättningen för det första halvåret 2018 uppgick till 2,57 miljarder norska kronor, mot 2,3 miljarder samma period i fjol, vilket är en ökning med 12 procent. Det underliggande rörelseresultatet för första halvåret uppgick till 204 miljoner norska kronor, jämfört med 185 miljoner första halvåret 2017. Det underliggande rörelseresultatet är exklusive vinsten från försäljningen av Vestfjordgaten 4 i februari 2018.  </w:t>
      </w:r>
    </w:p>
    <w:p w14:paraId="050E5439" w14:textId="77777777" w:rsidR="007C72DA" w:rsidRDefault="005B42AD" w:rsidP="005217E3">
      <w:pPr>
        <w:pStyle w:val="Oformateradtext"/>
      </w:pPr>
    </w:p>
    <w:p w14:paraId="11C1B9B8" w14:textId="77777777" w:rsidR="0040428F" w:rsidRPr="004912F7" w:rsidRDefault="00060B62" w:rsidP="00406914">
      <w:pPr>
        <w:pStyle w:val="Oformateradtext"/>
        <w:rPr>
          <w:rFonts w:asciiTheme="minorHAnsi" w:hAnsiTheme="minorHAnsi" w:cstheme="minorHAnsi"/>
          <w:szCs w:val="22"/>
        </w:rPr>
      </w:pPr>
      <w:r>
        <w:rPr>
          <w:rFonts w:asciiTheme="minorHAnsi" w:hAnsiTheme="minorHAnsi" w:cstheme="minorHAnsi"/>
          <w:szCs w:val="22"/>
          <w:lang w:val="sv-SE"/>
        </w:rPr>
        <w:t xml:space="preserve">– Det är glädjande att vi klarar av att uppnå tillväxt på både översta och nedersta raden det andra kvartalet. Konkurrensen på marknaden är hård och priserna är pressade. Det är både förvärv och organisk tillväxt som bidrar till ökningen och vår verksamhet står sig stark på de flesta marknader. Särskilt stark tillväxt ser vi i Norden, säger koncernchef Per Kristian Jacobsen. </w:t>
      </w:r>
    </w:p>
    <w:p w14:paraId="4FFE855C" w14:textId="77777777" w:rsidR="00060F0D" w:rsidRDefault="00060B62" w:rsidP="00060F0D">
      <w:pPr>
        <w:pStyle w:val="Oformateradtext"/>
        <w:rPr>
          <w:rFonts w:asciiTheme="minorHAnsi" w:eastAsia="+mn-ea" w:hAnsiTheme="minorHAnsi" w:cstheme="minorHAnsi"/>
          <w:color w:val="000000"/>
          <w:kern w:val="24"/>
          <w:szCs w:val="22"/>
          <w:lang w:eastAsia="nb-NO"/>
        </w:rPr>
      </w:pPr>
      <w:r w:rsidRPr="004912F7">
        <w:rPr>
          <w:rFonts w:eastAsia="+mn-ea" w:cstheme="minorHAnsi"/>
          <w:b/>
          <w:bCs/>
          <w:color w:val="000000"/>
          <w:kern w:val="24"/>
          <w:szCs w:val="22"/>
          <w:lang w:val="sv-SE" w:eastAsia="nb-NO"/>
        </w:rPr>
        <w:br/>
      </w:r>
      <w:r w:rsidRPr="004912F7">
        <w:rPr>
          <w:rFonts w:eastAsia="+mn-ea" w:cstheme="minorHAnsi"/>
          <w:color w:val="000000"/>
          <w:kern w:val="24"/>
          <w:szCs w:val="22"/>
          <w:lang w:val="sv-SE" w:eastAsia="nb-NO"/>
        </w:rPr>
        <w:t xml:space="preserve">Under det första halvåret har Norconsult förvärvat företagen </w:t>
      </w:r>
      <w:r w:rsidRPr="004912F7">
        <w:rPr>
          <w:rFonts w:asciiTheme="minorHAnsi" w:hAnsiTheme="minorHAnsi" w:cstheme="minorHAnsi"/>
          <w:szCs w:val="22"/>
          <w:lang w:val="sv-SE"/>
        </w:rPr>
        <w:t>Nordic – Office of Architecture</w:t>
      </w:r>
      <w:r w:rsidRPr="004912F7">
        <w:rPr>
          <w:rFonts w:eastAsia="+mn-ea" w:cstheme="minorHAnsi"/>
          <w:color w:val="000000"/>
          <w:kern w:val="24"/>
          <w:szCs w:val="22"/>
          <w:lang w:val="sv-SE" w:eastAsia="nb-NO"/>
        </w:rPr>
        <w:t xml:space="preserve">, Monarken, Fundator, Sivilingeniør Anders Overrein, Tind &amp; Tyri arkitekter och Arkitektene Berg og Østvang. </w:t>
      </w:r>
    </w:p>
    <w:p w14:paraId="724EF921" w14:textId="77777777" w:rsidR="00060F0D" w:rsidRDefault="005B42AD" w:rsidP="00060F0D">
      <w:pPr>
        <w:pStyle w:val="Oformateradtext"/>
        <w:rPr>
          <w:rFonts w:cstheme="minorHAnsi"/>
          <w:bCs/>
          <w:lang w:eastAsia="da-DK"/>
        </w:rPr>
      </w:pPr>
    </w:p>
    <w:p w14:paraId="5AB8579B" w14:textId="77777777" w:rsidR="00406914" w:rsidRPr="00060F0D" w:rsidRDefault="00060B62" w:rsidP="00060F0D">
      <w:pPr>
        <w:pStyle w:val="Oformateradtext"/>
        <w:rPr>
          <w:rFonts w:asciiTheme="minorHAnsi" w:hAnsiTheme="minorHAnsi" w:cstheme="minorHAnsi"/>
          <w:szCs w:val="22"/>
          <w:lang w:eastAsia="da-DK"/>
        </w:rPr>
      </w:pPr>
      <w:r w:rsidRPr="004912F7">
        <w:rPr>
          <w:rFonts w:cstheme="minorHAnsi"/>
          <w:szCs w:val="22"/>
          <w:lang w:val="sv-SE" w:eastAsia="da-DK"/>
        </w:rPr>
        <w:t>I september stärkte Norconsult sin position i Danmark genom köpet av det danska konsultföretaget KAAI – Kærsgaard &amp; Andersen A/S. Förvärvet stärker Norconsults kompetens och kapacitet inom socialt bostadsbyggande och offentliga byggprojekt i Danmark.</w:t>
      </w:r>
    </w:p>
    <w:p w14:paraId="6D05AF72" w14:textId="77777777" w:rsidR="00406914" w:rsidRPr="004912F7" w:rsidRDefault="005B42AD" w:rsidP="00406914">
      <w:pPr>
        <w:spacing w:after="0" w:line="240" w:lineRule="auto"/>
        <w:contextualSpacing/>
        <w:rPr>
          <w:rFonts w:eastAsia="+mn-ea" w:cstheme="minorHAnsi"/>
          <w:color w:val="000000"/>
          <w:kern w:val="24"/>
          <w:lang w:eastAsia="nb-NO"/>
        </w:rPr>
      </w:pPr>
    </w:p>
    <w:p w14:paraId="0E2895F6" w14:textId="77777777" w:rsidR="004912F7" w:rsidRDefault="00060B62" w:rsidP="00406914">
      <w:pPr>
        <w:spacing w:after="0" w:line="240" w:lineRule="auto"/>
        <w:contextualSpacing/>
        <w:rPr>
          <w:rFonts w:eastAsia="+mn-ea" w:cstheme="minorHAnsi"/>
          <w:b/>
          <w:color w:val="000000"/>
          <w:kern w:val="24"/>
          <w:lang w:eastAsia="nb-NO"/>
        </w:rPr>
      </w:pPr>
      <w:r>
        <w:rPr>
          <w:rFonts w:eastAsia="+mn-ea" w:cstheme="minorHAnsi"/>
          <w:b/>
          <w:bCs/>
          <w:color w:val="000000"/>
          <w:kern w:val="24"/>
          <w:lang w:val="sv-SE" w:eastAsia="nb-NO"/>
        </w:rPr>
        <w:t>Full fart in i det andra halvåret</w:t>
      </w:r>
    </w:p>
    <w:p w14:paraId="460DC76C" w14:textId="77777777" w:rsidR="004912F7" w:rsidRDefault="00060B62" w:rsidP="003B0D61">
      <w:pPr>
        <w:rPr>
          <w:rFonts w:eastAsiaTheme="minorEastAsia" w:cstheme="minorHAnsi"/>
          <w:color w:val="000000" w:themeColor="text1"/>
          <w:kern w:val="24"/>
        </w:rPr>
      </w:pPr>
      <w:r>
        <w:rPr>
          <w:rFonts w:eastAsiaTheme="minorEastAsia" w:cstheme="minorHAnsi"/>
          <w:color w:val="000000" w:themeColor="text1"/>
          <w:kern w:val="24"/>
          <w:lang w:val="sv-SE"/>
        </w:rPr>
        <w:t>– Det andra halvåret har börjat bra och vi har vunnit flera stora och viktiga projekt. Rätt kompetens och förmågan att lyssna på kunderna har i kombination med smartare arbetsprocesser bidragit till att Norconsult stärkt sin konkurrenskraft under de senaste åren, säger Jacobsen.</w:t>
      </w:r>
    </w:p>
    <w:p w14:paraId="19A857E6" w14:textId="77777777" w:rsidR="004912F7" w:rsidRPr="004912F7" w:rsidRDefault="00060B62" w:rsidP="00406914">
      <w:pPr>
        <w:spacing w:after="0" w:line="240" w:lineRule="auto"/>
        <w:contextualSpacing/>
        <w:rPr>
          <w:rFonts w:cstheme="minorHAnsi"/>
          <w:bCs/>
        </w:rPr>
      </w:pPr>
      <w:r w:rsidRPr="004912F7">
        <w:rPr>
          <w:rFonts w:eastAsiaTheme="minorEastAsia" w:cstheme="minorHAnsi"/>
          <w:color w:val="000000" w:themeColor="text1"/>
          <w:kern w:val="24"/>
          <w:lang w:val="sv-SE" w:eastAsia="nb-NO"/>
        </w:rPr>
        <w:t>Nyligen vann företaget</w:t>
      </w:r>
      <w:r>
        <w:rPr>
          <w:rFonts w:cs="Calibri"/>
          <w:bCs/>
          <w:lang w:val="sv-SE"/>
        </w:rPr>
        <w:t xml:space="preserve"> upphandlingen gällande projektering av en ny flygplats </w:t>
      </w:r>
      <w:r w:rsidRPr="004912F7">
        <w:rPr>
          <w:rFonts w:eastAsiaTheme="minorEastAsia" w:cstheme="minorHAnsi"/>
          <w:color w:val="000000" w:themeColor="text1"/>
          <w:kern w:val="24"/>
          <w:lang w:val="sv-SE" w:eastAsia="nb-NO"/>
        </w:rPr>
        <w:t>i Bodø</w:t>
      </w:r>
      <w:r>
        <w:rPr>
          <w:rFonts w:cs="Calibri"/>
          <w:bCs/>
          <w:lang w:val="sv-SE"/>
        </w:rPr>
        <w:t xml:space="preserve">. Det är ett av de största transportlösningsprojekten i Norge. Dessutom tilldelades det projektteam som </w:t>
      </w:r>
      <w:r w:rsidRPr="004912F7">
        <w:rPr>
          <w:rFonts w:eastAsia="+mn-ea" w:cstheme="minorHAnsi"/>
          <w:color w:val="000000"/>
          <w:kern w:val="24"/>
          <w:lang w:val="sv-SE" w:eastAsia="nb-NO"/>
        </w:rPr>
        <w:t>Norconsult ingår i ett projekteringsuppdrag för nya Hammerfest sjukhus</w:t>
      </w:r>
      <w:r>
        <w:rPr>
          <w:rFonts w:cs="Calibri"/>
          <w:bCs/>
          <w:lang w:val="sv-SE"/>
        </w:rPr>
        <w:t>. Tillsammans med AF Gruppen är Norconsult också inbjudet att delta i konkretiseringsfasen av utbyggnaden av E39 mellan Kristiansand väst och Mandal öst.</w:t>
      </w:r>
    </w:p>
    <w:p w14:paraId="6A40C7FA" w14:textId="77777777" w:rsidR="004912F7" w:rsidRDefault="005B42AD" w:rsidP="004912F7">
      <w:pPr>
        <w:spacing w:after="0" w:line="240" w:lineRule="auto"/>
        <w:contextualSpacing/>
        <w:rPr>
          <w:rFonts w:eastAsia="+mn-ea" w:cstheme="minorHAnsi"/>
          <w:color w:val="000000"/>
          <w:kern w:val="24"/>
          <w:lang w:eastAsia="nb-NO"/>
        </w:rPr>
      </w:pPr>
    </w:p>
    <w:p w14:paraId="5244AF37" w14:textId="77777777" w:rsidR="003B0D61" w:rsidRDefault="00060B62" w:rsidP="003B0D61">
      <w:pPr>
        <w:spacing w:after="0" w:line="240" w:lineRule="auto"/>
        <w:contextualSpacing/>
        <w:rPr>
          <w:rFonts w:eastAsiaTheme="minorEastAsia" w:cstheme="minorHAnsi"/>
          <w:color w:val="000000" w:themeColor="text1"/>
          <w:kern w:val="24"/>
          <w:lang w:eastAsia="nb-NO"/>
        </w:rPr>
      </w:pPr>
      <w:r w:rsidRPr="00757F89">
        <w:rPr>
          <w:rFonts w:eastAsia="+mn-ea" w:cstheme="minorHAnsi"/>
          <w:color w:val="000000"/>
          <w:kern w:val="24"/>
          <w:lang w:val="sv-SE" w:eastAsia="nb-NO"/>
        </w:rPr>
        <w:t>Andra stora projekt som företaget arbetat med är</w:t>
      </w:r>
      <w:r w:rsidRPr="00757F89">
        <w:rPr>
          <w:rFonts w:eastAsiaTheme="minorEastAsia" w:cstheme="minorHAnsi"/>
          <w:color w:val="000000" w:themeColor="text1"/>
          <w:kern w:val="24"/>
          <w:lang w:val="sv-SE" w:eastAsia="nb-NO"/>
        </w:rPr>
        <w:t xml:space="preserve"> Bispevika, E18 Arendal-Tvedestrand, Ringeriksbanen och E16, InterCity Drammen-Kobbervikdalen, Carpe Diem demensby, Voldsløkka skola, Tolga kraftverk och Johan Sverdrup fas 2. </w:t>
      </w:r>
    </w:p>
    <w:p w14:paraId="3002B250" w14:textId="77777777" w:rsidR="001F475B" w:rsidRDefault="005B42AD" w:rsidP="003B0D61">
      <w:pPr>
        <w:spacing w:after="0" w:line="240" w:lineRule="auto"/>
        <w:contextualSpacing/>
        <w:rPr>
          <w:rFonts w:eastAsiaTheme="minorEastAsia" w:cstheme="minorHAnsi"/>
          <w:color w:val="000000" w:themeColor="text1"/>
          <w:kern w:val="24"/>
          <w:lang w:eastAsia="nb-NO"/>
        </w:rPr>
      </w:pPr>
    </w:p>
    <w:p w14:paraId="727F7F07" w14:textId="77777777" w:rsidR="00590FEC" w:rsidRDefault="00060B62" w:rsidP="003B0D61">
      <w:pPr>
        <w:spacing w:after="0" w:line="240" w:lineRule="auto"/>
        <w:contextualSpacing/>
        <w:rPr>
          <w:rFonts w:eastAsiaTheme="minorEastAsia" w:cstheme="minorHAnsi"/>
          <w:color w:val="000000" w:themeColor="text1"/>
          <w:kern w:val="24"/>
          <w:lang w:eastAsia="nb-NO"/>
        </w:rPr>
      </w:pPr>
      <w:r>
        <w:rPr>
          <w:rFonts w:eastAsiaTheme="minorEastAsia" w:cstheme="minorHAnsi"/>
          <w:color w:val="000000" w:themeColor="text1"/>
          <w:kern w:val="24"/>
          <w:lang w:val="sv-SE" w:eastAsia="nb-NO"/>
        </w:rPr>
        <w:t xml:space="preserve">Norconsult deltar även aktivt i samhällsdebatten. Under den norska motsvarigheten till Almedalsveckan (Arendalsuka) bjöd företaget in till debatt om styrning av godsflöde mellan sjöfart och järnväg. I augusti besökte den dåvarande transportministern Ketil Solvik-Olesen Norconsult för att lära sig mer om hur teknikkonsulter använder nya lösningar för att genomföra den norska regeringens transportplan. </w:t>
      </w:r>
    </w:p>
    <w:p w14:paraId="203912D3" w14:textId="77777777" w:rsidR="00375A2F" w:rsidRDefault="005B42AD" w:rsidP="00300E8B">
      <w:pPr>
        <w:spacing w:after="0" w:line="240" w:lineRule="auto"/>
        <w:contextualSpacing/>
        <w:rPr>
          <w:rFonts w:eastAsiaTheme="minorEastAsia" w:cstheme="minorHAnsi"/>
          <w:color w:val="000000" w:themeColor="text1"/>
          <w:kern w:val="24"/>
          <w:lang w:eastAsia="nb-NO"/>
        </w:rPr>
      </w:pPr>
    </w:p>
    <w:p w14:paraId="4893F60E" w14:textId="77777777" w:rsidR="00002094" w:rsidRDefault="00060B62" w:rsidP="00300E8B">
      <w:pPr>
        <w:spacing w:after="0" w:line="240" w:lineRule="auto"/>
        <w:contextualSpacing/>
        <w:rPr>
          <w:rFonts w:eastAsiaTheme="minorEastAsia" w:cstheme="minorHAnsi"/>
          <w:color w:val="000000" w:themeColor="text1"/>
          <w:kern w:val="24"/>
          <w:lang w:val="sv-SE" w:eastAsia="nb-NO"/>
        </w:rPr>
      </w:pPr>
      <w:r>
        <w:rPr>
          <w:rFonts w:eastAsiaTheme="minorEastAsia" w:cstheme="minorHAnsi"/>
          <w:color w:val="000000" w:themeColor="text1"/>
          <w:kern w:val="24"/>
          <w:lang w:val="sv-SE" w:eastAsia="nb-NO"/>
        </w:rPr>
        <w:t xml:space="preserve">Den 25 september arrangerar Norconsult sin årliga samhällskonferens i Bærums kulturhus. Årets tema är "Grön horisont – vägen till framtiden". På konferensen ska man diskutera vad vi ska leva av i framtiden och hur vi ska leva. </w:t>
      </w:r>
    </w:p>
    <w:p w14:paraId="6F5342E9" w14:textId="77777777" w:rsidR="00E07CAA" w:rsidRDefault="00E07CAA" w:rsidP="00300E8B">
      <w:pPr>
        <w:spacing w:after="0" w:line="240" w:lineRule="auto"/>
        <w:contextualSpacing/>
        <w:rPr>
          <w:rFonts w:eastAsiaTheme="minorEastAsia" w:cstheme="minorHAnsi"/>
          <w:color w:val="000000" w:themeColor="text1"/>
          <w:kern w:val="24"/>
          <w:lang w:eastAsia="nb-NO"/>
        </w:rPr>
      </w:pPr>
    </w:p>
    <w:p w14:paraId="683ADDF4" w14:textId="77777777" w:rsidR="001F1EDA" w:rsidRPr="00E8284A" w:rsidRDefault="00060B62" w:rsidP="00300E8B">
      <w:pPr>
        <w:spacing w:after="0" w:line="240" w:lineRule="auto"/>
        <w:contextualSpacing/>
        <w:rPr>
          <w:rFonts w:cstheme="minorHAnsi"/>
          <w:b/>
        </w:rPr>
      </w:pPr>
      <w:r w:rsidRPr="00E8284A">
        <w:rPr>
          <w:rFonts w:cstheme="minorHAnsi"/>
          <w:b/>
          <w:bCs/>
          <w:lang w:val="sv-SE"/>
        </w:rPr>
        <w:t xml:space="preserve">Bildtext: </w:t>
      </w:r>
    </w:p>
    <w:p w14:paraId="3561B67A" w14:textId="77777777" w:rsidR="001F1EDA" w:rsidRPr="004912F7" w:rsidRDefault="00060B62" w:rsidP="00300E8B">
      <w:pPr>
        <w:spacing w:after="0" w:line="240" w:lineRule="auto"/>
        <w:contextualSpacing/>
        <w:rPr>
          <w:rFonts w:cstheme="minorHAnsi"/>
        </w:rPr>
      </w:pPr>
      <w:r>
        <w:rPr>
          <w:rFonts w:cstheme="minorHAnsi"/>
          <w:lang w:val="sv-SE"/>
        </w:rPr>
        <w:t>Koncernchef Per Kristian Jacobsen är mycket nöjd med att Norconsult ökade omsättningen och förbättrade resultatet det andra kvartalet 2018</w:t>
      </w:r>
      <w:bookmarkStart w:id="0" w:name="_GoBack"/>
      <w:bookmarkEnd w:id="0"/>
      <w:r>
        <w:rPr>
          <w:rFonts w:cstheme="minorHAnsi"/>
          <w:lang w:val="sv-SE"/>
        </w:rPr>
        <w:t xml:space="preserve">. </w:t>
      </w:r>
    </w:p>
    <w:sectPr w:rsidR="001F1EDA" w:rsidRPr="004912F7" w:rsidSect="0053648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C924C" w14:textId="77777777" w:rsidR="00060B62" w:rsidRDefault="00060B62" w:rsidP="0053648F">
      <w:pPr>
        <w:spacing w:after="0" w:line="240" w:lineRule="auto"/>
      </w:pPr>
      <w:r>
        <w:separator/>
      </w:r>
    </w:p>
  </w:endnote>
  <w:endnote w:type="continuationSeparator" w:id="0">
    <w:p w14:paraId="76788989" w14:textId="77777777" w:rsidR="00060B62" w:rsidRDefault="00060B62" w:rsidP="00536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24230" w14:textId="77777777" w:rsidR="00060B62" w:rsidRDefault="00060B62" w:rsidP="0053648F">
      <w:pPr>
        <w:spacing w:after="0" w:line="240" w:lineRule="auto"/>
      </w:pPr>
      <w:r>
        <w:separator/>
      </w:r>
    </w:p>
  </w:footnote>
  <w:footnote w:type="continuationSeparator" w:id="0">
    <w:p w14:paraId="6B9B5D1D" w14:textId="77777777" w:rsidR="00060B62" w:rsidRDefault="00060B62" w:rsidP="00536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A09DD" w14:textId="77777777" w:rsidR="00A42CE1" w:rsidRDefault="00060B62">
    <w:pPr>
      <w:pStyle w:val="Sidhuvud"/>
    </w:pPr>
    <w:r>
      <w:rPr>
        <w:noProof/>
        <w:lang w:val="sv-SE" w:eastAsia="sv-SE"/>
      </w:rPr>
      <w:drawing>
        <wp:inline distT="0" distB="0" distL="0" distR="0" wp14:anchorId="3519721D" wp14:editId="2C3B8EAA">
          <wp:extent cx="1257300" cy="261620"/>
          <wp:effectExtent l="0" t="0" r="0" b="508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257300" cy="261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1FD"/>
    <w:multiLevelType w:val="hybridMultilevel"/>
    <w:tmpl w:val="7DCC8A4E"/>
    <w:lvl w:ilvl="0" w:tplc="BCC2F250">
      <w:numFmt w:val="bullet"/>
      <w:lvlText w:val="-"/>
      <w:lvlJc w:val="left"/>
      <w:pPr>
        <w:ind w:left="720" w:hanging="360"/>
      </w:pPr>
      <w:rPr>
        <w:rFonts w:ascii="Calibri" w:eastAsiaTheme="minorHAnsi" w:hAnsi="Calibri" w:cs="Calibri" w:hint="default"/>
      </w:rPr>
    </w:lvl>
    <w:lvl w:ilvl="1" w:tplc="6A0AA27E" w:tentative="1">
      <w:start w:val="1"/>
      <w:numFmt w:val="bullet"/>
      <w:lvlText w:val="o"/>
      <w:lvlJc w:val="left"/>
      <w:pPr>
        <w:ind w:left="1440" w:hanging="360"/>
      </w:pPr>
      <w:rPr>
        <w:rFonts w:ascii="Courier New" w:hAnsi="Courier New" w:cs="Courier New" w:hint="default"/>
      </w:rPr>
    </w:lvl>
    <w:lvl w:ilvl="2" w:tplc="41E2DE3A" w:tentative="1">
      <w:start w:val="1"/>
      <w:numFmt w:val="bullet"/>
      <w:lvlText w:val=""/>
      <w:lvlJc w:val="left"/>
      <w:pPr>
        <w:ind w:left="2160" w:hanging="360"/>
      </w:pPr>
      <w:rPr>
        <w:rFonts w:ascii="Wingdings" w:hAnsi="Wingdings" w:hint="default"/>
      </w:rPr>
    </w:lvl>
    <w:lvl w:ilvl="3" w:tplc="17CA166E" w:tentative="1">
      <w:start w:val="1"/>
      <w:numFmt w:val="bullet"/>
      <w:lvlText w:val=""/>
      <w:lvlJc w:val="left"/>
      <w:pPr>
        <w:ind w:left="2880" w:hanging="360"/>
      </w:pPr>
      <w:rPr>
        <w:rFonts w:ascii="Symbol" w:hAnsi="Symbol" w:hint="default"/>
      </w:rPr>
    </w:lvl>
    <w:lvl w:ilvl="4" w:tplc="E6DE5DC6" w:tentative="1">
      <w:start w:val="1"/>
      <w:numFmt w:val="bullet"/>
      <w:lvlText w:val="o"/>
      <w:lvlJc w:val="left"/>
      <w:pPr>
        <w:ind w:left="3600" w:hanging="360"/>
      </w:pPr>
      <w:rPr>
        <w:rFonts w:ascii="Courier New" w:hAnsi="Courier New" w:cs="Courier New" w:hint="default"/>
      </w:rPr>
    </w:lvl>
    <w:lvl w:ilvl="5" w:tplc="CEEE2D5C" w:tentative="1">
      <w:start w:val="1"/>
      <w:numFmt w:val="bullet"/>
      <w:lvlText w:val=""/>
      <w:lvlJc w:val="left"/>
      <w:pPr>
        <w:ind w:left="4320" w:hanging="360"/>
      </w:pPr>
      <w:rPr>
        <w:rFonts w:ascii="Wingdings" w:hAnsi="Wingdings" w:hint="default"/>
      </w:rPr>
    </w:lvl>
    <w:lvl w:ilvl="6" w:tplc="6B168E02" w:tentative="1">
      <w:start w:val="1"/>
      <w:numFmt w:val="bullet"/>
      <w:lvlText w:val=""/>
      <w:lvlJc w:val="left"/>
      <w:pPr>
        <w:ind w:left="5040" w:hanging="360"/>
      </w:pPr>
      <w:rPr>
        <w:rFonts w:ascii="Symbol" w:hAnsi="Symbol" w:hint="default"/>
      </w:rPr>
    </w:lvl>
    <w:lvl w:ilvl="7" w:tplc="49BE5212" w:tentative="1">
      <w:start w:val="1"/>
      <w:numFmt w:val="bullet"/>
      <w:lvlText w:val="o"/>
      <w:lvlJc w:val="left"/>
      <w:pPr>
        <w:ind w:left="5760" w:hanging="360"/>
      </w:pPr>
      <w:rPr>
        <w:rFonts w:ascii="Courier New" w:hAnsi="Courier New" w:cs="Courier New" w:hint="default"/>
      </w:rPr>
    </w:lvl>
    <w:lvl w:ilvl="8" w:tplc="1132EA86" w:tentative="1">
      <w:start w:val="1"/>
      <w:numFmt w:val="bullet"/>
      <w:lvlText w:val=""/>
      <w:lvlJc w:val="left"/>
      <w:pPr>
        <w:ind w:left="6480" w:hanging="360"/>
      </w:pPr>
      <w:rPr>
        <w:rFonts w:ascii="Wingdings" w:hAnsi="Wingdings" w:hint="default"/>
      </w:rPr>
    </w:lvl>
  </w:abstractNum>
  <w:abstractNum w:abstractNumId="1" w15:restartNumberingAfterBreak="0">
    <w:nsid w:val="10EB3501"/>
    <w:multiLevelType w:val="hybridMultilevel"/>
    <w:tmpl w:val="2502112A"/>
    <w:lvl w:ilvl="0" w:tplc="2B48E43C">
      <w:numFmt w:val="bullet"/>
      <w:lvlText w:val="-"/>
      <w:lvlJc w:val="left"/>
      <w:pPr>
        <w:ind w:left="720" w:hanging="360"/>
      </w:pPr>
      <w:rPr>
        <w:rFonts w:ascii="Calibri" w:eastAsiaTheme="minorEastAsia" w:hAnsi="Calibri" w:cs="Calibri" w:hint="default"/>
      </w:rPr>
    </w:lvl>
    <w:lvl w:ilvl="1" w:tplc="6F3E1E74" w:tentative="1">
      <w:start w:val="1"/>
      <w:numFmt w:val="bullet"/>
      <w:lvlText w:val="o"/>
      <w:lvlJc w:val="left"/>
      <w:pPr>
        <w:ind w:left="1440" w:hanging="360"/>
      </w:pPr>
      <w:rPr>
        <w:rFonts w:ascii="Courier New" w:hAnsi="Courier New" w:cs="Courier New" w:hint="default"/>
      </w:rPr>
    </w:lvl>
    <w:lvl w:ilvl="2" w:tplc="AB6E1ECA" w:tentative="1">
      <w:start w:val="1"/>
      <w:numFmt w:val="bullet"/>
      <w:lvlText w:val=""/>
      <w:lvlJc w:val="left"/>
      <w:pPr>
        <w:ind w:left="2160" w:hanging="360"/>
      </w:pPr>
      <w:rPr>
        <w:rFonts w:ascii="Wingdings" w:hAnsi="Wingdings" w:hint="default"/>
      </w:rPr>
    </w:lvl>
    <w:lvl w:ilvl="3" w:tplc="7AFC8DC2" w:tentative="1">
      <w:start w:val="1"/>
      <w:numFmt w:val="bullet"/>
      <w:lvlText w:val=""/>
      <w:lvlJc w:val="left"/>
      <w:pPr>
        <w:ind w:left="2880" w:hanging="360"/>
      </w:pPr>
      <w:rPr>
        <w:rFonts w:ascii="Symbol" w:hAnsi="Symbol" w:hint="default"/>
      </w:rPr>
    </w:lvl>
    <w:lvl w:ilvl="4" w:tplc="C2EEBC02" w:tentative="1">
      <w:start w:val="1"/>
      <w:numFmt w:val="bullet"/>
      <w:lvlText w:val="o"/>
      <w:lvlJc w:val="left"/>
      <w:pPr>
        <w:ind w:left="3600" w:hanging="360"/>
      </w:pPr>
      <w:rPr>
        <w:rFonts w:ascii="Courier New" w:hAnsi="Courier New" w:cs="Courier New" w:hint="default"/>
      </w:rPr>
    </w:lvl>
    <w:lvl w:ilvl="5" w:tplc="492EDAF2" w:tentative="1">
      <w:start w:val="1"/>
      <w:numFmt w:val="bullet"/>
      <w:lvlText w:val=""/>
      <w:lvlJc w:val="left"/>
      <w:pPr>
        <w:ind w:left="4320" w:hanging="360"/>
      </w:pPr>
      <w:rPr>
        <w:rFonts w:ascii="Wingdings" w:hAnsi="Wingdings" w:hint="default"/>
      </w:rPr>
    </w:lvl>
    <w:lvl w:ilvl="6" w:tplc="1332AD26" w:tentative="1">
      <w:start w:val="1"/>
      <w:numFmt w:val="bullet"/>
      <w:lvlText w:val=""/>
      <w:lvlJc w:val="left"/>
      <w:pPr>
        <w:ind w:left="5040" w:hanging="360"/>
      </w:pPr>
      <w:rPr>
        <w:rFonts w:ascii="Symbol" w:hAnsi="Symbol" w:hint="default"/>
      </w:rPr>
    </w:lvl>
    <w:lvl w:ilvl="7" w:tplc="3CE0BB6E" w:tentative="1">
      <w:start w:val="1"/>
      <w:numFmt w:val="bullet"/>
      <w:lvlText w:val="o"/>
      <w:lvlJc w:val="left"/>
      <w:pPr>
        <w:ind w:left="5760" w:hanging="360"/>
      </w:pPr>
      <w:rPr>
        <w:rFonts w:ascii="Courier New" w:hAnsi="Courier New" w:cs="Courier New" w:hint="default"/>
      </w:rPr>
    </w:lvl>
    <w:lvl w:ilvl="8" w:tplc="DA3CF2CA" w:tentative="1">
      <w:start w:val="1"/>
      <w:numFmt w:val="bullet"/>
      <w:lvlText w:val=""/>
      <w:lvlJc w:val="left"/>
      <w:pPr>
        <w:ind w:left="6480" w:hanging="360"/>
      </w:pPr>
      <w:rPr>
        <w:rFonts w:ascii="Wingdings" w:hAnsi="Wingdings" w:hint="default"/>
      </w:rPr>
    </w:lvl>
  </w:abstractNum>
  <w:abstractNum w:abstractNumId="2" w15:restartNumberingAfterBreak="0">
    <w:nsid w:val="18EA0582"/>
    <w:multiLevelType w:val="hybridMultilevel"/>
    <w:tmpl w:val="094CF90E"/>
    <w:lvl w:ilvl="0" w:tplc="D40C61F2">
      <w:start w:val="1"/>
      <w:numFmt w:val="bullet"/>
      <w:lvlText w:val=""/>
      <w:lvlJc w:val="left"/>
      <w:pPr>
        <w:tabs>
          <w:tab w:val="num" w:pos="720"/>
        </w:tabs>
        <w:ind w:left="720" w:hanging="360"/>
      </w:pPr>
      <w:rPr>
        <w:rFonts w:ascii="Symbol" w:hAnsi="Symbol" w:hint="default"/>
      </w:rPr>
    </w:lvl>
    <w:lvl w:ilvl="1" w:tplc="FE967ABE">
      <w:start w:val="302"/>
      <w:numFmt w:val="bullet"/>
      <w:lvlText w:val=""/>
      <w:lvlJc w:val="left"/>
      <w:pPr>
        <w:tabs>
          <w:tab w:val="num" w:pos="1440"/>
        </w:tabs>
        <w:ind w:left="1440" w:hanging="360"/>
      </w:pPr>
      <w:rPr>
        <w:rFonts w:ascii="Symbol" w:hAnsi="Symbol" w:hint="default"/>
      </w:rPr>
    </w:lvl>
    <w:lvl w:ilvl="2" w:tplc="5172DC94" w:tentative="1">
      <w:start w:val="1"/>
      <w:numFmt w:val="bullet"/>
      <w:lvlText w:val=""/>
      <w:lvlJc w:val="left"/>
      <w:pPr>
        <w:tabs>
          <w:tab w:val="num" w:pos="2160"/>
        </w:tabs>
        <w:ind w:left="2160" w:hanging="360"/>
      </w:pPr>
      <w:rPr>
        <w:rFonts w:ascii="Symbol" w:hAnsi="Symbol" w:hint="default"/>
      </w:rPr>
    </w:lvl>
    <w:lvl w:ilvl="3" w:tplc="DD4C718C" w:tentative="1">
      <w:start w:val="1"/>
      <w:numFmt w:val="bullet"/>
      <w:lvlText w:val=""/>
      <w:lvlJc w:val="left"/>
      <w:pPr>
        <w:tabs>
          <w:tab w:val="num" w:pos="2880"/>
        </w:tabs>
        <w:ind w:left="2880" w:hanging="360"/>
      </w:pPr>
      <w:rPr>
        <w:rFonts w:ascii="Symbol" w:hAnsi="Symbol" w:hint="default"/>
      </w:rPr>
    </w:lvl>
    <w:lvl w:ilvl="4" w:tplc="6100A8FE" w:tentative="1">
      <w:start w:val="1"/>
      <w:numFmt w:val="bullet"/>
      <w:lvlText w:val=""/>
      <w:lvlJc w:val="left"/>
      <w:pPr>
        <w:tabs>
          <w:tab w:val="num" w:pos="3600"/>
        </w:tabs>
        <w:ind w:left="3600" w:hanging="360"/>
      </w:pPr>
      <w:rPr>
        <w:rFonts w:ascii="Symbol" w:hAnsi="Symbol" w:hint="default"/>
      </w:rPr>
    </w:lvl>
    <w:lvl w:ilvl="5" w:tplc="9FCE3716" w:tentative="1">
      <w:start w:val="1"/>
      <w:numFmt w:val="bullet"/>
      <w:lvlText w:val=""/>
      <w:lvlJc w:val="left"/>
      <w:pPr>
        <w:tabs>
          <w:tab w:val="num" w:pos="4320"/>
        </w:tabs>
        <w:ind w:left="4320" w:hanging="360"/>
      </w:pPr>
      <w:rPr>
        <w:rFonts w:ascii="Symbol" w:hAnsi="Symbol" w:hint="default"/>
      </w:rPr>
    </w:lvl>
    <w:lvl w:ilvl="6" w:tplc="C3EA7DD4" w:tentative="1">
      <w:start w:val="1"/>
      <w:numFmt w:val="bullet"/>
      <w:lvlText w:val=""/>
      <w:lvlJc w:val="left"/>
      <w:pPr>
        <w:tabs>
          <w:tab w:val="num" w:pos="5040"/>
        </w:tabs>
        <w:ind w:left="5040" w:hanging="360"/>
      </w:pPr>
      <w:rPr>
        <w:rFonts w:ascii="Symbol" w:hAnsi="Symbol" w:hint="default"/>
      </w:rPr>
    </w:lvl>
    <w:lvl w:ilvl="7" w:tplc="8F3C56B6" w:tentative="1">
      <w:start w:val="1"/>
      <w:numFmt w:val="bullet"/>
      <w:lvlText w:val=""/>
      <w:lvlJc w:val="left"/>
      <w:pPr>
        <w:tabs>
          <w:tab w:val="num" w:pos="5760"/>
        </w:tabs>
        <w:ind w:left="5760" w:hanging="360"/>
      </w:pPr>
      <w:rPr>
        <w:rFonts w:ascii="Symbol" w:hAnsi="Symbol" w:hint="default"/>
      </w:rPr>
    </w:lvl>
    <w:lvl w:ilvl="8" w:tplc="F536DA4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316451C"/>
    <w:multiLevelType w:val="hybridMultilevel"/>
    <w:tmpl w:val="2834B016"/>
    <w:lvl w:ilvl="0" w:tplc="B8343E5C">
      <w:start w:val="1"/>
      <w:numFmt w:val="bullet"/>
      <w:lvlText w:val=""/>
      <w:lvlJc w:val="left"/>
      <w:pPr>
        <w:tabs>
          <w:tab w:val="num" w:pos="720"/>
        </w:tabs>
        <w:ind w:left="720" w:hanging="360"/>
      </w:pPr>
      <w:rPr>
        <w:rFonts w:ascii="Wingdings 3" w:hAnsi="Wingdings 3" w:hint="default"/>
      </w:rPr>
    </w:lvl>
    <w:lvl w:ilvl="1" w:tplc="E084A33A" w:tentative="1">
      <w:start w:val="1"/>
      <w:numFmt w:val="bullet"/>
      <w:lvlText w:val=""/>
      <w:lvlJc w:val="left"/>
      <w:pPr>
        <w:tabs>
          <w:tab w:val="num" w:pos="1440"/>
        </w:tabs>
        <w:ind w:left="1440" w:hanging="360"/>
      </w:pPr>
      <w:rPr>
        <w:rFonts w:ascii="Wingdings 3" w:hAnsi="Wingdings 3" w:hint="default"/>
      </w:rPr>
    </w:lvl>
    <w:lvl w:ilvl="2" w:tplc="4F386DD0" w:tentative="1">
      <w:start w:val="1"/>
      <w:numFmt w:val="bullet"/>
      <w:lvlText w:val=""/>
      <w:lvlJc w:val="left"/>
      <w:pPr>
        <w:tabs>
          <w:tab w:val="num" w:pos="2160"/>
        </w:tabs>
        <w:ind w:left="2160" w:hanging="360"/>
      </w:pPr>
      <w:rPr>
        <w:rFonts w:ascii="Wingdings 3" w:hAnsi="Wingdings 3" w:hint="default"/>
      </w:rPr>
    </w:lvl>
    <w:lvl w:ilvl="3" w:tplc="4DFC1DFC" w:tentative="1">
      <w:start w:val="1"/>
      <w:numFmt w:val="bullet"/>
      <w:lvlText w:val=""/>
      <w:lvlJc w:val="left"/>
      <w:pPr>
        <w:tabs>
          <w:tab w:val="num" w:pos="2880"/>
        </w:tabs>
        <w:ind w:left="2880" w:hanging="360"/>
      </w:pPr>
      <w:rPr>
        <w:rFonts w:ascii="Wingdings 3" w:hAnsi="Wingdings 3" w:hint="default"/>
      </w:rPr>
    </w:lvl>
    <w:lvl w:ilvl="4" w:tplc="B45A5226" w:tentative="1">
      <w:start w:val="1"/>
      <w:numFmt w:val="bullet"/>
      <w:lvlText w:val=""/>
      <w:lvlJc w:val="left"/>
      <w:pPr>
        <w:tabs>
          <w:tab w:val="num" w:pos="3600"/>
        </w:tabs>
        <w:ind w:left="3600" w:hanging="360"/>
      </w:pPr>
      <w:rPr>
        <w:rFonts w:ascii="Wingdings 3" w:hAnsi="Wingdings 3" w:hint="default"/>
      </w:rPr>
    </w:lvl>
    <w:lvl w:ilvl="5" w:tplc="FE442A22" w:tentative="1">
      <w:start w:val="1"/>
      <w:numFmt w:val="bullet"/>
      <w:lvlText w:val=""/>
      <w:lvlJc w:val="left"/>
      <w:pPr>
        <w:tabs>
          <w:tab w:val="num" w:pos="4320"/>
        </w:tabs>
        <w:ind w:left="4320" w:hanging="360"/>
      </w:pPr>
      <w:rPr>
        <w:rFonts w:ascii="Wingdings 3" w:hAnsi="Wingdings 3" w:hint="default"/>
      </w:rPr>
    </w:lvl>
    <w:lvl w:ilvl="6" w:tplc="9D2293BA" w:tentative="1">
      <w:start w:val="1"/>
      <w:numFmt w:val="bullet"/>
      <w:lvlText w:val=""/>
      <w:lvlJc w:val="left"/>
      <w:pPr>
        <w:tabs>
          <w:tab w:val="num" w:pos="5040"/>
        </w:tabs>
        <w:ind w:left="5040" w:hanging="360"/>
      </w:pPr>
      <w:rPr>
        <w:rFonts w:ascii="Wingdings 3" w:hAnsi="Wingdings 3" w:hint="default"/>
      </w:rPr>
    </w:lvl>
    <w:lvl w:ilvl="7" w:tplc="C6D0C3F8" w:tentative="1">
      <w:start w:val="1"/>
      <w:numFmt w:val="bullet"/>
      <w:lvlText w:val=""/>
      <w:lvlJc w:val="left"/>
      <w:pPr>
        <w:tabs>
          <w:tab w:val="num" w:pos="5760"/>
        </w:tabs>
        <w:ind w:left="5760" w:hanging="360"/>
      </w:pPr>
      <w:rPr>
        <w:rFonts w:ascii="Wingdings 3" w:hAnsi="Wingdings 3" w:hint="default"/>
      </w:rPr>
    </w:lvl>
    <w:lvl w:ilvl="8" w:tplc="87D0CF0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0DA486A"/>
    <w:multiLevelType w:val="hybridMultilevel"/>
    <w:tmpl w:val="A0F8EF9A"/>
    <w:lvl w:ilvl="0" w:tplc="7638A6A6">
      <w:start w:val="1"/>
      <w:numFmt w:val="bullet"/>
      <w:lvlText w:val=""/>
      <w:lvlJc w:val="left"/>
      <w:pPr>
        <w:tabs>
          <w:tab w:val="num" w:pos="720"/>
        </w:tabs>
        <w:ind w:left="720" w:hanging="360"/>
      </w:pPr>
      <w:rPr>
        <w:rFonts w:ascii="Symbol" w:hAnsi="Symbol" w:hint="default"/>
      </w:rPr>
    </w:lvl>
    <w:lvl w:ilvl="1" w:tplc="C5643806">
      <w:start w:val="302"/>
      <w:numFmt w:val="bullet"/>
      <w:lvlText w:val=""/>
      <w:lvlJc w:val="left"/>
      <w:pPr>
        <w:tabs>
          <w:tab w:val="num" w:pos="1440"/>
        </w:tabs>
        <w:ind w:left="1440" w:hanging="360"/>
      </w:pPr>
      <w:rPr>
        <w:rFonts w:ascii="Symbol" w:hAnsi="Symbol" w:hint="default"/>
      </w:rPr>
    </w:lvl>
    <w:lvl w:ilvl="2" w:tplc="863E6E46" w:tentative="1">
      <w:start w:val="1"/>
      <w:numFmt w:val="bullet"/>
      <w:lvlText w:val=""/>
      <w:lvlJc w:val="left"/>
      <w:pPr>
        <w:tabs>
          <w:tab w:val="num" w:pos="2160"/>
        </w:tabs>
        <w:ind w:left="2160" w:hanging="360"/>
      </w:pPr>
      <w:rPr>
        <w:rFonts w:ascii="Symbol" w:hAnsi="Symbol" w:hint="default"/>
      </w:rPr>
    </w:lvl>
    <w:lvl w:ilvl="3" w:tplc="D8EC579E" w:tentative="1">
      <w:start w:val="1"/>
      <w:numFmt w:val="bullet"/>
      <w:lvlText w:val=""/>
      <w:lvlJc w:val="left"/>
      <w:pPr>
        <w:tabs>
          <w:tab w:val="num" w:pos="2880"/>
        </w:tabs>
        <w:ind w:left="2880" w:hanging="360"/>
      </w:pPr>
      <w:rPr>
        <w:rFonts w:ascii="Symbol" w:hAnsi="Symbol" w:hint="default"/>
      </w:rPr>
    </w:lvl>
    <w:lvl w:ilvl="4" w:tplc="DFF66DFC" w:tentative="1">
      <w:start w:val="1"/>
      <w:numFmt w:val="bullet"/>
      <w:lvlText w:val=""/>
      <w:lvlJc w:val="left"/>
      <w:pPr>
        <w:tabs>
          <w:tab w:val="num" w:pos="3600"/>
        </w:tabs>
        <w:ind w:left="3600" w:hanging="360"/>
      </w:pPr>
      <w:rPr>
        <w:rFonts w:ascii="Symbol" w:hAnsi="Symbol" w:hint="default"/>
      </w:rPr>
    </w:lvl>
    <w:lvl w:ilvl="5" w:tplc="D40C600A" w:tentative="1">
      <w:start w:val="1"/>
      <w:numFmt w:val="bullet"/>
      <w:lvlText w:val=""/>
      <w:lvlJc w:val="left"/>
      <w:pPr>
        <w:tabs>
          <w:tab w:val="num" w:pos="4320"/>
        </w:tabs>
        <w:ind w:left="4320" w:hanging="360"/>
      </w:pPr>
      <w:rPr>
        <w:rFonts w:ascii="Symbol" w:hAnsi="Symbol" w:hint="default"/>
      </w:rPr>
    </w:lvl>
    <w:lvl w:ilvl="6" w:tplc="D2686B16" w:tentative="1">
      <w:start w:val="1"/>
      <w:numFmt w:val="bullet"/>
      <w:lvlText w:val=""/>
      <w:lvlJc w:val="left"/>
      <w:pPr>
        <w:tabs>
          <w:tab w:val="num" w:pos="5040"/>
        </w:tabs>
        <w:ind w:left="5040" w:hanging="360"/>
      </w:pPr>
      <w:rPr>
        <w:rFonts w:ascii="Symbol" w:hAnsi="Symbol" w:hint="default"/>
      </w:rPr>
    </w:lvl>
    <w:lvl w:ilvl="7" w:tplc="A3906432" w:tentative="1">
      <w:start w:val="1"/>
      <w:numFmt w:val="bullet"/>
      <w:lvlText w:val=""/>
      <w:lvlJc w:val="left"/>
      <w:pPr>
        <w:tabs>
          <w:tab w:val="num" w:pos="5760"/>
        </w:tabs>
        <w:ind w:left="5760" w:hanging="360"/>
      </w:pPr>
      <w:rPr>
        <w:rFonts w:ascii="Symbol" w:hAnsi="Symbol" w:hint="default"/>
      </w:rPr>
    </w:lvl>
    <w:lvl w:ilvl="8" w:tplc="3806A85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E5634DF"/>
    <w:multiLevelType w:val="hybridMultilevel"/>
    <w:tmpl w:val="0A2C7D12"/>
    <w:lvl w:ilvl="0" w:tplc="85023A72">
      <w:start w:val="1"/>
      <w:numFmt w:val="bullet"/>
      <w:lvlText w:val=""/>
      <w:lvlJc w:val="left"/>
      <w:pPr>
        <w:tabs>
          <w:tab w:val="num" w:pos="720"/>
        </w:tabs>
        <w:ind w:left="720" w:hanging="360"/>
      </w:pPr>
      <w:rPr>
        <w:rFonts w:ascii="Symbol" w:hAnsi="Symbol" w:hint="default"/>
      </w:rPr>
    </w:lvl>
    <w:lvl w:ilvl="1" w:tplc="B6C08F60">
      <w:start w:val="1"/>
      <w:numFmt w:val="bullet"/>
      <w:lvlText w:val=""/>
      <w:lvlJc w:val="left"/>
      <w:pPr>
        <w:tabs>
          <w:tab w:val="num" w:pos="1440"/>
        </w:tabs>
        <w:ind w:left="1440" w:hanging="360"/>
      </w:pPr>
      <w:rPr>
        <w:rFonts w:ascii="Symbol" w:hAnsi="Symbol" w:hint="default"/>
      </w:rPr>
    </w:lvl>
    <w:lvl w:ilvl="2" w:tplc="BDE20770" w:tentative="1">
      <w:start w:val="1"/>
      <w:numFmt w:val="bullet"/>
      <w:lvlText w:val=""/>
      <w:lvlJc w:val="left"/>
      <w:pPr>
        <w:tabs>
          <w:tab w:val="num" w:pos="2160"/>
        </w:tabs>
        <w:ind w:left="2160" w:hanging="360"/>
      </w:pPr>
      <w:rPr>
        <w:rFonts w:ascii="Symbol" w:hAnsi="Symbol" w:hint="default"/>
      </w:rPr>
    </w:lvl>
    <w:lvl w:ilvl="3" w:tplc="8C74E8E0" w:tentative="1">
      <w:start w:val="1"/>
      <w:numFmt w:val="bullet"/>
      <w:lvlText w:val=""/>
      <w:lvlJc w:val="left"/>
      <w:pPr>
        <w:tabs>
          <w:tab w:val="num" w:pos="2880"/>
        </w:tabs>
        <w:ind w:left="2880" w:hanging="360"/>
      </w:pPr>
      <w:rPr>
        <w:rFonts w:ascii="Symbol" w:hAnsi="Symbol" w:hint="default"/>
      </w:rPr>
    </w:lvl>
    <w:lvl w:ilvl="4" w:tplc="566A90C0" w:tentative="1">
      <w:start w:val="1"/>
      <w:numFmt w:val="bullet"/>
      <w:lvlText w:val=""/>
      <w:lvlJc w:val="left"/>
      <w:pPr>
        <w:tabs>
          <w:tab w:val="num" w:pos="3600"/>
        </w:tabs>
        <w:ind w:left="3600" w:hanging="360"/>
      </w:pPr>
      <w:rPr>
        <w:rFonts w:ascii="Symbol" w:hAnsi="Symbol" w:hint="default"/>
      </w:rPr>
    </w:lvl>
    <w:lvl w:ilvl="5" w:tplc="C0480444" w:tentative="1">
      <w:start w:val="1"/>
      <w:numFmt w:val="bullet"/>
      <w:lvlText w:val=""/>
      <w:lvlJc w:val="left"/>
      <w:pPr>
        <w:tabs>
          <w:tab w:val="num" w:pos="4320"/>
        </w:tabs>
        <w:ind w:left="4320" w:hanging="360"/>
      </w:pPr>
      <w:rPr>
        <w:rFonts w:ascii="Symbol" w:hAnsi="Symbol" w:hint="default"/>
      </w:rPr>
    </w:lvl>
    <w:lvl w:ilvl="6" w:tplc="23AA9B60" w:tentative="1">
      <w:start w:val="1"/>
      <w:numFmt w:val="bullet"/>
      <w:lvlText w:val=""/>
      <w:lvlJc w:val="left"/>
      <w:pPr>
        <w:tabs>
          <w:tab w:val="num" w:pos="5040"/>
        </w:tabs>
        <w:ind w:left="5040" w:hanging="360"/>
      </w:pPr>
      <w:rPr>
        <w:rFonts w:ascii="Symbol" w:hAnsi="Symbol" w:hint="default"/>
      </w:rPr>
    </w:lvl>
    <w:lvl w:ilvl="7" w:tplc="2EE08E24" w:tentative="1">
      <w:start w:val="1"/>
      <w:numFmt w:val="bullet"/>
      <w:lvlText w:val=""/>
      <w:lvlJc w:val="left"/>
      <w:pPr>
        <w:tabs>
          <w:tab w:val="num" w:pos="5760"/>
        </w:tabs>
        <w:ind w:left="5760" w:hanging="360"/>
      </w:pPr>
      <w:rPr>
        <w:rFonts w:ascii="Symbol" w:hAnsi="Symbol" w:hint="default"/>
      </w:rPr>
    </w:lvl>
    <w:lvl w:ilvl="8" w:tplc="973EA032"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8F"/>
    <w:rsid w:val="00060B62"/>
    <w:rsid w:val="0053648F"/>
    <w:rsid w:val="005B42AD"/>
    <w:rsid w:val="00E07CAA"/>
    <w:rsid w:val="00E845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8242"/>
  <w15:docId w15:val="{8025470C-1DF0-40F2-B452-25903BF8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7E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5217E3"/>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5217E3"/>
    <w:rPr>
      <w:rFonts w:ascii="Calibri" w:hAnsi="Calibri"/>
      <w:szCs w:val="21"/>
    </w:rPr>
  </w:style>
  <w:style w:type="character" w:styleId="Kommentarsreferens">
    <w:name w:val="annotation reference"/>
    <w:basedOn w:val="Standardstycketeckensnitt"/>
    <w:uiPriority w:val="99"/>
    <w:semiHidden/>
    <w:unhideWhenUsed/>
    <w:rsid w:val="005217E3"/>
    <w:rPr>
      <w:sz w:val="16"/>
      <w:szCs w:val="16"/>
    </w:rPr>
  </w:style>
  <w:style w:type="paragraph" w:styleId="Kommentarer">
    <w:name w:val="annotation text"/>
    <w:basedOn w:val="Normal"/>
    <w:link w:val="KommentarerChar"/>
    <w:uiPriority w:val="99"/>
    <w:semiHidden/>
    <w:unhideWhenUsed/>
    <w:rsid w:val="005217E3"/>
    <w:pPr>
      <w:spacing w:after="0" w:line="240" w:lineRule="auto"/>
    </w:pPr>
    <w:rPr>
      <w:rFonts w:ascii="Calibri" w:eastAsia="Calibri" w:hAnsi="Calibri" w:cs="Calibri"/>
      <w:sz w:val="20"/>
      <w:szCs w:val="20"/>
    </w:rPr>
  </w:style>
  <w:style w:type="character" w:customStyle="1" w:styleId="KommentarerChar">
    <w:name w:val="Kommentarer Char"/>
    <w:basedOn w:val="Standardstycketeckensnitt"/>
    <w:link w:val="Kommentarer"/>
    <w:uiPriority w:val="99"/>
    <w:semiHidden/>
    <w:rsid w:val="005217E3"/>
    <w:rPr>
      <w:rFonts w:ascii="Calibri" w:eastAsia="Calibri" w:hAnsi="Calibri" w:cs="Calibri"/>
      <w:sz w:val="20"/>
      <w:szCs w:val="20"/>
    </w:rPr>
  </w:style>
  <w:style w:type="paragraph" w:styleId="Ballongtext">
    <w:name w:val="Balloon Text"/>
    <w:basedOn w:val="Normal"/>
    <w:link w:val="BallongtextChar"/>
    <w:uiPriority w:val="99"/>
    <w:semiHidden/>
    <w:unhideWhenUsed/>
    <w:rsid w:val="005217E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217E3"/>
    <w:rPr>
      <w:rFonts w:ascii="Segoe UI" w:hAnsi="Segoe UI" w:cs="Segoe UI"/>
      <w:sz w:val="18"/>
      <w:szCs w:val="18"/>
    </w:rPr>
  </w:style>
  <w:style w:type="paragraph" w:styleId="Normalwebb">
    <w:name w:val="Normal (Web)"/>
    <w:basedOn w:val="Normal"/>
    <w:uiPriority w:val="99"/>
    <w:semiHidden/>
    <w:unhideWhenUsed/>
    <w:rsid w:val="005217E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stycke">
    <w:name w:val="List Paragraph"/>
    <w:basedOn w:val="Normal"/>
    <w:uiPriority w:val="34"/>
    <w:qFormat/>
    <w:rsid w:val="005217E3"/>
    <w:pPr>
      <w:spacing w:after="0" w:line="240" w:lineRule="auto"/>
      <w:ind w:left="720"/>
      <w:contextualSpacing/>
    </w:pPr>
    <w:rPr>
      <w:rFonts w:ascii="Times New Roman" w:eastAsia="Times New Roman" w:hAnsi="Times New Roman" w:cs="Times New Roman"/>
      <w:sz w:val="24"/>
      <w:szCs w:val="24"/>
      <w:lang w:eastAsia="nb-NO"/>
    </w:rPr>
  </w:style>
  <w:style w:type="paragraph" w:styleId="Kommentarsmne">
    <w:name w:val="annotation subject"/>
    <w:basedOn w:val="Kommentarer"/>
    <w:next w:val="Kommentarer"/>
    <w:link w:val="KommentarsmneChar"/>
    <w:uiPriority w:val="99"/>
    <w:semiHidden/>
    <w:unhideWhenUsed/>
    <w:rsid w:val="000C500F"/>
    <w:pPr>
      <w:spacing w:after="160"/>
    </w:pPr>
    <w:rPr>
      <w:rFonts w:asciiTheme="minorHAnsi" w:eastAsiaTheme="minorHAnsi" w:hAnsiTheme="minorHAnsi" w:cstheme="minorBidi"/>
      <w:b/>
      <w:bCs/>
    </w:rPr>
  </w:style>
  <w:style w:type="character" w:customStyle="1" w:styleId="KommentarsmneChar">
    <w:name w:val="Kommentarsämne Char"/>
    <w:basedOn w:val="KommentarerChar"/>
    <w:link w:val="Kommentarsmne"/>
    <w:uiPriority w:val="99"/>
    <w:semiHidden/>
    <w:rsid w:val="000C500F"/>
    <w:rPr>
      <w:rFonts w:ascii="Calibri" w:eastAsia="Calibri" w:hAnsi="Calibri" w:cs="Calibri"/>
      <w:b/>
      <w:bCs/>
      <w:sz w:val="20"/>
      <w:szCs w:val="20"/>
    </w:rPr>
  </w:style>
  <w:style w:type="paragraph" w:styleId="Sidhuvud">
    <w:name w:val="header"/>
    <w:basedOn w:val="Normal"/>
    <w:link w:val="SidhuvudChar"/>
    <w:uiPriority w:val="99"/>
    <w:unhideWhenUsed/>
    <w:rsid w:val="00A42CE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42CE1"/>
  </w:style>
  <w:style w:type="paragraph" w:styleId="Sidfot">
    <w:name w:val="footer"/>
    <w:basedOn w:val="Normal"/>
    <w:link w:val="SidfotChar"/>
    <w:uiPriority w:val="99"/>
    <w:unhideWhenUsed/>
    <w:rsid w:val="00A42CE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4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99E0-F4D1-42BE-942D-B31E8967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2915</Characters>
  <Application>Microsoft Office Word</Application>
  <DocSecurity>4</DocSecurity>
  <Lines>24</Lines>
  <Paragraphs>6</Paragraphs>
  <ScaleCrop>false</ScaleCrop>
  <HeadingPairs>
    <vt:vector size="6" baseType="variant">
      <vt:variant>
        <vt:lpstr>Rubrik</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Bjørkmann Hege Njå</dc:creator>
  <cp:lastModifiedBy>Hansson Linnea</cp:lastModifiedBy>
  <cp:revision>2</cp:revision>
  <dcterms:created xsi:type="dcterms:W3CDTF">2018-09-13T17:54:00Z</dcterms:created>
  <dcterms:modified xsi:type="dcterms:W3CDTF">2018-09-13T17:54:00Z</dcterms:modified>
</cp:coreProperties>
</file>