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78229285" w14:textId="77777777" w:rsidR="00F270CC" w:rsidRDefault="00F270CC" w:rsidP="00F270CC">
      <w:pPr>
        <w:pStyle w:val="titel"/>
        <w:jc w:val="right"/>
        <w:rPr>
          <w:rFonts w:ascii="Titillium Lt" w:hAnsi="Titillium Lt" w:cs="Titillium Lt"/>
          <w:sz w:val="22"/>
          <w:szCs w:val="22"/>
        </w:rPr>
      </w:pPr>
      <w:r>
        <w:rPr>
          <w:sz w:val="22"/>
          <w:szCs w:val="22"/>
        </w:rPr>
        <w:tab/>
        <w:t xml:space="preserve">Goetheanum, Dornach, Suiza, </w:t>
      </w:r>
      <w:r>
        <w:rPr>
          <w:spacing w:val="1"/>
          <w:sz w:val="22"/>
          <w:szCs w:val="22"/>
        </w:rPr>
        <w:t>7 de noviembre de</w:t>
      </w:r>
      <w:r>
        <w:rPr>
          <w:sz w:val="22"/>
          <w:szCs w:val="22"/>
        </w:rPr>
        <w:t>2025</w:t>
      </w:r>
    </w:p>
    <w:p w14:paraId="615BDFF1" w14:textId="77777777" w:rsidR="00F270CC" w:rsidRDefault="00F270CC" w:rsidP="00F270CC">
      <w:pPr>
        <w:pStyle w:val="titel"/>
        <w:rPr>
          <w:sz w:val="28"/>
          <w:szCs w:val="28"/>
        </w:rPr>
      </w:pPr>
    </w:p>
    <w:p w14:paraId="1CAB027C" w14:textId="77777777" w:rsidR="00F270CC" w:rsidRPr="00F270CC" w:rsidRDefault="00F270CC" w:rsidP="00F270CC">
      <w:pPr>
        <w:pStyle w:val="titel"/>
        <w:spacing w:before="57"/>
        <w:rPr>
          <w:b/>
          <w:bCs/>
          <w:sz w:val="28"/>
          <w:szCs w:val="28"/>
        </w:rPr>
      </w:pPr>
      <w:r w:rsidRPr="00F270CC">
        <w:rPr>
          <w:b/>
          <w:bCs/>
          <w:sz w:val="28"/>
          <w:szCs w:val="28"/>
        </w:rPr>
        <w:t>Arquitectura premiada</w:t>
      </w:r>
    </w:p>
    <w:p w14:paraId="678B1208" w14:textId="77777777" w:rsidR="00F270CC" w:rsidRPr="00F270CC" w:rsidRDefault="00F270CC" w:rsidP="00F270CC">
      <w:pPr>
        <w:pStyle w:val="titel"/>
        <w:spacing w:before="57"/>
        <w:rPr>
          <w:b/>
          <w:bCs/>
          <w:sz w:val="24"/>
          <w:szCs w:val="24"/>
        </w:rPr>
      </w:pPr>
      <w:r w:rsidRPr="00F270CC">
        <w:rPr>
          <w:b/>
          <w:bCs/>
          <w:sz w:val="24"/>
          <w:szCs w:val="24"/>
        </w:rPr>
        <w:t>El Pabellón de Preparados y la Casa de las abejas en el parque-jardín del Goetheanum</w:t>
      </w:r>
    </w:p>
    <w:p w14:paraId="5D3FA594" w14:textId="77777777" w:rsidR="00F270CC" w:rsidRPr="00F270CC" w:rsidRDefault="00F270CC" w:rsidP="00F270CC">
      <w:pPr>
        <w:pStyle w:val="body"/>
        <w:rPr>
          <w:b/>
          <w:bCs/>
        </w:rPr>
      </w:pPr>
    </w:p>
    <w:p w14:paraId="6DC01573" w14:textId="77777777" w:rsidR="00F270CC" w:rsidRPr="00F270CC" w:rsidRDefault="00F270CC" w:rsidP="00F270CC">
      <w:pPr>
        <w:pStyle w:val="body"/>
        <w:rPr>
          <w:rFonts w:ascii="Titillium" w:hAnsi="Titillium" w:cs="Titillium"/>
          <w:b/>
          <w:bCs/>
          <w:spacing w:val="-1"/>
          <w:sz w:val="18"/>
          <w:szCs w:val="18"/>
        </w:rPr>
      </w:pPr>
      <w:r w:rsidRPr="00F270CC">
        <w:rPr>
          <w:rFonts w:ascii="Titillium" w:hAnsi="Titillium" w:cs="Titillium"/>
          <w:b/>
          <w:bCs/>
          <w:spacing w:val="-1"/>
          <w:sz w:val="18"/>
          <w:szCs w:val="18"/>
        </w:rPr>
        <w:t>El parque-jardín del Goetheanum cuenta con dos nuevos edificios, que han sido galardonados recientemente: el expresivo Pabellón de Preparados (diseñado por Yaike Dunselman) recibió los Iconic Award 2025 y el German Design Award 2026; la Casa de las Abejas (diseñada por Barbara Schnetzler) recibió un premio honorífico de la plataforma de arquitectura y diseño ‹March›, además de un premio de reconocimiento del cantón suizo de Soleura.</w:t>
      </w:r>
    </w:p>
    <w:p w14:paraId="7D03D230" w14:textId="77777777" w:rsidR="00F270CC" w:rsidRDefault="00F270CC" w:rsidP="00F270CC">
      <w:pPr>
        <w:pStyle w:val="body"/>
        <w:rPr>
          <w:rFonts w:ascii="Titillium" w:hAnsi="Titillium" w:cs="Titillium"/>
          <w:spacing w:val="1"/>
          <w:sz w:val="18"/>
          <w:szCs w:val="18"/>
        </w:rPr>
      </w:pPr>
    </w:p>
    <w:p w14:paraId="16A36D8E" w14:textId="77777777" w:rsidR="00F270CC" w:rsidRDefault="00F270CC" w:rsidP="00F270CC">
      <w:pPr>
        <w:pStyle w:val="body"/>
        <w:rPr>
          <w:rFonts w:ascii="Titillium" w:hAnsi="Titillium" w:cs="Titillium"/>
          <w:spacing w:val="1"/>
          <w:sz w:val="18"/>
          <w:szCs w:val="18"/>
        </w:rPr>
      </w:pPr>
      <w:r>
        <w:rPr>
          <w:rFonts w:ascii="Titillium" w:hAnsi="Titillium" w:cs="Titillium"/>
          <w:spacing w:val="1"/>
          <w:sz w:val="18"/>
          <w:szCs w:val="18"/>
        </w:rPr>
        <w:t>Las vigas de madera curvadas irradian con gesto generoso hacia noroeste. Dan la impresión de «flores en proceso de florecer»; con estas palabras, los dos jurados de los premios explicó su decisión. Con motivo del 100 aniversario de la agricultura biodinámica, el arquitecto Yaike Dunselman recibió el encargo de diseñar un pabellón para trabajos hortícolas en el recinto del Goetheanum. Con el edificio resultante ha creado un espacio exterior cubierto que sirve, entre otras cosas, para la fabricación de preparados biodinámicos, presentaciones y talleres, junto con un espacio interior poligonal asimétrico de una superficie construida de 20 metros cuadrados que sirve como espacio de trabajo y almacenaje. En el futuro, la plantación de musgo verde en el techo del almacén hará que el pabellón se fusione con el entorno natural del parque-jardín. Dos jurados galardonaron la realización arquitectónica del Pabellón de Preparados con dos premios: el Iconic Award 2025 y el German Design Award 2026 en la categoría ‹Arquitectura Excelente›. El Pabellón de Preparados es un proyecto conjunto de 9graden architektur, BSS Architekten y la empresa de construcción en madera Blumer Lehmann.</w:t>
      </w:r>
    </w:p>
    <w:p w14:paraId="16AEACA4" w14:textId="77777777" w:rsidR="00F270CC" w:rsidRDefault="00F270CC" w:rsidP="00F270CC">
      <w:pPr>
        <w:pStyle w:val="body"/>
        <w:spacing w:before="170"/>
        <w:rPr>
          <w:rFonts w:ascii="Titillium" w:hAnsi="Titillium" w:cs="Titillium"/>
          <w:spacing w:val="1"/>
          <w:sz w:val="18"/>
          <w:szCs w:val="18"/>
        </w:rPr>
      </w:pPr>
      <w:r>
        <w:rPr>
          <w:rFonts w:ascii="Titillium" w:hAnsi="Titillium" w:cs="Titillium"/>
          <w:spacing w:val="1"/>
          <w:sz w:val="18"/>
          <w:szCs w:val="18"/>
        </w:rPr>
        <w:t xml:space="preserve">La Casa de la Abejas en el Parque Jardín Goetheanum recibió un premio en la categoría de ‹menciones de honor› de la plataforma de arquitectura y diseño ‹March› y un premio de reconocimiento en el marco de la ‹Distinción para la Cultura de la Construcción› del Consejo Cantonal de Soleura, Suiza. El edificio con forma de torre tiene unos siete metros de altura, con una planta en forma de panal que se va estrechando ligeramente hacia la parte superior. Dentro del edificio se puede oler la cera de las abejas y, dependiendo de la temporada, escuchar el zumbido que llega de las colmenas. Estas están abiertas al exterior, pero dentro de la casa se puede observar las abejas a través de una ventanilla. El jurado que otorgó el Premio de Reconocimiento comentó que el pabellón provoca la sensación de espacio „que toca profundamente todos los sentidos mediante recursos muy sencillos“ y que „erige un monumento“ a las abejas y a su «habilidad arquitectónica». La Casa de las Abejas fue realizada por Barbara Schnetzler, Basilea, y Studio Balthasar Wirz, Basilea. </w:t>
      </w:r>
    </w:p>
    <w:p w14:paraId="4621D111" w14:textId="77777777" w:rsidR="00F270CC" w:rsidRDefault="00F270CC" w:rsidP="00F270CC">
      <w:pPr>
        <w:pStyle w:val="body"/>
        <w:spacing w:before="170"/>
        <w:rPr>
          <w:rFonts w:ascii="Titillium" w:hAnsi="Titillium" w:cs="Titillium"/>
          <w:spacing w:val="1"/>
          <w:sz w:val="18"/>
          <w:szCs w:val="18"/>
        </w:rPr>
      </w:pPr>
      <w:r>
        <w:rPr>
          <w:rFonts w:ascii="Titillium" w:hAnsi="Titillium" w:cs="Titillium"/>
          <w:spacing w:val="1"/>
          <w:sz w:val="18"/>
          <w:szCs w:val="18"/>
        </w:rPr>
        <w:t>Ambos edificios fueron encargados por la Administración del Edificio del Goetheanum de la Sociedad Antroposófica General.</w:t>
      </w:r>
    </w:p>
    <w:p w14:paraId="1A5E4994" w14:textId="77777777" w:rsidR="00F270CC" w:rsidRDefault="00F270CC" w:rsidP="00F270CC">
      <w:pPr>
        <w:pStyle w:val="body"/>
        <w:jc w:val="right"/>
        <w:rPr>
          <w:rFonts w:ascii="Titillium" w:hAnsi="Titillium" w:cs="Titillium"/>
          <w:sz w:val="18"/>
          <w:szCs w:val="18"/>
        </w:rPr>
      </w:pPr>
      <w:r>
        <w:rPr>
          <w:rFonts w:ascii="Titillium" w:hAnsi="Titillium" w:cs="Titillium"/>
          <w:sz w:val="18"/>
          <w:szCs w:val="18"/>
        </w:rPr>
        <w:t>(2805 caracteres/SJ; traducido por Michael Kranawetvogl)</w:t>
      </w:r>
    </w:p>
    <w:p w14:paraId="2E39626C" w14:textId="77777777" w:rsidR="00F270CC" w:rsidRDefault="00F270CC" w:rsidP="00F270CC">
      <w:pPr>
        <w:pStyle w:val="body"/>
        <w:spacing w:before="57"/>
        <w:rPr>
          <w:rFonts w:ascii="Titillium Bd" w:hAnsi="Titillium Bd" w:cs="Titillium Bd"/>
          <w:b/>
          <w:bCs/>
          <w:spacing w:val="1"/>
          <w:sz w:val="16"/>
          <w:szCs w:val="16"/>
        </w:rPr>
      </w:pPr>
      <w:r>
        <w:rPr>
          <w:rFonts w:ascii="Titillium Bd" w:hAnsi="Titillium Bd" w:cs="Titillium Bd"/>
          <w:b/>
          <w:bCs/>
          <w:spacing w:val="1"/>
          <w:sz w:val="16"/>
          <w:szCs w:val="16"/>
        </w:rPr>
        <w:t xml:space="preserve">Pabellón de Preparados </w:t>
      </w:r>
    </w:p>
    <w:p w14:paraId="6A8190CA" w14:textId="77777777" w:rsidR="00F270CC" w:rsidRDefault="00F270CC" w:rsidP="00F270CC">
      <w:pPr>
        <w:pStyle w:val="body"/>
        <w:rPr>
          <w:rFonts w:ascii="Titillium" w:hAnsi="Titillium" w:cs="Titillium"/>
          <w:spacing w:val="1"/>
          <w:sz w:val="16"/>
          <w:szCs w:val="16"/>
        </w:rPr>
      </w:pPr>
      <w:r>
        <w:rPr>
          <w:rFonts w:ascii="Titillium Bd" w:hAnsi="Titillium Bd" w:cs="Titillium Bd"/>
          <w:b/>
          <w:bCs/>
          <w:spacing w:val="1"/>
          <w:sz w:val="16"/>
          <w:szCs w:val="16"/>
        </w:rPr>
        <w:t>Iconic Awards (en alemán)</w:t>
      </w:r>
      <w:r>
        <w:rPr>
          <w:rFonts w:ascii="Titillium" w:hAnsi="Titillium" w:cs="Titillium"/>
          <w:spacing w:val="1"/>
          <w:sz w:val="16"/>
          <w:szCs w:val="16"/>
        </w:rPr>
        <w:t xml:space="preserve"> www.iconic-world.de/directory/praeparatepavillon</w:t>
      </w:r>
    </w:p>
    <w:p w14:paraId="079C8122" w14:textId="77777777" w:rsidR="00F270CC" w:rsidRDefault="00F270CC" w:rsidP="00F270CC">
      <w:pPr>
        <w:pStyle w:val="body"/>
        <w:rPr>
          <w:rFonts w:ascii="Titillium" w:hAnsi="Titillium" w:cs="Titillium"/>
          <w:spacing w:val="1"/>
          <w:sz w:val="16"/>
          <w:szCs w:val="16"/>
        </w:rPr>
      </w:pPr>
      <w:r>
        <w:rPr>
          <w:rFonts w:ascii="Titillium Bd" w:hAnsi="Titillium Bd" w:cs="Titillium Bd"/>
          <w:b/>
          <w:bCs/>
          <w:spacing w:val="1"/>
          <w:sz w:val="16"/>
          <w:szCs w:val="16"/>
        </w:rPr>
        <w:t>German Design Award (en alemán)</w:t>
      </w:r>
      <w:r>
        <w:rPr>
          <w:rFonts w:ascii="Titillium" w:hAnsi="Titillium" w:cs="Titillium"/>
          <w:spacing w:val="1"/>
          <w:sz w:val="16"/>
          <w:szCs w:val="16"/>
        </w:rPr>
        <w:t xml:space="preserve"> www.german-design-award.com/galerie/detail/architecture-public/praeparatepavillon-1</w:t>
      </w:r>
    </w:p>
    <w:p w14:paraId="1A12B079" w14:textId="77777777" w:rsidR="00F270CC" w:rsidRDefault="00F270CC" w:rsidP="00F270CC">
      <w:pPr>
        <w:pStyle w:val="body"/>
        <w:spacing w:before="57"/>
        <w:rPr>
          <w:rFonts w:ascii="Titillium Bd" w:hAnsi="Titillium Bd" w:cs="Titillium Bd"/>
          <w:b/>
          <w:bCs/>
          <w:spacing w:val="1"/>
          <w:sz w:val="16"/>
          <w:szCs w:val="16"/>
        </w:rPr>
      </w:pPr>
      <w:r>
        <w:rPr>
          <w:rFonts w:ascii="Titillium Bd" w:hAnsi="Titillium Bd" w:cs="Titillium Bd"/>
          <w:b/>
          <w:bCs/>
          <w:spacing w:val="1"/>
          <w:sz w:val="16"/>
          <w:szCs w:val="16"/>
        </w:rPr>
        <w:t xml:space="preserve">Casa de las Abejas </w:t>
      </w:r>
    </w:p>
    <w:p w14:paraId="5A08D17F" w14:textId="77777777" w:rsidR="00F270CC" w:rsidRDefault="00F270CC" w:rsidP="00F270CC">
      <w:pPr>
        <w:pStyle w:val="body"/>
        <w:rPr>
          <w:rFonts w:ascii="Titillium" w:hAnsi="Titillium" w:cs="Titillium"/>
          <w:spacing w:val="1"/>
          <w:sz w:val="16"/>
          <w:szCs w:val="16"/>
        </w:rPr>
      </w:pPr>
      <w:r>
        <w:rPr>
          <w:rFonts w:ascii="Titillium Bd" w:hAnsi="Titillium Bd" w:cs="Titillium Bd"/>
          <w:b/>
          <w:bCs/>
          <w:spacing w:val="1"/>
          <w:sz w:val="16"/>
          <w:szCs w:val="16"/>
        </w:rPr>
        <w:t xml:space="preserve">Plataforma March (en alemán) </w:t>
      </w:r>
      <w:r>
        <w:rPr>
          <w:rFonts w:ascii="Titillium" w:hAnsi="Titillium" w:cs="Titillium"/>
          <w:spacing w:val="1"/>
          <w:sz w:val="16"/>
          <w:szCs w:val="16"/>
        </w:rPr>
        <w:t xml:space="preserve">www.marchmaterials.com/project/Bienenskulptur </w:t>
      </w:r>
    </w:p>
    <w:p w14:paraId="1F59D02D" w14:textId="77777777" w:rsidR="00F270CC" w:rsidRDefault="00F270CC" w:rsidP="00F270CC">
      <w:pPr>
        <w:pStyle w:val="body"/>
        <w:rPr>
          <w:rFonts w:ascii="Titillium" w:hAnsi="Titillium" w:cs="Titillium"/>
          <w:spacing w:val="1"/>
          <w:sz w:val="16"/>
          <w:szCs w:val="16"/>
        </w:rPr>
      </w:pPr>
      <w:r>
        <w:rPr>
          <w:rFonts w:ascii="Titillium Bd" w:hAnsi="Titillium Bd" w:cs="Titillium Bd"/>
          <w:b/>
          <w:bCs/>
          <w:spacing w:val="1"/>
          <w:sz w:val="16"/>
          <w:szCs w:val="16"/>
        </w:rPr>
        <w:t>Premios de cultura arquitectónica/premio de reconocimiento (en alemán)</w:t>
      </w:r>
      <w:r>
        <w:rPr>
          <w:rFonts w:ascii="Titillium" w:hAnsi="Titillium" w:cs="Titillium"/>
          <w:spacing w:val="1"/>
          <w:sz w:val="16"/>
          <w:szCs w:val="16"/>
        </w:rPr>
        <w:t xml:space="preserve"> so.ch/staatskanzlei/medien/medienmitteilung/news/ausgezeichnete-solothurner-architektur-in-derendingen-und-zuchwil</w:t>
      </w:r>
    </w:p>
    <w:p w14:paraId="7DBB424B" w14:textId="6DDB1379" w:rsidR="006E7E7B" w:rsidRPr="00F270CC" w:rsidRDefault="00F270CC" w:rsidP="00F270CC">
      <w:pPr>
        <w:pStyle w:val="body"/>
        <w:spacing w:before="57"/>
        <w:rPr>
          <w:rFonts w:ascii="Titillium" w:hAnsi="Titillium" w:cs="Titillium"/>
          <w:spacing w:val="1"/>
          <w:sz w:val="16"/>
          <w:szCs w:val="16"/>
        </w:rPr>
      </w:pPr>
      <w:r>
        <w:rPr>
          <w:rFonts w:ascii="Titillium Bd" w:hAnsi="Titillium Bd" w:cs="Titillium Bd"/>
          <w:b/>
          <w:bCs/>
          <w:spacing w:val="1"/>
          <w:sz w:val="16"/>
          <w:szCs w:val="16"/>
        </w:rPr>
        <w:t xml:space="preserve">Contacto </w:t>
      </w:r>
      <w:r>
        <w:rPr>
          <w:rFonts w:ascii="Titillium" w:hAnsi="Titillium" w:cs="Titillium"/>
          <w:spacing w:val="1"/>
          <w:sz w:val="16"/>
          <w:szCs w:val="16"/>
        </w:rPr>
        <w:t>Susanne Böttge, susanne.boettge@goetheanum.ch</w:t>
      </w:r>
    </w:p>
    <w:sectPr w:rsidR="006E7E7B" w:rsidRPr="00F270CC"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A51FB7"/>
    <w:rsid w:val="00B90BB3"/>
    <w:rsid w:val="00EC40E3"/>
    <w:rsid w:val="00F270C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3112</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2025-11-07T17:29:00Z</dcterms:modified>
</cp:coreProperties>
</file>