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E69F" w14:textId="77777777" w:rsidR="00F56663" w:rsidRDefault="00F56663" w:rsidP="005A0A3B">
      <w:pPr>
        <w:pStyle w:val="Rubrik1"/>
      </w:pPr>
    </w:p>
    <w:p w14:paraId="3AD072CF" w14:textId="77777777" w:rsidR="00F56663" w:rsidRDefault="00F56663" w:rsidP="005A0A3B">
      <w:pPr>
        <w:pStyle w:val="Rubrik1"/>
      </w:pPr>
    </w:p>
    <w:p w14:paraId="1D1134A0" w14:textId="77777777" w:rsidR="00F56663" w:rsidRDefault="00F56663" w:rsidP="005A0A3B">
      <w:pPr>
        <w:pStyle w:val="Rubrik1"/>
      </w:pPr>
    </w:p>
    <w:p w14:paraId="28A703F9" w14:textId="77777777" w:rsidR="0077533F" w:rsidRPr="0077533F" w:rsidRDefault="009138CA" w:rsidP="0077533F">
      <w:pPr>
        <w:rPr>
          <w:b/>
          <w:bCs/>
          <w:color w:val="4478A0" w:themeColor="background2"/>
          <w:sz w:val="96"/>
          <w:szCs w:val="96"/>
        </w:rPr>
      </w:pPr>
      <w:r w:rsidRPr="0077533F">
        <w:rPr>
          <w:b/>
          <w:bCs/>
          <w:color w:val="4478A0" w:themeColor="background2"/>
          <w:sz w:val="96"/>
          <w:szCs w:val="96"/>
        </w:rPr>
        <w:t>På lika villkor</w:t>
      </w:r>
    </w:p>
    <w:p w14:paraId="5215BC9C" w14:textId="07B1B9DD" w:rsidR="0077533F" w:rsidRPr="0077533F" w:rsidRDefault="009138CA" w:rsidP="0077533F">
      <w:pPr>
        <w:rPr>
          <w:b/>
          <w:bCs/>
          <w:color w:val="4478A0" w:themeColor="background2"/>
          <w:sz w:val="52"/>
          <w:szCs w:val="52"/>
        </w:rPr>
      </w:pPr>
      <w:proofErr w:type="spellStart"/>
      <w:r w:rsidRPr="0077533F">
        <w:rPr>
          <w:b/>
          <w:bCs/>
          <w:color w:val="4478A0" w:themeColor="background2"/>
          <w:sz w:val="52"/>
          <w:szCs w:val="52"/>
        </w:rPr>
        <w:t>Hbtqia</w:t>
      </w:r>
      <w:proofErr w:type="spellEnd"/>
      <w:r w:rsidRPr="0077533F">
        <w:rPr>
          <w:b/>
          <w:bCs/>
          <w:color w:val="4478A0" w:themeColor="background2"/>
          <w:sz w:val="52"/>
          <w:szCs w:val="52"/>
        </w:rPr>
        <w:t xml:space="preserve">+-strategi </w:t>
      </w:r>
    </w:p>
    <w:p w14:paraId="6D9AA4DF" w14:textId="6E1B89B8" w:rsidR="00FE60EB" w:rsidRPr="0077533F" w:rsidRDefault="006F07E4" w:rsidP="0077533F">
      <w:pPr>
        <w:rPr>
          <w:b/>
          <w:bCs/>
          <w:color w:val="4478A0" w:themeColor="background2"/>
          <w:sz w:val="52"/>
          <w:szCs w:val="52"/>
        </w:rPr>
      </w:pPr>
      <w:r w:rsidRPr="0077533F">
        <w:rPr>
          <w:b/>
          <w:bCs/>
          <w:color w:val="4478A0" w:themeColor="background2"/>
          <w:sz w:val="52"/>
          <w:szCs w:val="52"/>
        </w:rPr>
        <w:t>2024–2026</w:t>
      </w:r>
      <w:r w:rsidR="009138CA" w:rsidRPr="0077533F">
        <w:rPr>
          <w:b/>
          <w:bCs/>
          <w:color w:val="4478A0" w:themeColor="background2"/>
          <w:sz w:val="52"/>
          <w:szCs w:val="52"/>
        </w:rPr>
        <w:t xml:space="preserve"> </w:t>
      </w:r>
    </w:p>
    <w:p w14:paraId="61351B76" w14:textId="616A7F4E" w:rsidR="00F56663" w:rsidRDefault="00F56663" w:rsidP="00F56663"/>
    <w:p w14:paraId="4DA2BEA2" w14:textId="4A31C4E0" w:rsidR="00F56663" w:rsidRDefault="00F56663" w:rsidP="00F56663"/>
    <w:p w14:paraId="725A9027" w14:textId="56E1BA9D" w:rsidR="00F56663" w:rsidRDefault="0077533F" w:rsidP="00F56663">
      <w:r>
        <w:rPr>
          <w:noProof/>
        </w:rPr>
        <w:drawing>
          <wp:anchor distT="0" distB="0" distL="114300" distR="114300" simplePos="0" relativeHeight="251658240" behindDoc="0" locked="0" layoutInCell="1" allowOverlap="1" wp14:anchorId="5A300BA1" wp14:editId="1E4C870F">
            <wp:simplePos x="0" y="0"/>
            <wp:positionH relativeFrom="column">
              <wp:posOffset>-69850</wp:posOffset>
            </wp:positionH>
            <wp:positionV relativeFrom="paragraph">
              <wp:posOffset>285750</wp:posOffset>
            </wp:positionV>
            <wp:extent cx="5343525" cy="2667635"/>
            <wp:effectExtent l="0" t="0" r="952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3525" cy="2667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BCBC52" w14:textId="7F456600" w:rsidR="00F56663" w:rsidRDefault="00F56663" w:rsidP="00F56663"/>
    <w:p w14:paraId="2CA2A0CE" w14:textId="46FC44A1" w:rsidR="00F56663" w:rsidRDefault="00F56663" w:rsidP="00F56663"/>
    <w:p w14:paraId="178402A4" w14:textId="29A03E38" w:rsidR="00F56663" w:rsidRDefault="00F56663" w:rsidP="00F56663"/>
    <w:p w14:paraId="1B485626" w14:textId="2500BB5D" w:rsidR="00F56663" w:rsidRDefault="00F56663" w:rsidP="00F56663"/>
    <w:p w14:paraId="5739258E" w14:textId="77777777" w:rsidR="00F56663" w:rsidRPr="00F56663" w:rsidRDefault="00F56663" w:rsidP="00F56663"/>
    <w:p w14:paraId="2F508CF8" w14:textId="7A99A55B" w:rsidR="00F56663" w:rsidRDefault="00F56663">
      <w:pPr>
        <w:spacing w:after="160" w:line="259" w:lineRule="auto"/>
        <w:rPr>
          <w:rFonts w:asciiTheme="majorHAnsi" w:eastAsiaTheme="majorEastAsia" w:hAnsiTheme="majorHAnsi" w:cstheme="majorBidi"/>
          <w:b/>
          <w:color w:val="4478A0" w:themeColor="background2"/>
          <w:sz w:val="36"/>
          <w:szCs w:val="26"/>
        </w:rPr>
      </w:pPr>
      <w:bookmarkStart w:id="0" w:name="_Hlk79498704"/>
      <w:bookmarkStart w:id="1" w:name="_Toc79570955"/>
      <w:bookmarkEnd w:id="0"/>
      <w:r>
        <w:br w:type="page"/>
      </w:r>
    </w:p>
    <w:p w14:paraId="44CF5A62" w14:textId="0B763903" w:rsidR="00D431D2" w:rsidRPr="0077533F" w:rsidRDefault="00932B7E" w:rsidP="0077533F">
      <w:pPr>
        <w:rPr>
          <w:b/>
          <w:bCs/>
          <w:color w:val="4478A0" w:themeColor="background2"/>
          <w:sz w:val="36"/>
          <w:szCs w:val="36"/>
        </w:rPr>
      </w:pPr>
      <w:r w:rsidRPr="0077533F">
        <w:rPr>
          <w:b/>
          <w:bCs/>
          <w:color w:val="4478A0" w:themeColor="background2"/>
          <w:sz w:val="36"/>
          <w:szCs w:val="36"/>
        </w:rPr>
        <w:lastRenderedPageBreak/>
        <w:t>Innehåll</w:t>
      </w:r>
      <w:bookmarkEnd w:id="1"/>
    </w:p>
    <w:sdt>
      <w:sdtPr>
        <w:id w:val="-875391482"/>
        <w:docPartObj>
          <w:docPartGallery w:val="Table of Contents"/>
          <w:docPartUnique/>
        </w:docPartObj>
      </w:sdtPr>
      <w:sdtEndPr>
        <w:rPr>
          <w:b/>
          <w:bCs/>
        </w:rPr>
      </w:sdtEndPr>
      <w:sdtContent>
        <w:p w14:paraId="2C25E719" w14:textId="0B14F595" w:rsidR="00E52BC6" w:rsidRDefault="008A5068">
          <w:pPr>
            <w:pStyle w:val="Innehll2"/>
            <w:rPr>
              <w:rFonts w:eastAsiaTheme="minorEastAsia"/>
              <w:noProof/>
              <w:lang w:eastAsia="sv-SE"/>
            </w:rPr>
          </w:pPr>
          <w:r>
            <w:rPr>
              <w:rFonts w:asciiTheme="majorHAnsi" w:eastAsiaTheme="majorEastAsia" w:hAnsiTheme="majorHAnsi" w:cstheme="majorBidi"/>
              <w:color w:val="27A2C8" w:themeColor="accent1" w:themeShade="BF"/>
              <w:sz w:val="32"/>
              <w:szCs w:val="32"/>
              <w:lang w:eastAsia="sv-SE"/>
            </w:rPr>
            <w:fldChar w:fldCharType="begin"/>
          </w:r>
          <w:r>
            <w:instrText xml:space="preserve"> TOC \o "1-3" \h \z \u </w:instrText>
          </w:r>
          <w:r>
            <w:rPr>
              <w:rFonts w:asciiTheme="majorHAnsi" w:eastAsiaTheme="majorEastAsia" w:hAnsiTheme="majorHAnsi" w:cstheme="majorBidi"/>
              <w:color w:val="27A2C8" w:themeColor="accent1" w:themeShade="BF"/>
              <w:sz w:val="32"/>
              <w:szCs w:val="32"/>
              <w:lang w:eastAsia="sv-SE"/>
            </w:rPr>
            <w:fldChar w:fldCharType="separate"/>
          </w:r>
          <w:hyperlink w:anchor="_Toc166588822" w:history="1">
            <w:r w:rsidR="00E52BC6" w:rsidRPr="00DE502A">
              <w:rPr>
                <w:rStyle w:val="Hyperlnk"/>
                <w:noProof/>
              </w:rPr>
              <w:t>Inledning</w:t>
            </w:r>
            <w:r w:rsidR="00E52BC6">
              <w:rPr>
                <w:noProof/>
                <w:webHidden/>
              </w:rPr>
              <w:tab/>
            </w:r>
            <w:r w:rsidR="00E52BC6">
              <w:rPr>
                <w:noProof/>
                <w:webHidden/>
              </w:rPr>
              <w:fldChar w:fldCharType="begin"/>
            </w:r>
            <w:r w:rsidR="00E52BC6">
              <w:rPr>
                <w:noProof/>
                <w:webHidden/>
              </w:rPr>
              <w:instrText xml:space="preserve"> PAGEREF _Toc166588822 \h </w:instrText>
            </w:r>
            <w:r w:rsidR="00E52BC6">
              <w:rPr>
                <w:noProof/>
                <w:webHidden/>
              </w:rPr>
            </w:r>
            <w:r w:rsidR="00E52BC6">
              <w:rPr>
                <w:noProof/>
                <w:webHidden/>
              </w:rPr>
              <w:fldChar w:fldCharType="separate"/>
            </w:r>
            <w:r w:rsidR="00E52BC6">
              <w:rPr>
                <w:noProof/>
                <w:webHidden/>
              </w:rPr>
              <w:t>3</w:t>
            </w:r>
            <w:r w:rsidR="00E52BC6">
              <w:rPr>
                <w:noProof/>
                <w:webHidden/>
              </w:rPr>
              <w:fldChar w:fldCharType="end"/>
            </w:r>
          </w:hyperlink>
        </w:p>
        <w:p w14:paraId="451F655A" w14:textId="38439F4C" w:rsidR="00E52BC6" w:rsidRDefault="00081CC1">
          <w:pPr>
            <w:pStyle w:val="Innehll2"/>
            <w:rPr>
              <w:rFonts w:eastAsiaTheme="minorEastAsia"/>
              <w:noProof/>
              <w:lang w:eastAsia="sv-SE"/>
            </w:rPr>
          </w:pPr>
          <w:hyperlink w:anchor="_Toc166588823" w:history="1">
            <w:r w:rsidR="00E52BC6" w:rsidRPr="00DE502A">
              <w:rPr>
                <w:rStyle w:val="Hyperlnk"/>
                <w:noProof/>
              </w:rPr>
              <w:t>Koppling till övriga styrande dokument</w:t>
            </w:r>
            <w:r w:rsidR="00E52BC6">
              <w:rPr>
                <w:noProof/>
                <w:webHidden/>
              </w:rPr>
              <w:tab/>
            </w:r>
            <w:r w:rsidR="00E52BC6">
              <w:rPr>
                <w:noProof/>
                <w:webHidden/>
              </w:rPr>
              <w:fldChar w:fldCharType="begin"/>
            </w:r>
            <w:r w:rsidR="00E52BC6">
              <w:rPr>
                <w:noProof/>
                <w:webHidden/>
              </w:rPr>
              <w:instrText xml:space="preserve"> PAGEREF _Toc166588823 \h </w:instrText>
            </w:r>
            <w:r w:rsidR="00E52BC6">
              <w:rPr>
                <w:noProof/>
                <w:webHidden/>
              </w:rPr>
            </w:r>
            <w:r w:rsidR="00E52BC6">
              <w:rPr>
                <w:noProof/>
                <w:webHidden/>
              </w:rPr>
              <w:fldChar w:fldCharType="separate"/>
            </w:r>
            <w:r w:rsidR="00E52BC6">
              <w:rPr>
                <w:noProof/>
                <w:webHidden/>
              </w:rPr>
              <w:t>4</w:t>
            </w:r>
            <w:r w:rsidR="00E52BC6">
              <w:rPr>
                <w:noProof/>
                <w:webHidden/>
              </w:rPr>
              <w:fldChar w:fldCharType="end"/>
            </w:r>
          </w:hyperlink>
        </w:p>
        <w:p w14:paraId="607FFB2B" w14:textId="376251B5" w:rsidR="00E52BC6" w:rsidRDefault="00081CC1">
          <w:pPr>
            <w:pStyle w:val="Innehll2"/>
            <w:rPr>
              <w:rFonts w:eastAsiaTheme="minorEastAsia"/>
              <w:noProof/>
              <w:lang w:eastAsia="sv-SE"/>
            </w:rPr>
          </w:pPr>
          <w:hyperlink w:anchor="_Toc166588824" w:history="1">
            <w:r w:rsidR="00E52BC6" w:rsidRPr="00DE502A">
              <w:rPr>
                <w:rStyle w:val="Hyperlnk"/>
                <w:noProof/>
              </w:rPr>
              <w:t>På lika villkor – Hbtqia+-strategi 2024–2026</w:t>
            </w:r>
            <w:r w:rsidR="00E52BC6">
              <w:rPr>
                <w:noProof/>
                <w:webHidden/>
              </w:rPr>
              <w:tab/>
            </w:r>
            <w:r w:rsidR="00E52BC6">
              <w:rPr>
                <w:noProof/>
                <w:webHidden/>
              </w:rPr>
              <w:fldChar w:fldCharType="begin"/>
            </w:r>
            <w:r w:rsidR="00E52BC6">
              <w:rPr>
                <w:noProof/>
                <w:webHidden/>
              </w:rPr>
              <w:instrText xml:space="preserve"> PAGEREF _Toc166588824 \h </w:instrText>
            </w:r>
            <w:r w:rsidR="00E52BC6">
              <w:rPr>
                <w:noProof/>
                <w:webHidden/>
              </w:rPr>
            </w:r>
            <w:r w:rsidR="00E52BC6">
              <w:rPr>
                <w:noProof/>
                <w:webHidden/>
              </w:rPr>
              <w:fldChar w:fldCharType="separate"/>
            </w:r>
            <w:r w:rsidR="00E52BC6">
              <w:rPr>
                <w:noProof/>
                <w:webHidden/>
              </w:rPr>
              <w:t>4</w:t>
            </w:r>
            <w:r w:rsidR="00E52BC6">
              <w:rPr>
                <w:noProof/>
                <w:webHidden/>
              </w:rPr>
              <w:fldChar w:fldCharType="end"/>
            </w:r>
          </w:hyperlink>
        </w:p>
        <w:p w14:paraId="28D399C8" w14:textId="0B3056E7" w:rsidR="00E52BC6" w:rsidRDefault="00081CC1">
          <w:pPr>
            <w:pStyle w:val="Innehll2"/>
            <w:rPr>
              <w:rFonts w:eastAsiaTheme="minorEastAsia"/>
              <w:noProof/>
              <w:lang w:eastAsia="sv-SE"/>
            </w:rPr>
          </w:pPr>
          <w:hyperlink w:anchor="_Toc166588825" w:history="1">
            <w:r w:rsidR="00E52BC6" w:rsidRPr="00DE502A">
              <w:rPr>
                <w:rStyle w:val="Hyperlnk"/>
                <w:bCs/>
                <w:noProof/>
              </w:rPr>
              <w:t>Strategiområden</w:t>
            </w:r>
            <w:r w:rsidR="00E52BC6">
              <w:rPr>
                <w:noProof/>
                <w:webHidden/>
              </w:rPr>
              <w:tab/>
            </w:r>
            <w:r w:rsidR="00E52BC6">
              <w:rPr>
                <w:noProof/>
                <w:webHidden/>
              </w:rPr>
              <w:fldChar w:fldCharType="begin"/>
            </w:r>
            <w:r w:rsidR="00E52BC6">
              <w:rPr>
                <w:noProof/>
                <w:webHidden/>
              </w:rPr>
              <w:instrText xml:space="preserve"> PAGEREF _Toc166588825 \h </w:instrText>
            </w:r>
            <w:r w:rsidR="00E52BC6">
              <w:rPr>
                <w:noProof/>
                <w:webHidden/>
              </w:rPr>
            </w:r>
            <w:r w:rsidR="00E52BC6">
              <w:rPr>
                <w:noProof/>
                <w:webHidden/>
              </w:rPr>
              <w:fldChar w:fldCharType="separate"/>
            </w:r>
            <w:r w:rsidR="00E52BC6">
              <w:rPr>
                <w:noProof/>
                <w:webHidden/>
              </w:rPr>
              <w:t>4</w:t>
            </w:r>
            <w:r w:rsidR="00E52BC6">
              <w:rPr>
                <w:noProof/>
                <w:webHidden/>
              </w:rPr>
              <w:fldChar w:fldCharType="end"/>
            </w:r>
          </w:hyperlink>
        </w:p>
        <w:p w14:paraId="58BF5C7B" w14:textId="2B0D3E94" w:rsidR="00E52BC6" w:rsidRDefault="00081CC1">
          <w:pPr>
            <w:pStyle w:val="Innehll2"/>
            <w:rPr>
              <w:rFonts w:eastAsiaTheme="minorEastAsia"/>
              <w:noProof/>
              <w:lang w:eastAsia="sv-SE"/>
            </w:rPr>
          </w:pPr>
          <w:hyperlink w:anchor="_Toc166588826" w:history="1">
            <w:r w:rsidR="00E52BC6" w:rsidRPr="00DE502A">
              <w:rPr>
                <w:rStyle w:val="Hyperlnk"/>
                <w:bCs/>
                <w:noProof/>
              </w:rPr>
              <w:t>Strategiområde 1</w:t>
            </w:r>
            <w:r w:rsidR="00E52BC6">
              <w:rPr>
                <w:noProof/>
                <w:webHidden/>
              </w:rPr>
              <w:tab/>
            </w:r>
            <w:r w:rsidR="00E52BC6">
              <w:rPr>
                <w:noProof/>
                <w:webHidden/>
              </w:rPr>
              <w:fldChar w:fldCharType="begin"/>
            </w:r>
            <w:r w:rsidR="00E52BC6">
              <w:rPr>
                <w:noProof/>
                <w:webHidden/>
              </w:rPr>
              <w:instrText xml:space="preserve"> PAGEREF _Toc166588826 \h </w:instrText>
            </w:r>
            <w:r w:rsidR="00E52BC6">
              <w:rPr>
                <w:noProof/>
                <w:webHidden/>
              </w:rPr>
            </w:r>
            <w:r w:rsidR="00E52BC6">
              <w:rPr>
                <w:noProof/>
                <w:webHidden/>
              </w:rPr>
              <w:fldChar w:fldCharType="separate"/>
            </w:r>
            <w:r w:rsidR="00E52BC6">
              <w:rPr>
                <w:noProof/>
                <w:webHidden/>
              </w:rPr>
              <w:t>5</w:t>
            </w:r>
            <w:r w:rsidR="00E52BC6">
              <w:rPr>
                <w:noProof/>
                <w:webHidden/>
              </w:rPr>
              <w:fldChar w:fldCharType="end"/>
            </w:r>
          </w:hyperlink>
        </w:p>
        <w:p w14:paraId="404BB7D2" w14:textId="06A06979" w:rsidR="00E52BC6" w:rsidRDefault="00081CC1">
          <w:pPr>
            <w:pStyle w:val="Innehll2"/>
            <w:rPr>
              <w:rFonts w:eastAsiaTheme="minorEastAsia"/>
              <w:noProof/>
              <w:lang w:eastAsia="sv-SE"/>
            </w:rPr>
          </w:pPr>
          <w:hyperlink w:anchor="_Toc166588827" w:history="1">
            <w:r w:rsidR="00E52BC6" w:rsidRPr="00DE502A">
              <w:rPr>
                <w:rStyle w:val="Hyperlnk"/>
                <w:noProof/>
              </w:rPr>
              <w:t>Strategiområde 2</w:t>
            </w:r>
            <w:r w:rsidR="00E52BC6">
              <w:rPr>
                <w:noProof/>
                <w:webHidden/>
              </w:rPr>
              <w:tab/>
            </w:r>
            <w:r w:rsidR="00E52BC6">
              <w:rPr>
                <w:noProof/>
                <w:webHidden/>
              </w:rPr>
              <w:fldChar w:fldCharType="begin"/>
            </w:r>
            <w:r w:rsidR="00E52BC6">
              <w:rPr>
                <w:noProof/>
                <w:webHidden/>
              </w:rPr>
              <w:instrText xml:space="preserve"> PAGEREF _Toc166588827 \h </w:instrText>
            </w:r>
            <w:r w:rsidR="00E52BC6">
              <w:rPr>
                <w:noProof/>
                <w:webHidden/>
              </w:rPr>
            </w:r>
            <w:r w:rsidR="00E52BC6">
              <w:rPr>
                <w:noProof/>
                <w:webHidden/>
              </w:rPr>
              <w:fldChar w:fldCharType="separate"/>
            </w:r>
            <w:r w:rsidR="00E52BC6">
              <w:rPr>
                <w:noProof/>
                <w:webHidden/>
              </w:rPr>
              <w:t>5</w:t>
            </w:r>
            <w:r w:rsidR="00E52BC6">
              <w:rPr>
                <w:noProof/>
                <w:webHidden/>
              </w:rPr>
              <w:fldChar w:fldCharType="end"/>
            </w:r>
          </w:hyperlink>
        </w:p>
        <w:p w14:paraId="33D7C4AA" w14:textId="45670068" w:rsidR="00E52BC6" w:rsidRDefault="00081CC1">
          <w:pPr>
            <w:pStyle w:val="Innehll2"/>
            <w:rPr>
              <w:rFonts w:eastAsiaTheme="minorEastAsia"/>
              <w:noProof/>
              <w:lang w:eastAsia="sv-SE"/>
            </w:rPr>
          </w:pPr>
          <w:hyperlink w:anchor="_Toc166588828" w:history="1">
            <w:r w:rsidR="00E52BC6" w:rsidRPr="00DE502A">
              <w:rPr>
                <w:rStyle w:val="Hyperlnk"/>
                <w:noProof/>
              </w:rPr>
              <w:t>Strategiområde 3</w:t>
            </w:r>
            <w:r w:rsidR="00E52BC6">
              <w:rPr>
                <w:noProof/>
                <w:webHidden/>
              </w:rPr>
              <w:tab/>
            </w:r>
            <w:r w:rsidR="00E52BC6">
              <w:rPr>
                <w:noProof/>
                <w:webHidden/>
              </w:rPr>
              <w:fldChar w:fldCharType="begin"/>
            </w:r>
            <w:r w:rsidR="00E52BC6">
              <w:rPr>
                <w:noProof/>
                <w:webHidden/>
              </w:rPr>
              <w:instrText xml:space="preserve"> PAGEREF _Toc166588828 \h </w:instrText>
            </w:r>
            <w:r w:rsidR="00E52BC6">
              <w:rPr>
                <w:noProof/>
                <w:webHidden/>
              </w:rPr>
            </w:r>
            <w:r w:rsidR="00E52BC6">
              <w:rPr>
                <w:noProof/>
                <w:webHidden/>
              </w:rPr>
              <w:fldChar w:fldCharType="separate"/>
            </w:r>
            <w:r w:rsidR="00E52BC6">
              <w:rPr>
                <w:noProof/>
                <w:webHidden/>
              </w:rPr>
              <w:t>5</w:t>
            </w:r>
            <w:r w:rsidR="00E52BC6">
              <w:rPr>
                <w:noProof/>
                <w:webHidden/>
              </w:rPr>
              <w:fldChar w:fldCharType="end"/>
            </w:r>
          </w:hyperlink>
        </w:p>
        <w:p w14:paraId="77A06B45" w14:textId="663B83D7" w:rsidR="00E52BC6" w:rsidRDefault="00081CC1">
          <w:pPr>
            <w:pStyle w:val="Innehll2"/>
            <w:rPr>
              <w:rFonts w:eastAsiaTheme="minorEastAsia"/>
              <w:noProof/>
              <w:lang w:eastAsia="sv-SE"/>
            </w:rPr>
          </w:pPr>
          <w:hyperlink w:anchor="_Toc166588829" w:history="1">
            <w:r w:rsidR="00E52BC6" w:rsidRPr="00DE502A">
              <w:rPr>
                <w:rStyle w:val="Hyperlnk"/>
                <w:noProof/>
              </w:rPr>
              <w:t>Strategiområde 4</w:t>
            </w:r>
            <w:r w:rsidR="00E52BC6">
              <w:rPr>
                <w:noProof/>
                <w:webHidden/>
              </w:rPr>
              <w:tab/>
            </w:r>
            <w:r w:rsidR="00E52BC6">
              <w:rPr>
                <w:noProof/>
                <w:webHidden/>
              </w:rPr>
              <w:fldChar w:fldCharType="begin"/>
            </w:r>
            <w:r w:rsidR="00E52BC6">
              <w:rPr>
                <w:noProof/>
                <w:webHidden/>
              </w:rPr>
              <w:instrText xml:space="preserve"> PAGEREF _Toc166588829 \h </w:instrText>
            </w:r>
            <w:r w:rsidR="00E52BC6">
              <w:rPr>
                <w:noProof/>
                <w:webHidden/>
              </w:rPr>
            </w:r>
            <w:r w:rsidR="00E52BC6">
              <w:rPr>
                <w:noProof/>
                <w:webHidden/>
              </w:rPr>
              <w:fldChar w:fldCharType="separate"/>
            </w:r>
            <w:r w:rsidR="00E52BC6">
              <w:rPr>
                <w:noProof/>
                <w:webHidden/>
              </w:rPr>
              <w:t>6</w:t>
            </w:r>
            <w:r w:rsidR="00E52BC6">
              <w:rPr>
                <w:noProof/>
                <w:webHidden/>
              </w:rPr>
              <w:fldChar w:fldCharType="end"/>
            </w:r>
          </w:hyperlink>
        </w:p>
        <w:p w14:paraId="60403B23" w14:textId="4CD1A3C9" w:rsidR="00E52BC6" w:rsidRDefault="00081CC1">
          <w:pPr>
            <w:pStyle w:val="Innehll2"/>
            <w:rPr>
              <w:rFonts w:eastAsiaTheme="minorEastAsia"/>
              <w:noProof/>
              <w:lang w:eastAsia="sv-SE"/>
            </w:rPr>
          </w:pPr>
          <w:hyperlink w:anchor="_Toc166588830" w:history="1">
            <w:r w:rsidR="00E52BC6" w:rsidRPr="00DE502A">
              <w:rPr>
                <w:rStyle w:val="Hyperlnk"/>
                <w:bCs/>
                <w:noProof/>
              </w:rPr>
              <w:t>Uppföljning och organisation</w:t>
            </w:r>
            <w:r w:rsidR="00E52BC6">
              <w:rPr>
                <w:noProof/>
                <w:webHidden/>
              </w:rPr>
              <w:tab/>
            </w:r>
            <w:r w:rsidR="00E52BC6">
              <w:rPr>
                <w:noProof/>
                <w:webHidden/>
              </w:rPr>
              <w:fldChar w:fldCharType="begin"/>
            </w:r>
            <w:r w:rsidR="00E52BC6">
              <w:rPr>
                <w:noProof/>
                <w:webHidden/>
              </w:rPr>
              <w:instrText xml:space="preserve"> PAGEREF _Toc166588830 \h </w:instrText>
            </w:r>
            <w:r w:rsidR="00E52BC6">
              <w:rPr>
                <w:noProof/>
                <w:webHidden/>
              </w:rPr>
            </w:r>
            <w:r w:rsidR="00E52BC6">
              <w:rPr>
                <w:noProof/>
                <w:webHidden/>
              </w:rPr>
              <w:fldChar w:fldCharType="separate"/>
            </w:r>
            <w:r w:rsidR="00E52BC6">
              <w:rPr>
                <w:noProof/>
                <w:webHidden/>
              </w:rPr>
              <w:t>6</w:t>
            </w:r>
            <w:r w:rsidR="00E52BC6">
              <w:rPr>
                <w:noProof/>
                <w:webHidden/>
              </w:rPr>
              <w:fldChar w:fldCharType="end"/>
            </w:r>
          </w:hyperlink>
        </w:p>
        <w:p w14:paraId="17D4B4C3" w14:textId="1B299E56" w:rsidR="008A5068" w:rsidRDefault="008A5068">
          <w:r>
            <w:rPr>
              <w:b/>
              <w:bCs/>
            </w:rPr>
            <w:fldChar w:fldCharType="end"/>
          </w:r>
        </w:p>
      </w:sdtContent>
    </w:sdt>
    <w:p w14:paraId="12C892BA" w14:textId="11DF28B4" w:rsidR="00C26127" w:rsidRDefault="00C26127" w:rsidP="00932B7E"/>
    <w:p w14:paraId="39293937" w14:textId="77777777" w:rsidR="00C26127" w:rsidRDefault="00C26127">
      <w:pPr>
        <w:spacing w:line="259" w:lineRule="auto"/>
      </w:pPr>
      <w:r>
        <w:br w:type="page"/>
      </w:r>
    </w:p>
    <w:p w14:paraId="0D4DF241" w14:textId="08FB133E" w:rsidR="000C35B3" w:rsidRDefault="000C35B3" w:rsidP="000C35B3">
      <w:pPr>
        <w:pStyle w:val="Rubrik2"/>
      </w:pPr>
      <w:bookmarkStart w:id="2" w:name="_Toc166588822"/>
      <w:r>
        <w:lastRenderedPageBreak/>
        <w:t>Inledning</w:t>
      </w:r>
      <w:bookmarkEnd w:id="2"/>
    </w:p>
    <w:p w14:paraId="6D14ACF8" w14:textId="77777777" w:rsidR="006F07E4" w:rsidRPr="006F07E4" w:rsidRDefault="006F07E4" w:rsidP="006F07E4">
      <w:r w:rsidRPr="006F07E4">
        <w:t xml:space="preserve">Kalmar kommun ska vara en plats där alla människor har rätt att leva sitt liv, vara självständig och fri och känna sig trygg oavsett sin sexuella läggning, könsidentitet eller könsuttryck. För att nå dit krävs ett aktivt och systematiskt rättighetsbaserat arbete. År 2015 tog Kalmar kommun ett första steg för att integrera hbtqi-perspektivet i organisationen, då kommunfullmäktige antog handlingsplanen: På lika villkor – hbtq-handlingsplan 2016–2020. Nu tas nästa steg, med en strategi som blir gällande mellan 2024 och 2026. I den nya strategin inkluderas intersexpersoner, samt övriga definitioner och sexuella läggningar därför ändras titeln till: </w:t>
      </w:r>
      <w:r w:rsidRPr="006F07E4">
        <w:rPr>
          <w:i/>
          <w:iCs/>
        </w:rPr>
        <w:t>På lika villkor – Hbtqia+- strategi 2024–2026.</w:t>
      </w:r>
      <w:r w:rsidRPr="006F07E4">
        <w:t xml:space="preserve"> Den nya strategin ersätter tidigare handlingsplan, strategin är mer övergripande och antas av kommunfullmäktige för hela kommunkoncernen. Samtidigt får kommunstyrelsen ett samordnings- och uppföljningsansvar och respektive nämnd får i uppdrag att ta fram handlingsplaner med aktiviteter för att uppnå den av fullmäktige beslutade strategin. </w:t>
      </w:r>
    </w:p>
    <w:p w14:paraId="4D3C9630" w14:textId="77777777" w:rsidR="006F07E4" w:rsidRPr="006F07E4" w:rsidRDefault="006F07E4" w:rsidP="006F07E4"/>
    <w:p w14:paraId="285A7F17" w14:textId="77777777" w:rsidR="006F07E4" w:rsidRPr="006F07E4" w:rsidRDefault="006F07E4" w:rsidP="006F07E4">
      <w:r w:rsidRPr="006F07E4">
        <w:t>Homosexuella, bisexuella, transpersoner, personer med queera identiteter, intersexvariationer och asexuella (hbtqia+-personer) löper större risk än övriga befolkningen för att bli utsatta för diskriminering, trakasserier, hot och våld. Erfarenheter av och rädsla för att bli utsatt har en negativ inverkan på hbtqi-personers hälsa och upplevelser av trygghet. Särskilt oroande är situationen för unga transpersoner där ohälsan och suicidrisken är hög. Situationen för äldre hbtqi-personer är svår och många äldre oroar sig över att negativa attityder ska utgöra hinder för att kunna leva öppet i livets slutskede. Hbtqi-personer som utöver hbtqi-fobi även möter rasism eller funkofobi är särskilt utsatta.</w:t>
      </w:r>
    </w:p>
    <w:p w14:paraId="32CA4C0E" w14:textId="77777777" w:rsidR="006F07E4" w:rsidRPr="006F07E4" w:rsidRDefault="006F07E4" w:rsidP="006F07E4"/>
    <w:p w14:paraId="15D47F7E" w14:textId="77777777" w:rsidR="006F07E4" w:rsidRPr="006F07E4" w:rsidRDefault="006F07E4" w:rsidP="006F07E4">
      <w:r w:rsidRPr="006F07E4">
        <w:t>I januari 2014 antog regeringen en strategi för lika rättigheter och möjligheter oavsett sexuell läggning, könsidentitet eller könsuttryck. Denna bygger på fokusområden som bedöms ha central betydelse för hbtq-personers lika rättigheter och möjligheter. De sex fokusområden som strategin omfattar är våld, diskriminering/kränkningar, unga hbtqia+-personer, hälsa, vård och sociala tjänster, privat- och familjeliv, kulturområdet samt civila samhället. I januari 2021 antog regeringen en handlingsplan för hbtqia+-personers lika rättigheter och möjligheter i syfte att förstärka arbetet ytterligare. Arbetet har kompletterats med fokusområdena arbetsliv och äldre hbtqi-personer.</w:t>
      </w:r>
    </w:p>
    <w:p w14:paraId="142BC66A" w14:textId="77777777" w:rsidR="006F07E4" w:rsidRPr="006F07E4" w:rsidRDefault="006F07E4" w:rsidP="006F07E4"/>
    <w:p w14:paraId="6E67887A" w14:textId="77777777" w:rsidR="006F07E4" w:rsidRPr="006F07E4" w:rsidRDefault="006F07E4" w:rsidP="006F07E4">
      <w:r w:rsidRPr="006F07E4">
        <w:t>Förutom regeringens strategi och handlingsplan för lika rättigheter och möjligheter så utgör Diskrimineringslagen (2008:567) grund för den lokala handlingsplanen, tillsammans med FN:s Agenda 2030, FN:s konventionen om mänskliga rättigheter och de globala målen för hållbar utveckling. Arbetet med att förbättra hbtqia+-personers situation och att stärka hbtqia+-personers rättigheter har en självklar koppling till Agenda 2030 och dess ambition om att ingen ska lämnas utanför arbetet - ”</w:t>
      </w:r>
      <w:proofErr w:type="spellStart"/>
      <w:r w:rsidRPr="006F07E4">
        <w:t>leave</w:t>
      </w:r>
      <w:proofErr w:type="spellEnd"/>
      <w:r w:rsidRPr="006F07E4">
        <w:t xml:space="preserve"> no </w:t>
      </w:r>
      <w:proofErr w:type="spellStart"/>
      <w:r w:rsidRPr="006F07E4">
        <w:t>one</w:t>
      </w:r>
      <w:proofErr w:type="spellEnd"/>
      <w:r w:rsidRPr="006F07E4">
        <w:t xml:space="preserve"> </w:t>
      </w:r>
      <w:proofErr w:type="spellStart"/>
      <w:r w:rsidRPr="006F07E4">
        <w:t>behind</w:t>
      </w:r>
      <w:proofErr w:type="spellEnd"/>
      <w:r w:rsidRPr="006F07E4">
        <w:t>”.’</w:t>
      </w:r>
    </w:p>
    <w:p w14:paraId="77A5889E" w14:textId="5ECB615A" w:rsidR="00F17448" w:rsidRDefault="00F17448" w:rsidP="000C35B3"/>
    <w:p w14:paraId="620609C9" w14:textId="706941D4" w:rsidR="00F17448" w:rsidRDefault="00F17448">
      <w:pPr>
        <w:spacing w:after="160" w:line="259" w:lineRule="auto"/>
      </w:pPr>
      <w:r>
        <w:br w:type="page"/>
      </w:r>
    </w:p>
    <w:p w14:paraId="025A2ACE" w14:textId="1DB9E711" w:rsidR="006726EC" w:rsidRPr="006726EC" w:rsidRDefault="006F07E4" w:rsidP="006726EC">
      <w:pPr>
        <w:pStyle w:val="Rubrik2"/>
      </w:pPr>
      <w:bookmarkStart w:id="3" w:name="_Toc166588823"/>
      <w:r>
        <w:lastRenderedPageBreak/>
        <w:t>Koppling till övriga styrande dokument</w:t>
      </w:r>
      <w:bookmarkEnd w:id="3"/>
      <w:r>
        <w:t xml:space="preserve"> </w:t>
      </w:r>
    </w:p>
    <w:p w14:paraId="0804A56D" w14:textId="2A59D930" w:rsidR="00273BF4" w:rsidRDefault="00273BF4" w:rsidP="006726EC"/>
    <w:p w14:paraId="5B1D31B3" w14:textId="77777777" w:rsidR="006F07E4" w:rsidRPr="006F07E4" w:rsidRDefault="006F07E4" w:rsidP="006F07E4">
      <w:pPr>
        <w:spacing w:after="160" w:line="259" w:lineRule="auto"/>
      </w:pPr>
      <w:r w:rsidRPr="006F07E4">
        <w:t>Strategin utgör del i kommunens övergripande arbete för en hållbar utveckling och har koppling till flera beslutade strategier och handlingsplaner som anger riktningen för social hållbarhet och målet om ”Ett Kalmar för alla”. Det framkommer regelbundet i nationella undersökningar att hbtqi-personer som utsätts eller riskeras att utsättas för ytterligare kränkningar och diskriminering baserat på ålder, funktionsnedsättning, trosuppfattning, etnisk och kulturell bakgrund löper större risk för ohälsa och inskränkningar av sina levnadsvillkor. Kunskap om hur hbtqia+-frågorna förhåller sig till övriga diskrimineringsgrunder och rättighetsområden är därför en förutsättning för att arbetet ska bedrivas på ett framgångsrikt sätt. Nedan listas de styrande dokument som är av relevans.</w:t>
      </w:r>
    </w:p>
    <w:p w14:paraId="0A088F26" w14:textId="77777777" w:rsidR="006F07E4" w:rsidRPr="006F07E4" w:rsidRDefault="006F07E4" w:rsidP="006F07E4">
      <w:pPr>
        <w:numPr>
          <w:ilvl w:val="0"/>
          <w:numId w:val="37"/>
        </w:numPr>
        <w:spacing w:after="160" w:line="259" w:lineRule="auto"/>
      </w:pPr>
      <w:r w:rsidRPr="006F07E4">
        <w:t>”Tillträde till samhället” – strategi och stöd för arbetet med delaktighet och tillgänglighet för personer med funktionsnedsättning 2020–2030</w:t>
      </w:r>
    </w:p>
    <w:p w14:paraId="05686698" w14:textId="77777777" w:rsidR="006F07E4" w:rsidRPr="006F07E4" w:rsidRDefault="006F07E4" w:rsidP="006F07E4">
      <w:pPr>
        <w:numPr>
          <w:ilvl w:val="0"/>
          <w:numId w:val="37"/>
        </w:numPr>
        <w:spacing w:after="160" w:line="259" w:lineRule="auto"/>
      </w:pPr>
      <w:r w:rsidRPr="006F07E4">
        <w:t>Strategi för etnisk och kulturell inkludering 2022–2025</w:t>
      </w:r>
    </w:p>
    <w:p w14:paraId="11349B21" w14:textId="77777777" w:rsidR="006F07E4" w:rsidRPr="006F07E4" w:rsidRDefault="006F07E4" w:rsidP="006F07E4">
      <w:pPr>
        <w:numPr>
          <w:ilvl w:val="0"/>
          <w:numId w:val="37"/>
        </w:numPr>
        <w:spacing w:after="160" w:line="259" w:lineRule="auto"/>
      </w:pPr>
      <w:r w:rsidRPr="006F07E4">
        <w:t>Kalmar kommuns strategi för jämställdhet 2018–2024</w:t>
      </w:r>
    </w:p>
    <w:p w14:paraId="2A300686" w14:textId="77777777" w:rsidR="006F07E4" w:rsidRPr="006F07E4" w:rsidRDefault="006F07E4" w:rsidP="006F07E4">
      <w:pPr>
        <w:numPr>
          <w:ilvl w:val="0"/>
          <w:numId w:val="37"/>
        </w:numPr>
        <w:spacing w:after="160" w:line="259" w:lineRule="auto"/>
      </w:pPr>
      <w:r w:rsidRPr="006F07E4">
        <w:t>Riktlinjer för Kalmar kommuns minoritetspolitiska arbete 2023–2026</w:t>
      </w:r>
    </w:p>
    <w:p w14:paraId="0F770BBD" w14:textId="77777777" w:rsidR="006F07E4" w:rsidRPr="006F07E4" w:rsidRDefault="006F07E4" w:rsidP="006F07E4">
      <w:pPr>
        <w:numPr>
          <w:ilvl w:val="0"/>
          <w:numId w:val="37"/>
        </w:numPr>
        <w:spacing w:after="160" w:line="259" w:lineRule="auto"/>
      </w:pPr>
      <w:r w:rsidRPr="006F07E4">
        <w:t>Lokal strategi för att förebygga och motverka mäns våld mot kvinnor och våld i nära relation 2022–2026</w:t>
      </w:r>
    </w:p>
    <w:p w14:paraId="650A08F5" w14:textId="529687B0" w:rsidR="006F07E4" w:rsidRPr="006F07E4" w:rsidRDefault="006F07E4" w:rsidP="006F07E4">
      <w:pPr>
        <w:numPr>
          <w:ilvl w:val="0"/>
          <w:numId w:val="37"/>
        </w:numPr>
        <w:spacing w:after="160" w:line="259" w:lineRule="auto"/>
      </w:pPr>
      <w:r w:rsidRPr="006F07E4">
        <w:t xml:space="preserve">Plan för samverkan och åtgärder för att förebygga och motverka våldsbejakande extremism i Kalmar kommun </w:t>
      </w:r>
      <w:r w:rsidR="000F5344" w:rsidRPr="006F07E4">
        <w:t>2018–2025</w:t>
      </w:r>
      <w:r w:rsidRPr="006F07E4">
        <w:t xml:space="preserve"> </w:t>
      </w:r>
    </w:p>
    <w:p w14:paraId="103524A3" w14:textId="77777777" w:rsidR="006F07E4" w:rsidRDefault="006F07E4" w:rsidP="006F07E4">
      <w:pPr>
        <w:spacing w:after="160" w:line="259" w:lineRule="auto"/>
      </w:pPr>
    </w:p>
    <w:p w14:paraId="000B973A" w14:textId="36BDD0D4" w:rsidR="00EC055A" w:rsidRDefault="006F07E4" w:rsidP="006F07E4">
      <w:pPr>
        <w:pStyle w:val="Rubrik2"/>
      </w:pPr>
      <w:bookmarkStart w:id="4" w:name="_Toc166588824"/>
      <w:r>
        <w:t xml:space="preserve">På lika villkor – Hbtqia+-strategi </w:t>
      </w:r>
      <w:r w:rsidR="000F5344">
        <w:t>2024–2026</w:t>
      </w:r>
      <w:bookmarkEnd w:id="4"/>
    </w:p>
    <w:p w14:paraId="31EB5A9E" w14:textId="77777777" w:rsidR="00E30D30" w:rsidRPr="00E30D30" w:rsidRDefault="00E30D30" w:rsidP="00E30D30">
      <w:r w:rsidRPr="00E30D30">
        <w:t xml:space="preserve">Strategin utgör grunden för det systematiska och långsiktiga arbetet med att stärka hbtqia+- personers rättigheter lokalt. I utvecklingen av strategin har ansvariga tjänstepersoner från samtliga förvaltningar bjudits in i syfte att inkomma med synpunkter. </w:t>
      </w:r>
    </w:p>
    <w:p w14:paraId="09B2BDBB" w14:textId="77777777" w:rsidR="00E30D30" w:rsidRPr="00E30D30" w:rsidRDefault="00E30D30" w:rsidP="00E30D30"/>
    <w:p w14:paraId="6E510641" w14:textId="37092486" w:rsidR="000F5344" w:rsidRPr="000F5344" w:rsidRDefault="000F5344" w:rsidP="000F5344">
      <w:pPr>
        <w:pStyle w:val="Rubrik2"/>
        <w:rPr>
          <w:bCs/>
        </w:rPr>
      </w:pPr>
      <w:bookmarkStart w:id="5" w:name="_Toc166588825"/>
      <w:r w:rsidRPr="000F5344">
        <w:rPr>
          <w:bCs/>
        </w:rPr>
        <w:t>Strategiområden</w:t>
      </w:r>
      <w:bookmarkEnd w:id="5"/>
    </w:p>
    <w:p w14:paraId="3569D304" w14:textId="1E3C0581" w:rsidR="000F5344" w:rsidRPr="000F5344" w:rsidRDefault="000F5344" w:rsidP="000F5344">
      <w:pPr>
        <w:spacing w:after="160" w:line="259" w:lineRule="auto"/>
      </w:pPr>
      <w:r w:rsidRPr="000F5344">
        <w:t>Den övergripande målsättningen för arbetet enligt strategin är att hbtqia+-personer i Kalmar kommun ska tillgodoses lika rättigheter och möjligheter i alla skeden av livet. Fyra strategiområden har formulerats. Till varje område följer en rad aktiviteter som bedöms utgöra viktiga steg i arbetet, och som tas fram och beslutas av respektive nämnd.</w:t>
      </w:r>
    </w:p>
    <w:p w14:paraId="37D10D68" w14:textId="77777777" w:rsidR="000F5344" w:rsidRPr="000F5344" w:rsidRDefault="000F5344" w:rsidP="000F5344">
      <w:pPr>
        <w:numPr>
          <w:ilvl w:val="0"/>
          <w:numId w:val="38"/>
        </w:numPr>
        <w:spacing w:after="160" w:line="259" w:lineRule="auto"/>
      </w:pPr>
      <w:r w:rsidRPr="000F5344">
        <w:lastRenderedPageBreak/>
        <w:t>Kalmar kommun ska säkerställa att hbtqia+­perspektivet integreras i det ordinarie arbetet och att det utgör del i det övergripande arbetet med mänskliga rättigheter.</w:t>
      </w:r>
    </w:p>
    <w:p w14:paraId="69FC1729" w14:textId="374FF7FC" w:rsidR="000F5344" w:rsidRPr="000F5344" w:rsidRDefault="000F5344" w:rsidP="000F5344">
      <w:pPr>
        <w:numPr>
          <w:ilvl w:val="0"/>
          <w:numId w:val="38"/>
        </w:numPr>
        <w:spacing w:after="160" w:line="259" w:lineRule="auto"/>
      </w:pPr>
      <w:r w:rsidRPr="000F5344">
        <w:t>Kalmar kommuns förtroendevalda, chefer och medarbetare ska ha kompetens i hbtqi</w:t>
      </w:r>
      <w:r w:rsidR="00E30D30">
        <w:t>a+</w:t>
      </w:r>
      <w:r w:rsidR="003F54DC">
        <w:t>-</w:t>
      </w:r>
      <w:r w:rsidRPr="000F5344">
        <w:t>frågor och normkritik.</w:t>
      </w:r>
    </w:p>
    <w:p w14:paraId="07116B92" w14:textId="77777777" w:rsidR="000F5344" w:rsidRPr="000F5344" w:rsidRDefault="000F5344" w:rsidP="000F5344">
      <w:pPr>
        <w:numPr>
          <w:ilvl w:val="0"/>
          <w:numId w:val="38"/>
        </w:numPr>
        <w:spacing w:after="160" w:line="259" w:lineRule="auto"/>
      </w:pPr>
      <w:r w:rsidRPr="000F5344">
        <w:t>Kalmar kommun ska vara en attraktiv arbetsgivare och ska erbjuda en trygg och utvecklande arbetsmiljö för alla oavsett sexuell läggning, könsidentitet eller könsuttryck.</w:t>
      </w:r>
    </w:p>
    <w:p w14:paraId="40979F55" w14:textId="3348B167" w:rsidR="0000675C" w:rsidRPr="0000675C" w:rsidRDefault="000F5344" w:rsidP="0000675C">
      <w:pPr>
        <w:numPr>
          <w:ilvl w:val="0"/>
          <w:numId w:val="38"/>
        </w:numPr>
        <w:spacing w:after="160" w:line="259" w:lineRule="auto"/>
      </w:pPr>
      <w:r w:rsidRPr="000F5344">
        <w:t>Kalmar kommun ska vara en trygg och attraktiv kommun för hbtqia+-personer i alla åldrar.</w:t>
      </w:r>
    </w:p>
    <w:p w14:paraId="34CEE5BD" w14:textId="0EEDC5FA" w:rsidR="0000675C" w:rsidRPr="0000675C" w:rsidRDefault="0000675C" w:rsidP="0000675C">
      <w:pPr>
        <w:pStyle w:val="Rubrik2"/>
        <w:rPr>
          <w:bCs/>
        </w:rPr>
      </w:pPr>
      <w:bookmarkStart w:id="6" w:name="_Toc166588826"/>
      <w:r w:rsidRPr="0000675C">
        <w:rPr>
          <w:bCs/>
        </w:rPr>
        <w:t>Strategiområde 1</w:t>
      </w:r>
      <w:bookmarkEnd w:id="6"/>
    </w:p>
    <w:p w14:paraId="00504C0C" w14:textId="77777777" w:rsidR="0000675C" w:rsidRPr="0000675C" w:rsidRDefault="0000675C" w:rsidP="0000675C">
      <w:pPr>
        <w:spacing w:after="160" w:line="259" w:lineRule="auto"/>
      </w:pPr>
      <w:r w:rsidRPr="0000675C">
        <w:t>Kalmar kommun ska säkerställa att hbtqia+­perspektivet integreras i det ordinarie arbetet och att det utgör del i det övergripande arbetet med mänskliga rättigheter.</w:t>
      </w:r>
    </w:p>
    <w:p w14:paraId="2382074F" w14:textId="77777777" w:rsidR="0000675C" w:rsidRPr="0000675C" w:rsidRDefault="0000675C" w:rsidP="0000675C">
      <w:pPr>
        <w:spacing w:after="160" w:line="259" w:lineRule="auto"/>
      </w:pPr>
      <w:r w:rsidRPr="0000675C">
        <w:t>Kalmar kommun har en hög ambition vad gäller mänskliga rättigheter och hbtqia+-området utgör inget undantag. För att säkerställa kontinuitet och kraft i arbetet behöver hbtqia+-frågorna precis som andra områden inom social hållbarhet systematiskt arbetas in i verksamheternas ordinarie arbete. Av stor vikt är att situationen för målgruppen bryts ner och följs upp i lokala mätningar där så är möjligt.</w:t>
      </w:r>
    </w:p>
    <w:p w14:paraId="59119071" w14:textId="429D3B42" w:rsidR="00932B7E" w:rsidRDefault="00932B7E" w:rsidP="000F5344">
      <w:pPr>
        <w:spacing w:after="160" w:line="259" w:lineRule="auto"/>
      </w:pPr>
    </w:p>
    <w:p w14:paraId="2E71C8E2" w14:textId="653C9DEC" w:rsidR="0000675C" w:rsidRPr="0000675C" w:rsidRDefault="0000675C" w:rsidP="0000675C">
      <w:pPr>
        <w:pStyle w:val="Rubrik2"/>
      </w:pPr>
      <w:bookmarkStart w:id="7" w:name="_Toc166588827"/>
      <w:r w:rsidRPr="0000675C">
        <w:t>Strategiområde 2</w:t>
      </w:r>
      <w:bookmarkEnd w:id="7"/>
    </w:p>
    <w:p w14:paraId="5E345C0B" w14:textId="77777777" w:rsidR="0000675C" w:rsidRPr="0000675C" w:rsidRDefault="0000675C" w:rsidP="0000675C">
      <w:pPr>
        <w:spacing w:after="160" w:line="259" w:lineRule="auto"/>
      </w:pPr>
      <w:r w:rsidRPr="0000675C">
        <w:t>Kalmar kommuns förtroendevalda, chefer och medarbetare ska ha kompetens i hbtqia+-frågor och normkritik.</w:t>
      </w:r>
    </w:p>
    <w:p w14:paraId="19BBF8F3" w14:textId="77777777" w:rsidR="0000675C" w:rsidRPr="0000675C" w:rsidRDefault="0000675C" w:rsidP="0000675C">
      <w:pPr>
        <w:spacing w:after="160" w:line="259" w:lineRule="auto"/>
      </w:pPr>
      <w:r w:rsidRPr="0000675C">
        <w:t>I Kalmar kommun ska alla invånare känna sig välkomna och respekterade. För att säkerställa ett gott och respektfullt bemötande är det av stor vikt att förtroendevalda, chefer och medarbetare har grundläggande kompetens inom hbtqi-frågor och normkritik. Området har en hög prioritet då kompetenshöjande insatser enligt forskning visat sig ha en positiv effekt för hbtqi-personers hälsa.</w:t>
      </w:r>
    </w:p>
    <w:p w14:paraId="22ED25AB" w14:textId="77777777" w:rsidR="0000675C" w:rsidRDefault="0000675C" w:rsidP="000F5344">
      <w:pPr>
        <w:spacing w:after="160" w:line="259" w:lineRule="auto"/>
      </w:pPr>
    </w:p>
    <w:p w14:paraId="7D48B07A" w14:textId="33CC59C9" w:rsidR="0000675C" w:rsidRPr="0000675C" w:rsidRDefault="0000675C" w:rsidP="0000675C">
      <w:pPr>
        <w:pStyle w:val="Rubrik2"/>
      </w:pPr>
      <w:bookmarkStart w:id="8" w:name="_Toc166588828"/>
      <w:r w:rsidRPr="0000675C">
        <w:t>Strategiområde 3</w:t>
      </w:r>
      <w:bookmarkEnd w:id="8"/>
    </w:p>
    <w:p w14:paraId="68A7262A" w14:textId="77777777" w:rsidR="0000675C" w:rsidRPr="0000675C" w:rsidRDefault="0000675C" w:rsidP="0000675C">
      <w:r w:rsidRPr="0000675C">
        <w:t>Kalmar kommun ska vara en attraktiv arbetsgivare som ska erbjuda en trygg och utvecklande arbetsmiljö för alla anställda oavsett sexuell läggning, könsidentitet eller könsuttryck.</w:t>
      </w:r>
    </w:p>
    <w:p w14:paraId="6F6FFE2F" w14:textId="77777777" w:rsidR="0000675C" w:rsidRPr="0000675C" w:rsidRDefault="0000675C" w:rsidP="0000675C">
      <w:r w:rsidRPr="0000675C">
        <w:t xml:space="preserve">Kalmar kommun ska vara ett föredöme som arbetsgivare. Forskning visar att hbtqi-personer, jämfört med andra anställda, oftare utsätts för kränkande </w:t>
      </w:r>
      <w:r w:rsidRPr="0000675C">
        <w:lastRenderedPageBreak/>
        <w:t>särbehandling, trakasserier och mobbning på jobbet och att arbetsplatsen är en heteronormativ arena. Området kräver således aktiva åtgärder för att främja lika rättigheter och möjligheter på arbetsplatsen.</w:t>
      </w:r>
    </w:p>
    <w:p w14:paraId="5E9962A1" w14:textId="693B7DCB" w:rsidR="00CC72B9" w:rsidRDefault="00CC72B9" w:rsidP="00932B7E"/>
    <w:p w14:paraId="71BD5FAF" w14:textId="77777777" w:rsidR="00877EE6" w:rsidRDefault="00877EE6">
      <w:pPr>
        <w:spacing w:after="160" w:line="259" w:lineRule="auto"/>
        <w:rPr>
          <w:noProof/>
        </w:rPr>
      </w:pPr>
    </w:p>
    <w:p w14:paraId="506197A2" w14:textId="2D88D40A" w:rsidR="0000675C" w:rsidRPr="0000675C" w:rsidRDefault="0000675C" w:rsidP="0000675C">
      <w:pPr>
        <w:pStyle w:val="Rubrik2"/>
        <w:rPr>
          <w:noProof/>
        </w:rPr>
      </w:pPr>
      <w:bookmarkStart w:id="9" w:name="_Toc166588829"/>
      <w:r w:rsidRPr="0000675C">
        <w:rPr>
          <w:noProof/>
        </w:rPr>
        <w:t>Strategiområde 4</w:t>
      </w:r>
      <w:bookmarkEnd w:id="9"/>
    </w:p>
    <w:p w14:paraId="4B02F971" w14:textId="77777777" w:rsidR="0000675C" w:rsidRPr="0000675C" w:rsidRDefault="0000675C" w:rsidP="0000675C">
      <w:pPr>
        <w:spacing w:after="160" w:line="259" w:lineRule="auto"/>
        <w:rPr>
          <w:noProof/>
        </w:rPr>
      </w:pPr>
      <w:r w:rsidRPr="0000675C">
        <w:rPr>
          <w:noProof/>
        </w:rPr>
        <w:t>Kalmar kommun ska vara en trygg och attraktiv kommun för hbtqi-personer i alla åldrar.</w:t>
      </w:r>
    </w:p>
    <w:p w14:paraId="4C284ADA" w14:textId="77777777" w:rsidR="0000675C" w:rsidRPr="0000675C" w:rsidRDefault="0000675C" w:rsidP="0000675C">
      <w:pPr>
        <w:spacing w:after="160" w:line="259" w:lineRule="auto"/>
        <w:rPr>
          <w:noProof/>
        </w:rPr>
      </w:pPr>
      <w:r w:rsidRPr="0000675C">
        <w:rPr>
          <w:noProof/>
        </w:rPr>
        <w:t xml:space="preserve">I Kalmar kommun ska alla känna sig välkomna och ha goda möjligheter att uppnå livsmål och förverkliga sina drömmar. Alla invånare i Kalmar kommun ska ha lika möjligheter att växa upp, leva och åldras i trygghet. Kalmar kommun ska värna om den kraft och kompetens som finns hos lokala hbtqi-föreningar. En meningsfull fritid är grundläggande. Alla ska kunna känna sig trygga i att kommunalt stödda föreningar är fri från diskriminering och att respekt för att de mänskliga rättigheterna och grundläggande demokratiska värderingar är väl förankrade i verksamheten. </w:t>
      </w:r>
    </w:p>
    <w:p w14:paraId="45C14818" w14:textId="1E65F1CB" w:rsidR="00453A31" w:rsidRDefault="00453A31" w:rsidP="000F5344">
      <w:pPr>
        <w:spacing w:after="160" w:line="259" w:lineRule="auto"/>
      </w:pPr>
    </w:p>
    <w:p w14:paraId="06CA8BFF" w14:textId="77777777" w:rsidR="006D36BA" w:rsidRPr="0000675C" w:rsidRDefault="006D36BA" w:rsidP="006D36BA">
      <w:pPr>
        <w:pStyle w:val="Rubrik2"/>
        <w:rPr>
          <w:bCs/>
        </w:rPr>
      </w:pPr>
      <w:bookmarkStart w:id="10" w:name="_Toc166588830"/>
      <w:r w:rsidRPr="0000675C">
        <w:rPr>
          <w:bCs/>
        </w:rPr>
        <w:t>Uppföljning och organisation</w:t>
      </w:r>
      <w:bookmarkEnd w:id="10"/>
    </w:p>
    <w:p w14:paraId="2369655E" w14:textId="77777777" w:rsidR="006D36BA" w:rsidRPr="0000675C" w:rsidRDefault="006D36BA" w:rsidP="006D36BA">
      <w:pPr>
        <w:spacing w:after="160" w:line="259" w:lineRule="auto"/>
      </w:pPr>
      <w:r w:rsidRPr="0000675C">
        <w:t>Strategin ska ingå i den samlade uppföljningen av handlingsplaner och program som ges till kommunfullmäktiges sammanträde i maj varje år.</w:t>
      </w:r>
    </w:p>
    <w:p w14:paraId="1D6295AD" w14:textId="77777777" w:rsidR="006D36BA" w:rsidRPr="0000675C" w:rsidRDefault="006D36BA" w:rsidP="006D36BA">
      <w:pPr>
        <w:spacing w:after="160" w:line="259" w:lineRule="auto"/>
        <w:rPr>
          <w:b/>
          <w:bCs/>
        </w:rPr>
      </w:pPr>
      <w:r w:rsidRPr="0000675C">
        <w:rPr>
          <w:b/>
          <w:bCs/>
        </w:rPr>
        <w:t>Organisation</w:t>
      </w:r>
    </w:p>
    <w:p w14:paraId="6A14CF1C" w14:textId="77777777" w:rsidR="006D36BA" w:rsidRDefault="006D36BA" w:rsidP="006D36BA">
      <w:pPr>
        <w:pStyle w:val="Liststycke"/>
        <w:numPr>
          <w:ilvl w:val="0"/>
          <w:numId w:val="37"/>
        </w:numPr>
        <w:spacing w:after="160" w:line="259" w:lineRule="auto"/>
      </w:pPr>
      <w:r w:rsidRPr="0000675C">
        <w:t>Kommunstyrelsen ansvarar för styrning och uppföljning av koncernens samlade hbtqia+ arbete.  De ansvarar även för det opinionsbildande arbetet.</w:t>
      </w:r>
    </w:p>
    <w:p w14:paraId="3B5A4707" w14:textId="77777777" w:rsidR="006D36BA" w:rsidRDefault="006D36BA" w:rsidP="006D36BA">
      <w:pPr>
        <w:pStyle w:val="Liststycke"/>
        <w:numPr>
          <w:ilvl w:val="0"/>
          <w:numId w:val="37"/>
        </w:numPr>
        <w:spacing w:after="160" w:line="259" w:lineRule="auto"/>
      </w:pPr>
      <w:r w:rsidRPr="0000675C">
        <w:t>Kommunledningskontoret ansvarar för övergripande utvecklings-, uppföljnings- och samordningsinsatser. Förvaltningen ska bistå med stöd, rådgivning och information till kommunkoncernen samt för omvärldsbevakning inom området.</w:t>
      </w:r>
    </w:p>
    <w:p w14:paraId="1163B9ED" w14:textId="77777777" w:rsidR="006D36BA" w:rsidRDefault="006D36BA" w:rsidP="006D36BA">
      <w:pPr>
        <w:pStyle w:val="Liststycke"/>
        <w:numPr>
          <w:ilvl w:val="0"/>
          <w:numId w:val="37"/>
        </w:numPr>
        <w:spacing w:after="160" w:line="259" w:lineRule="auto"/>
      </w:pPr>
      <w:r w:rsidRPr="0000675C">
        <w:t>Nämnder och kommunala bolagsstyrelser ansvarar för beslut, genomförande och uppföljning av insatser för att uppnå strategins inom sina respektive ansvarsområden.</w:t>
      </w:r>
    </w:p>
    <w:p w14:paraId="7E7E7A3D" w14:textId="73DF813A" w:rsidR="00D33ED3" w:rsidRPr="000F5344" w:rsidRDefault="00D33ED3" w:rsidP="000F5344">
      <w:pPr>
        <w:spacing w:after="160" w:line="259" w:lineRule="auto"/>
      </w:pPr>
    </w:p>
    <w:sectPr w:rsidR="00D33ED3" w:rsidRPr="000F5344" w:rsidSect="006955CE">
      <w:headerReference w:type="default" r:id="rId12"/>
      <w:footerReference w:type="default" r:id="rId13"/>
      <w:headerReference w:type="first" r:id="rId14"/>
      <w:footerReference w:type="first" r:id="rId15"/>
      <w:pgSz w:w="11906" w:h="16838"/>
      <w:pgMar w:top="1985" w:right="1985" w:bottom="2268" w:left="1985"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3ECE" w14:textId="77777777" w:rsidR="00C83C03" w:rsidRDefault="00C83C03" w:rsidP="00B07CAA">
      <w:r>
        <w:separator/>
      </w:r>
    </w:p>
  </w:endnote>
  <w:endnote w:type="continuationSeparator" w:id="0">
    <w:p w14:paraId="5BC1479F" w14:textId="77777777" w:rsidR="00C83C03" w:rsidRDefault="00C83C03" w:rsidP="00B0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Goth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44A5" w14:textId="26942390" w:rsidR="00FC7894" w:rsidRPr="00FA0157" w:rsidRDefault="00FC7894">
    <w:pPr>
      <w:pStyle w:val="Sidfot"/>
      <w:jc w:val="center"/>
      <w:rPr>
        <w:caps/>
        <w:color w:val="000000" w:themeColor="text1"/>
      </w:rPr>
    </w:pPr>
    <w:r w:rsidRPr="00FA0157">
      <w:rPr>
        <w:caps/>
        <w:color w:val="000000" w:themeColor="text1"/>
      </w:rPr>
      <w:fldChar w:fldCharType="begin"/>
    </w:r>
    <w:r w:rsidRPr="00FA0157">
      <w:rPr>
        <w:caps/>
        <w:color w:val="000000" w:themeColor="text1"/>
      </w:rPr>
      <w:instrText>PAGE   \* MERGEFORMAT</w:instrText>
    </w:r>
    <w:r w:rsidRPr="00FA0157">
      <w:rPr>
        <w:caps/>
        <w:color w:val="000000" w:themeColor="text1"/>
      </w:rPr>
      <w:fldChar w:fldCharType="separate"/>
    </w:r>
    <w:r w:rsidRPr="00FA0157">
      <w:rPr>
        <w:caps/>
        <w:color w:val="000000" w:themeColor="text1"/>
      </w:rPr>
      <w:t>2</w:t>
    </w:r>
    <w:r w:rsidRPr="00FA0157">
      <w:rPr>
        <w:caps/>
        <w:color w:val="000000" w:themeColor="text1"/>
      </w:rPr>
      <w:fldChar w:fldCharType="end"/>
    </w:r>
  </w:p>
  <w:p w14:paraId="5C112EAC" w14:textId="20EDDEC7" w:rsidR="00B57C98" w:rsidRDefault="00B57C98" w:rsidP="008C0A58">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BA97" w14:textId="412365D0" w:rsidR="00BE54AA" w:rsidRDefault="00AB213C">
    <w:pPr>
      <w:pStyle w:val="Sidfot"/>
    </w:pPr>
    <w:r w:rsidRPr="00BE54AA">
      <w:rPr>
        <w:noProof/>
      </w:rPr>
      <mc:AlternateContent>
        <mc:Choice Requires="wps">
          <w:drawing>
            <wp:anchor distT="45720" distB="45720" distL="114300" distR="114300" simplePos="0" relativeHeight="251663360" behindDoc="0" locked="0" layoutInCell="1" allowOverlap="1" wp14:anchorId="4E6412FB" wp14:editId="634EFACD">
              <wp:simplePos x="0" y="0"/>
              <wp:positionH relativeFrom="column">
                <wp:posOffset>3916119</wp:posOffset>
              </wp:positionH>
              <wp:positionV relativeFrom="paragraph">
                <wp:posOffset>-157480</wp:posOffset>
              </wp:positionV>
              <wp:extent cx="1895475" cy="270510"/>
              <wp:effectExtent l="0" t="0" r="0" b="0"/>
              <wp:wrapSquare wrapText="bothSides"/>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70510"/>
                      </a:xfrm>
                      <a:prstGeom prst="rect">
                        <a:avLst/>
                      </a:prstGeom>
                      <a:noFill/>
                      <a:ln w="9525">
                        <a:noFill/>
                        <a:miter lim="800000"/>
                        <a:headEnd/>
                        <a:tailEnd/>
                      </a:ln>
                    </wps:spPr>
                    <wps:txbx>
                      <w:txbxContent>
                        <w:p w14:paraId="0E40ED3A" w14:textId="6FCDE96C" w:rsidR="00BE54AA" w:rsidRPr="00AB213C" w:rsidRDefault="00BE54AA" w:rsidP="00BE54AA">
                          <w:pPr>
                            <w:jc w:val="right"/>
                            <w:rPr>
                              <w:color w:val="FFFFFF" w:themeColor="background1"/>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6412FB" id="_x0000_t202" coordsize="21600,21600" o:spt="202" path="m,l,21600r21600,l21600,xe">
              <v:stroke joinstyle="miter"/>
              <v:path gradientshapeok="t" o:connecttype="rect"/>
            </v:shapetype>
            <v:shape id="Textruta 2" o:spid="_x0000_s1026" type="#_x0000_t202" style="position:absolute;margin-left:308.35pt;margin-top:-12.4pt;width:149.25pt;height:21.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" filled="f" stroked="f">
              <v:textbox>
                <w:txbxContent>
                  <w:p w14:paraId="0E40ED3A" w14:textId="6FCDE96C" w:rsidR="00BE54AA" w:rsidRPr="00AB213C" w:rsidRDefault="00BE54AA" w:rsidP="00BE54AA">
                    <w:pPr>
                      <w:jc w:val="right"/>
                      <w:rPr>
                        <w:color w:val="FFFFFF" w:themeColor="background1"/>
                        <w:sz w:val="28"/>
                        <w:szCs w:val="28"/>
                      </w:rPr>
                    </w:pPr>
                  </w:p>
                </w:txbxContent>
              </v:textbox>
              <w10:wrap type="square"/>
            </v:shape>
          </w:pict>
        </mc:Fallback>
      </mc:AlternateContent>
    </w:r>
    <w:r>
      <w:rPr>
        <w:noProof/>
      </w:rPr>
      <w:drawing>
        <wp:anchor distT="0" distB="0" distL="114300" distR="114300" simplePos="0" relativeHeight="251664384" behindDoc="1" locked="0" layoutInCell="1" allowOverlap="1" wp14:anchorId="697E2827" wp14:editId="093462F2">
          <wp:simplePos x="0" y="0"/>
          <wp:positionH relativeFrom="column">
            <wp:posOffset>-1247140</wp:posOffset>
          </wp:positionH>
          <wp:positionV relativeFrom="paragraph">
            <wp:posOffset>-641350</wp:posOffset>
          </wp:positionV>
          <wp:extent cx="7560000" cy="1258412"/>
          <wp:effectExtent l="0" t="0" r="3175" b="0"/>
          <wp:wrapNone/>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6"/>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41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7DBD" w14:textId="77777777" w:rsidR="00C83C03" w:rsidRDefault="00C83C03" w:rsidP="00B07CAA">
      <w:r>
        <w:separator/>
      </w:r>
    </w:p>
  </w:footnote>
  <w:footnote w:type="continuationSeparator" w:id="0">
    <w:p w14:paraId="03D2E500" w14:textId="77777777" w:rsidR="00C83C03" w:rsidRDefault="00C83C03" w:rsidP="00B07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E9DB" w14:textId="4793C24C" w:rsidR="008855A8" w:rsidRDefault="008855A8">
    <w:pPr>
      <w:pStyle w:val="Sidhuvud"/>
    </w:pPr>
  </w:p>
  <w:p w14:paraId="2D46688D" w14:textId="77777777" w:rsidR="00B57C98" w:rsidRDefault="00B57C9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0CC1" w14:textId="7692421B" w:rsidR="0077533F" w:rsidRDefault="0077533F">
    <w:pPr>
      <w:pStyle w:val="Sidhuvud"/>
    </w:pPr>
  </w:p>
  <w:p w14:paraId="63FEF8D2" w14:textId="4922F7DD" w:rsidR="0077533F" w:rsidRDefault="0077533F">
    <w:pPr>
      <w:pStyle w:val="Sidhuvud"/>
    </w:pPr>
  </w:p>
  <w:p w14:paraId="5D8BAB68" w14:textId="523B919E" w:rsidR="0077533F" w:rsidRDefault="0077533F">
    <w:pPr>
      <w:pStyle w:val="Sidhuvud"/>
    </w:pPr>
  </w:p>
  <w:p w14:paraId="524E3642" w14:textId="1D847658" w:rsidR="0077533F" w:rsidRDefault="0077533F">
    <w:pPr>
      <w:pStyle w:val="Sidhuvud"/>
    </w:pPr>
  </w:p>
  <w:p w14:paraId="690F6043" w14:textId="5DA3E91E" w:rsidR="0077533F" w:rsidRPr="0077533F" w:rsidRDefault="0077533F" w:rsidP="0077533F">
    <w:pPr>
      <w:pStyle w:val="Sidhuvud"/>
      <w:rPr>
        <w:b/>
        <w:bCs/>
      </w:rPr>
    </w:pPr>
    <w:r w:rsidRPr="0077533F">
      <w:rPr>
        <w:b/>
        <w:bCs/>
      </w:rPr>
      <w:t>Fastställt av</w:t>
    </w:r>
    <w:r>
      <w:rPr>
        <w:b/>
        <w:bCs/>
      </w:rPr>
      <w:t>:</w:t>
    </w:r>
    <w:r>
      <w:rPr>
        <w:b/>
        <w:bCs/>
      </w:rPr>
      <w:tab/>
    </w:r>
    <w:r w:rsidRPr="0077533F">
      <w:rPr>
        <w:b/>
        <w:bCs/>
      </w:rPr>
      <w:t xml:space="preserve">Dokumentansvarig: </w:t>
    </w:r>
    <w:r w:rsidRPr="0077533F">
      <w:rPr>
        <w:b/>
        <w:bCs/>
      </w:rPr>
      <w:tab/>
      <w:t>Datum</w:t>
    </w:r>
    <w:r>
      <w:rPr>
        <w:b/>
        <w:bCs/>
      </w:rPr>
      <w:t>:</w:t>
    </w:r>
  </w:p>
  <w:p w14:paraId="7DBCC4D0" w14:textId="595BF174" w:rsidR="0077533F" w:rsidRDefault="0077533F" w:rsidP="0077533F">
    <w:pPr>
      <w:pStyle w:val="Sidhuvud"/>
    </w:pPr>
    <w:r>
      <w:t>Kommunfullmäktige                          Emma Sundin</w:t>
    </w:r>
    <w:r>
      <w:tab/>
      <w:t xml:space="preserve"> 2024-0</w:t>
    </w:r>
    <w:r w:rsidR="00081CC1">
      <w:t>4</w:t>
    </w:r>
    <w: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04F"/>
    <w:multiLevelType w:val="hybridMultilevel"/>
    <w:tmpl w:val="04DE3A5E"/>
    <w:lvl w:ilvl="0" w:tplc="50B483D4">
      <w:start w:val="1"/>
      <w:numFmt w:val="bullet"/>
      <w:lvlText w:val=""/>
      <w:lvlJc w:val="left"/>
      <w:pPr>
        <w:ind w:left="720" w:hanging="360"/>
      </w:pPr>
      <w:rPr>
        <w:rFonts w:ascii="Symbol" w:hAnsi="Symbol" w:hint="default"/>
        <w:color w:val="60C2E0" w:themeColor="accen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0E751D"/>
    <w:multiLevelType w:val="hybridMultilevel"/>
    <w:tmpl w:val="30A6D2B4"/>
    <w:lvl w:ilvl="0" w:tplc="041D0001">
      <w:start w:val="1"/>
      <w:numFmt w:val="bullet"/>
      <w:lvlText w:val=""/>
      <w:lvlJc w:val="left"/>
      <w:pPr>
        <w:ind w:left="417" w:hanging="360"/>
      </w:pPr>
      <w:rPr>
        <w:rFonts w:ascii="Symbol" w:hAnsi="Symbo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2" w15:restartNumberingAfterBreak="0">
    <w:nsid w:val="085D77F5"/>
    <w:multiLevelType w:val="hybridMultilevel"/>
    <w:tmpl w:val="5DFE4388"/>
    <w:lvl w:ilvl="0" w:tplc="5EBA6FF8">
      <w:start w:val="6"/>
      <w:numFmt w:val="bullet"/>
      <w:lvlText w:val="•"/>
      <w:lvlJc w:val="left"/>
      <w:pPr>
        <w:ind w:left="720" w:hanging="360"/>
      </w:pPr>
      <w:rPr>
        <w:rFonts w:ascii="CenturyGothic" w:eastAsia="Times New Roman" w:hAnsi="CenturyGothic" w:cs="CenturyGothic"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AE1DA3"/>
    <w:multiLevelType w:val="hybridMultilevel"/>
    <w:tmpl w:val="68E209BC"/>
    <w:lvl w:ilvl="0" w:tplc="9DA0B1F0">
      <w:start w:val="1"/>
      <w:numFmt w:val="bullet"/>
      <w:lvlText w:val="-"/>
      <w:lvlJc w:val="left"/>
      <w:pPr>
        <w:ind w:left="720" w:hanging="360"/>
      </w:pPr>
      <w:rPr>
        <w:rFonts w:ascii="Arial" w:eastAsia="Times New Roman" w:hAnsi="Arial" w:cs="Arial" w:hint="default"/>
        <w:color w:val="60C2E0" w:themeColor="accent1"/>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911375"/>
    <w:multiLevelType w:val="hybridMultilevel"/>
    <w:tmpl w:val="44C0C83A"/>
    <w:lvl w:ilvl="0" w:tplc="041D000F">
      <w:start w:val="1"/>
      <w:numFmt w:val="decimal"/>
      <w:lvlText w:val="%1."/>
      <w:lvlJc w:val="left"/>
      <w:pPr>
        <w:ind w:left="720" w:hanging="360"/>
      </w:pPr>
      <w:rPr>
        <w:rFonts w:hint="default"/>
        <w:b/>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0DA3B60"/>
    <w:multiLevelType w:val="hybridMultilevel"/>
    <w:tmpl w:val="0FA45E9C"/>
    <w:lvl w:ilvl="0" w:tplc="041D0001">
      <w:start w:val="1"/>
      <w:numFmt w:val="bullet"/>
      <w:lvlText w:val=""/>
      <w:lvlJc w:val="left"/>
      <w:pPr>
        <w:ind w:left="417" w:hanging="360"/>
      </w:pPr>
      <w:rPr>
        <w:rFonts w:ascii="Symbol" w:hAnsi="Symbo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6" w15:restartNumberingAfterBreak="0">
    <w:nsid w:val="17357D7B"/>
    <w:multiLevelType w:val="hybridMultilevel"/>
    <w:tmpl w:val="23FA9418"/>
    <w:lvl w:ilvl="0" w:tplc="5EBA6FF8">
      <w:start w:val="6"/>
      <w:numFmt w:val="bullet"/>
      <w:lvlText w:val="•"/>
      <w:lvlJc w:val="left"/>
      <w:pPr>
        <w:ind w:left="720" w:hanging="360"/>
      </w:pPr>
      <w:rPr>
        <w:rFonts w:ascii="CenturyGothic" w:eastAsia="Times New Roman" w:hAnsi="CenturyGothic" w:cs="CenturyGothic"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9E1A0B"/>
    <w:multiLevelType w:val="hybridMultilevel"/>
    <w:tmpl w:val="7AE8A6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E127CE"/>
    <w:multiLevelType w:val="hybridMultilevel"/>
    <w:tmpl w:val="625C025C"/>
    <w:lvl w:ilvl="0" w:tplc="041D0001">
      <w:start w:val="1"/>
      <w:numFmt w:val="bullet"/>
      <w:lvlText w:val=""/>
      <w:lvlJc w:val="left"/>
      <w:pPr>
        <w:tabs>
          <w:tab w:val="num" w:pos="720"/>
        </w:tabs>
        <w:ind w:left="720" w:hanging="360"/>
      </w:pPr>
      <w:rPr>
        <w:rFonts w:ascii="Symbol" w:hAnsi="Symbol" w:cs="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AF96E77"/>
    <w:multiLevelType w:val="hybridMultilevel"/>
    <w:tmpl w:val="4C9EC756"/>
    <w:lvl w:ilvl="0" w:tplc="9DA0B1F0">
      <w:start w:val="1"/>
      <w:numFmt w:val="bullet"/>
      <w:lvlText w:val="-"/>
      <w:lvlJc w:val="left"/>
      <w:pPr>
        <w:ind w:left="720" w:hanging="360"/>
      </w:pPr>
      <w:rPr>
        <w:rFonts w:ascii="Arial" w:eastAsia="Times New Roman" w:hAnsi="Arial" w:cs="Arial" w:hint="default"/>
        <w:color w:val="60C2E0" w:themeColor="accent1"/>
      </w:rPr>
    </w:lvl>
    <w:lvl w:ilvl="1" w:tplc="9DA0B1F0">
      <w:start w:val="1"/>
      <w:numFmt w:val="bullet"/>
      <w:lvlText w:val="-"/>
      <w:lvlJc w:val="left"/>
      <w:pPr>
        <w:ind w:left="1440" w:hanging="360"/>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2F20A0"/>
    <w:multiLevelType w:val="hybridMultilevel"/>
    <w:tmpl w:val="C8B0A24A"/>
    <w:lvl w:ilvl="0" w:tplc="041D0001">
      <w:start w:val="1"/>
      <w:numFmt w:val="bullet"/>
      <w:lvlText w:val=""/>
      <w:lvlJc w:val="left"/>
      <w:pPr>
        <w:ind w:left="417" w:hanging="360"/>
      </w:pPr>
      <w:rPr>
        <w:rFonts w:ascii="Symbol" w:hAnsi="Symbo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11" w15:restartNumberingAfterBreak="0">
    <w:nsid w:val="26AD019A"/>
    <w:multiLevelType w:val="hybridMultilevel"/>
    <w:tmpl w:val="8AEE57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82F47AA"/>
    <w:multiLevelType w:val="hybridMultilevel"/>
    <w:tmpl w:val="F1E46106"/>
    <w:lvl w:ilvl="0" w:tplc="50B483D4">
      <w:start w:val="1"/>
      <w:numFmt w:val="bullet"/>
      <w:lvlText w:val=""/>
      <w:lvlJc w:val="left"/>
      <w:pPr>
        <w:ind w:left="720" w:hanging="360"/>
      </w:pPr>
      <w:rPr>
        <w:rFonts w:ascii="Symbol" w:hAnsi="Symbol" w:hint="default"/>
        <w:color w:val="60C2E0" w:themeColor="accen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311369"/>
    <w:multiLevelType w:val="hybridMultilevel"/>
    <w:tmpl w:val="CAC80EB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7E7DFF"/>
    <w:multiLevelType w:val="hybridMultilevel"/>
    <w:tmpl w:val="029A2ED4"/>
    <w:lvl w:ilvl="0" w:tplc="9DA0B1F0">
      <w:start w:val="1"/>
      <w:numFmt w:val="bullet"/>
      <w:lvlText w:val="-"/>
      <w:lvlJc w:val="left"/>
      <w:pPr>
        <w:ind w:left="720" w:hanging="360"/>
      </w:pPr>
      <w:rPr>
        <w:rFonts w:ascii="Arial" w:eastAsia="Times New Roman"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9933436"/>
    <w:multiLevelType w:val="hybridMultilevel"/>
    <w:tmpl w:val="4DB0CC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BA50BB6"/>
    <w:multiLevelType w:val="hybridMultilevel"/>
    <w:tmpl w:val="5F8CDB46"/>
    <w:lvl w:ilvl="0" w:tplc="D264FF6C">
      <w:start w:val="1"/>
      <w:numFmt w:val="decimal"/>
      <w:lvlText w:val="%1."/>
      <w:lvlJc w:val="left"/>
      <w:pPr>
        <w:ind w:left="720" w:hanging="360"/>
      </w:pPr>
      <w:rPr>
        <w:rFonts w:ascii="Arial" w:hAnsi="Arial" w:hint="default"/>
        <w:b/>
        <w:i w:val="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F992E82"/>
    <w:multiLevelType w:val="hybridMultilevel"/>
    <w:tmpl w:val="E58CAE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8317CFA"/>
    <w:multiLevelType w:val="hybridMultilevel"/>
    <w:tmpl w:val="DA0813E2"/>
    <w:lvl w:ilvl="0" w:tplc="041D000F">
      <w:start w:val="1"/>
      <w:numFmt w:val="decimal"/>
      <w:lvlText w:val="%1."/>
      <w:lvlJc w:val="left"/>
      <w:pPr>
        <w:ind w:left="720" w:hanging="360"/>
      </w:pPr>
      <w:rPr>
        <w:rFonts w:hint="default"/>
        <w:color w:val="60C2E0" w:themeColor="accen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B4B6700"/>
    <w:multiLevelType w:val="hybridMultilevel"/>
    <w:tmpl w:val="5A12E20C"/>
    <w:lvl w:ilvl="0" w:tplc="9DA0B1F0">
      <w:start w:val="1"/>
      <w:numFmt w:val="bullet"/>
      <w:lvlText w:val="-"/>
      <w:lvlJc w:val="left"/>
      <w:pPr>
        <w:ind w:left="720" w:hanging="360"/>
      </w:pPr>
      <w:rPr>
        <w:rFonts w:ascii="Arial" w:eastAsia="Times New Roman" w:hAnsi="Arial" w:cs="Arial" w:hint="default"/>
        <w:color w:val="60C2E0" w:themeColor="accent1"/>
      </w:rPr>
    </w:lvl>
    <w:lvl w:ilvl="1" w:tplc="2A6AABDA">
      <w:start w:val="1"/>
      <w:numFmt w:val="bullet"/>
      <w:lvlText w:val="-"/>
      <w:lvlJc w:val="left"/>
      <w:pPr>
        <w:ind w:left="1440" w:hanging="360"/>
      </w:pPr>
      <w:rPr>
        <w:rFonts w:ascii="Arial" w:hAnsi="Arial" w:hint="default"/>
        <w:color w:val="60C2E0" w:themeColor="accent1"/>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04C65B0"/>
    <w:multiLevelType w:val="hybridMultilevel"/>
    <w:tmpl w:val="D47C13A2"/>
    <w:lvl w:ilvl="0" w:tplc="50B483D4">
      <w:start w:val="1"/>
      <w:numFmt w:val="bullet"/>
      <w:lvlText w:val=""/>
      <w:lvlJc w:val="left"/>
      <w:pPr>
        <w:ind w:left="720" w:hanging="360"/>
      </w:pPr>
      <w:rPr>
        <w:rFonts w:ascii="Symbol" w:hAnsi="Symbol" w:hint="default"/>
        <w:color w:val="60C2E0" w:themeColor="accent1"/>
      </w:rPr>
    </w:lvl>
    <w:lvl w:ilvl="1" w:tplc="50B483D4">
      <w:start w:val="1"/>
      <w:numFmt w:val="bullet"/>
      <w:lvlText w:val=""/>
      <w:lvlJc w:val="left"/>
      <w:pPr>
        <w:ind w:left="1440" w:hanging="360"/>
      </w:pPr>
      <w:rPr>
        <w:rFonts w:ascii="Symbol" w:hAnsi="Symbol" w:hint="default"/>
        <w:color w:val="60C2E0" w:themeColor="accent1"/>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5A20DFF"/>
    <w:multiLevelType w:val="hybridMultilevel"/>
    <w:tmpl w:val="383CDE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5D123EB"/>
    <w:multiLevelType w:val="hybridMultilevel"/>
    <w:tmpl w:val="71AAEB0C"/>
    <w:lvl w:ilvl="0" w:tplc="9DA0B1F0">
      <w:start w:val="1"/>
      <w:numFmt w:val="bullet"/>
      <w:lvlText w:val="-"/>
      <w:lvlJc w:val="left"/>
      <w:pPr>
        <w:ind w:left="720" w:hanging="360"/>
      </w:pPr>
      <w:rPr>
        <w:rFonts w:ascii="Arial" w:eastAsia="Times New Roman" w:hAnsi="Arial" w:cs="Arial" w:hint="default"/>
      </w:rPr>
    </w:lvl>
    <w:lvl w:ilvl="1" w:tplc="9DA0B1F0">
      <w:start w:val="1"/>
      <w:numFmt w:val="bullet"/>
      <w:lvlText w:val="-"/>
      <w:lvlJc w:val="left"/>
      <w:pPr>
        <w:ind w:left="1440" w:hanging="360"/>
      </w:pPr>
      <w:rPr>
        <w:rFonts w:ascii="Arial" w:eastAsia="Times New Roman" w:hAnsi="Arial" w:cs="Aria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0495577"/>
    <w:multiLevelType w:val="hybridMultilevel"/>
    <w:tmpl w:val="E7ECD160"/>
    <w:lvl w:ilvl="0" w:tplc="041D000F">
      <w:start w:val="1"/>
      <w:numFmt w:val="decimal"/>
      <w:lvlText w:val="%1."/>
      <w:lvlJc w:val="left"/>
      <w:pPr>
        <w:ind w:left="720" w:hanging="360"/>
      </w:pPr>
    </w:lvl>
    <w:lvl w:ilvl="1" w:tplc="9DA0B1F0">
      <w:start w:val="1"/>
      <w:numFmt w:val="bullet"/>
      <w:lvlText w:val="-"/>
      <w:lvlJc w:val="left"/>
      <w:pPr>
        <w:ind w:left="1440" w:hanging="360"/>
      </w:pPr>
      <w:rPr>
        <w:rFonts w:ascii="Arial" w:eastAsia="Times New Roman" w:hAnsi="Arial" w:cs="Aria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18059C0"/>
    <w:multiLevelType w:val="hybridMultilevel"/>
    <w:tmpl w:val="B34038A2"/>
    <w:lvl w:ilvl="0" w:tplc="041D000F">
      <w:start w:val="1"/>
      <w:numFmt w:val="decimal"/>
      <w:lvlText w:val="%1."/>
      <w:lvlJc w:val="left"/>
      <w:pPr>
        <w:ind w:left="720" w:hanging="360"/>
      </w:pPr>
    </w:lvl>
    <w:lvl w:ilvl="1" w:tplc="9DA0B1F0">
      <w:start w:val="1"/>
      <w:numFmt w:val="bullet"/>
      <w:lvlText w:val="-"/>
      <w:lvlJc w:val="left"/>
      <w:pPr>
        <w:ind w:left="1440" w:hanging="360"/>
      </w:pPr>
      <w:rPr>
        <w:rFonts w:ascii="Arial" w:eastAsia="Times New Roman" w:hAnsi="Arial" w:cs="Aria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321640B"/>
    <w:multiLevelType w:val="hybridMultilevel"/>
    <w:tmpl w:val="7944CB10"/>
    <w:lvl w:ilvl="0" w:tplc="C446582E">
      <w:numFmt w:val="bullet"/>
      <w:lvlText w:val=""/>
      <w:lvlJc w:val="left"/>
      <w:pPr>
        <w:ind w:left="836" w:hanging="360"/>
      </w:pPr>
      <w:rPr>
        <w:rFonts w:ascii="Symbol" w:eastAsia="Symbol" w:hAnsi="Symbol" w:cs="Symbol" w:hint="default"/>
        <w:b w:val="0"/>
        <w:bCs w:val="0"/>
        <w:i w:val="0"/>
        <w:iCs w:val="0"/>
        <w:spacing w:val="0"/>
        <w:w w:val="100"/>
        <w:sz w:val="24"/>
        <w:szCs w:val="24"/>
        <w:lang w:val="sv-SE" w:eastAsia="en-US" w:bidi="ar-SA"/>
      </w:rPr>
    </w:lvl>
    <w:lvl w:ilvl="1" w:tplc="3D762CCE">
      <w:numFmt w:val="bullet"/>
      <w:lvlText w:val="•"/>
      <w:lvlJc w:val="left"/>
      <w:pPr>
        <w:ind w:left="1686" w:hanging="360"/>
      </w:pPr>
      <w:rPr>
        <w:rFonts w:hint="default"/>
        <w:lang w:val="sv-SE" w:eastAsia="en-US" w:bidi="ar-SA"/>
      </w:rPr>
    </w:lvl>
    <w:lvl w:ilvl="2" w:tplc="4776D6EA">
      <w:numFmt w:val="bullet"/>
      <w:lvlText w:val="•"/>
      <w:lvlJc w:val="left"/>
      <w:pPr>
        <w:ind w:left="2533" w:hanging="360"/>
      </w:pPr>
      <w:rPr>
        <w:rFonts w:hint="default"/>
        <w:lang w:val="sv-SE" w:eastAsia="en-US" w:bidi="ar-SA"/>
      </w:rPr>
    </w:lvl>
    <w:lvl w:ilvl="3" w:tplc="8C8A01CC">
      <w:numFmt w:val="bullet"/>
      <w:lvlText w:val="•"/>
      <w:lvlJc w:val="left"/>
      <w:pPr>
        <w:ind w:left="3379" w:hanging="360"/>
      </w:pPr>
      <w:rPr>
        <w:rFonts w:hint="default"/>
        <w:lang w:val="sv-SE" w:eastAsia="en-US" w:bidi="ar-SA"/>
      </w:rPr>
    </w:lvl>
    <w:lvl w:ilvl="4" w:tplc="4C4A4396">
      <w:numFmt w:val="bullet"/>
      <w:lvlText w:val="•"/>
      <w:lvlJc w:val="left"/>
      <w:pPr>
        <w:ind w:left="4226" w:hanging="360"/>
      </w:pPr>
      <w:rPr>
        <w:rFonts w:hint="default"/>
        <w:lang w:val="sv-SE" w:eastAsia="en-US" w:bidi="ar-SA"/>
      </w:rPr>
    </w:lvl>
    <w:lvl w:ilvl="5" w:tplc="42C02C44">
      <w:numFmt w:val="bullet"/>
      <w:lvlText w:val="•"/>
      <w:lvlJc w:val="left"/>
      <w:pPr>
        <w:ind w:left="5073" w:hanging="360"/>
      </w:pPr>
      <w:rPr>
        <w:rFonts w:hint="default"/>
        <w:lang w:val="sv-SE" w:eastAsia="en-US" w:bidi="ar-SA"/>
      </w:rPr>
    </w:lvl>
    <w:lvl w:ilvl="6" w:tplc="A3382B1E">
      <w:numFmt w:val="bullet"/>
      <w:lvlText w:val="•"/>
      <w:lvlJc w:val="left"/>
      <w:pPr>
        <w:ind w:left="5919" w:hanging="360"/>
      </w:pPr>
      <w:rPr>
        <w:rFonts w:hint="default"/>
        <w:lang w:val="sv-SE" w:eastAsia="en-US" w:bidi="ar-SA"/>
      </w:rPr>
    </w:lvl>
    <w:lvl w:ilvl="7" w:tplc="89D41F44">
      <w:numFmt w:val="bullet"/>
      <w:lvlText w:val="•"/>
      <w:lvlJc w:val="left"/>
      <w:pPr>
        <w:ind w:left="6766" w:hanging="360"/>
      </w:pPr>
      <w:rPr>
        <w:rFonts w:hint="default"/>
        <w:lang w:val="sv-SE" w:eastAsia="en-US" w:bidi="ar-SA"/>
      </w:rPr>
    </w:lvl>
    <w:lvl w:ilvl="8" w:tplc="F5B850D2">
      <w:numFmt w:val="bullet"/>
      <w:lvlText w:val="•"/>
      <w:lvlJc w:val="left"/>
      <w:pPr>
        <w:ind w:left="7613" w:hanging="360"/>
      </w:pPr>
      <w:rPr>
        <w:rFonts w:hint="default"/>
        <w:lang w:val="sv-SE" w:eastAsia="en-US" w:bidi="ar-SA"/>
      </w:rPr>
    </w:lvl>
  </w:abstractNum>
  <w:abstractNum w:abstractNumId="26" w15:restartNumberingAfterBreak="0">
    <w:nsid w:val="544F1836"/>
    <w:multiLevelType w:val="hybridMultilevel"/>
    <w:tmpl w:val="60645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CD06384"/>
    <w:multiLevelType w:val="hybridMultilevel"/>
    <w:tmpl w:val="2ABCB440"/>
    <w:lvl w:ilvl="0" w:tplc="041D000F">
      <w:start w:val="1"/>
      <w:numFmt w:val="decimal"/>
      <w:lvlText w:val="%1."/>
      <w:lvlJc w:val="left"/>
      <w:pPr>
        <w:ind w:left="720" w:hanging="360"/>
      </w:pPr>
    </w:lvl>
    <w:lvl w:ilvl="1" w:tplc="9DA0B1F0">
      <w:start w:val="1"/>
      <w:numFmt w:val="bullet"/>
      <w:lvlText w:val="-"/>
      <w:lvlJc w:val="left"/>
      <w:pPr>
        <w:ind w:left="1440" w:hanging="360"/>
      </w:pPr>
      <w:rPr>
        <w:rFonts w:ascii="Arial" w:eastAsia="Times New Roman" w:hAnsi="Arial" w:cs="Aria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F923B45"/>
    <w:multiLevelType w:val="hybridMultilevel"/>
    <w:tmpl w:val="04EC28BC"/>
    <w:lvl w:ilvl="0" w:tplc="50B483D4">
      <w:start w:val="1"/>
      <w:numFmt w:val="bullet"/>
      <w:lvlText w:val=""/>
      <w:lvlJc w:val="left"/>
      <w:pPr>
        <w:ind w:left="720" w:hanging="360"/>
      </w:pPr>
      <w:rPr>
        <w:rFonts w:ascii="Symbol" w:hAnsi="Symbol" w:hint="default"/>
        <w:color w:val="60C2E0" w:themeColor="accen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0777F62"/>
    <w:multiLevelType w:val="hybridMultilevel"/>
    <w:tmpl w:val="36A6DB42"/>
    <w:lvl w:ilvl="0" w:tplc="041D0001">
      <w:start w:val="1"/>
      <w:numFmt w:val="bullet"/>
      <w:lvlText w:val=""/>
      <w:lvlJc w:val="left"/>
      <w:pPr>
        <w:ind w:left="417" w:hanging="360"/>
      </w:pPr>
      <w:rPr>
        <w:rFonts w:ascii="Symbol" w:hAnsi="Symbo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30" w15:restartNumberingAfterBreak="0">
    <w:nsid w:val="6C263C6E"/>
    <w:multiLevelType w:val="hybridMultilevel"/>
    <w:tmpl w:val="09DCBE9A"/>
    <w:lvl w:ilvl="0" w:tplc="041D000F">
      <w:start w:val="1"/>
      <w:numFmt w:val="decimal"/>
      <w:lvlText w:val="%1."/>
      <w:lvlJc w:val="left"/>
      <w:pPr>
        <w:ind w:left="720" w:hanging="360"/>
      </w:pPr>
      <w:rPr>
        <w:rFonts w:hint="default"/>
        <w:color w:val="60C2E0" w:themeColor="accen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0C59DE"/>
    <w:multiLevelType w:val="hybridMultilevel"/>
    <w:tmpl w:val="A33A86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8EC463D"/>
    <w:multiLevelType w:val="hybridMultilevel"/>
    <w:tmpl w:val="DC8447A4"/>
    <w:lvl w:ilvl="0" w:tplc="041D000F">
      <w:start w:val="1"/>
      <w:numFmt w:val="decimal"/>
      <w:lvlText w:val="%1."/>
      <w:lvlJc w:val="left"/>
      <w:pPr>
        <w:ind w:left="720" w:hanging="360"/>
      </w:pPr>
      <w:rPr>
        <w:rFonts w:hint="default"/>
        <w:color w:val="60C2E0" w:themeColor="accen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9963C75"/>
    <w:multiLevelType w:val="hybridMultilevel"/>
    <w:tmpl w:val="30B88F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BC519F9"/>
    <w:multiLevelType w:val="hybridMultilevel"/>
    <w:tmpl w:val="164EF2DC"/>
    <w:lvl w:ilvl="0" w:tplc="50B483D4">
      <w:start w:val="1"/>
      <w:numFmt w:val="bullet"/>
      <w:lvlText w:val=""/>
      <w:lvlJc w:val="left"/>
      <w:pPr>
        <w:ind w:left="720" w:hanging="360"/>
      </w:pPr>
      <w:rPr>
        <w:rFonts w:ascii="Symbol" w:hAnsi="Symbol" w:hint="default"/>
        <w:color w:val="60C2E0" w:themeColor="accent1"/>
      </w:rPr>
    </w:lvl>
    <w:lvl w:ilvl="1" w:tplc="041D0003">
      <w:start w:val="1"/>
      <w:numFmt w:val="bullet"/>
      <w:lvlText w:val="o"/>
      <w:lvlJc w:val="left"/>
      <w:pPr>
        <w:ind w:left="1440" w:hanging="360"/>
      </w:pPr>
      <w:rPr>
        <w:rFonts w:ascii="Courier New" w:hAnsi="Courier New" w:cs="Courier New" w:hint="default"/>
        <w:color w:val="60C2E0" w:themeColor="accent1"/>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CD3ED4"/>
    <w:multiLevelType w:val="hybridMultilevel"/>
    <w:tmpl w:val="4D1A3B3E"/>
    <w:lvl w:ilvl="0" w:tplc="50B483D4">
      <w:start w:val="1"/>
      <w:numFmt w:val="bullet"/>
      <w:lvlText w:val=""/>
      <w:lvlJc w:val="left"/>
      <w:pPr>
        <w:ind w:left="720" w:hanging="360"/>
      </w:pPr>
      <w:rPr>
        <w:rFonts w:ascii="Symbol" w:hAnsi="Symbol" w:hint="default"/>
        <w:color w:val="60C2E0" w:themeColor="accent1"/>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272501"/>
    <w:multiLevelType w:val="hybridMultilevel"/>
    <w:tmpl w:val="67DCF17A"/>
    <w:lvl w:ilvl="0" w:tplc="041D000F">
      <w:start w:val="1"/>
      <w:numFmt w:val="decimal"/>
      <w:lvlText w:val="%1."/>
      <w:lvlJc w:val="left"/>
      <w:pPr>
        <w:ind w:left="720" w:hanging="360"/>
      </w:pPr>
      <w:rPr>
        <w:rFonts w:hint="default"/>
        <w:color w:val="60C2E0" w:themeColor="accen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EF26138"/>
    <w:multiLevelType w:val="hybridMultilevel"/>
    <w:tmpl w:val="FC469040"/>
    <w:lvl w:ilvl="0" w:tplc="80C216B8">
      <w:start w:val="1"/>
      <w:numFmt w:val="decimal"/>
      <w:lvlText w:val="%1."/>
      <w:lvlJc w:val="left"/>
      <w:pPr>
        <w:ind w:left="836" w:hanging="360"/>
      </w:pPr>
      <w:rPr>
        <w:rFonts w:ascii="Garamond" w:eastAsia="Garamond" w:hAnsi="Garamond" w:cs="Garamond" w:hint="default"/>
        <w:b w:val="0"/>
        <w:bCs w:val="0"/>
        <w:i w:val="0"/>
        <w:iCs w:val="0"/>
        <w:spacing w:val="0"/>
        <w:w w:val="100"/>
        <w:sz w:val="24"/>
        <w:szCs w:val="24"/>
        <w:lang w:val="sv-SE" w:eastAsia="en-US" w:bidi="ar-SA"/>
      </w:rPr>
    </w:lvl>
    <w:lvl w:ilvl="1" w:tplc="03985E9A">
      <w:numFmt w:val="bullet"/>
      <w:lvlText w:val="•"/>
      <w:lvlJc w:val="left"/>
      <w:pPr>
        <w:ind w:left="1686" w:hanging="360"/>
      </w:pPr>
      <w:rPr>
        <w:rFonts w:hint="default"/>
        <w:lang w:val="sv-SE" w:eastAsia="en-US" w:bidi="ar-SA"/>
      </w:rPr>
    </w:lvl>
    <w:lvl w:ilvl="2" w:tplc="D304E978">
      <w:numFmt w:val="bullet"/>
      <w:lvlText w:val="•"/>
      <w:lvlJc w:val="left"/>
      <w:pPr>
        <w:ind w:left="2533" w:hanging="360"/>
      </w:pPr>
      <w:rPr>
        <w:rFonts w:hint="default"/>
        <w:lang w:val="sv-SE" w:eastAsia="en-US" w:bidi="ar-SA"/>
      </w:rPr>
    </w:lvl>
    <w:lvl w:ilvl="3" w:tplc="3370DB0C">
      <w:numFmt w:val="bullet"/>
      <w:lvlText w:val="•"/>
      <w:lvlJc w:val="left"/>
      <w:pPr>
        <w:ind w:left="3379" w:hanging="360"/>
      </w:pPr>
      <w:rPr>
        <w:rFonts w:hint="default"/>
        <w:lang w:val="sv-SE" w:eastAsia="en-US" w:bidi="ar-SA"/>
      </w:rPr>
    </w:lvl>
    <w:lvl w:ilvl="4" w:tplc="F39C59E6">
      <w:numFmt w:val="bullet"/>
      <w:lvlText w:val="•"/>
      <w:lvlJc w:val="left"/>
      <w:pPr>
        <w:ind w:left="4226" w:hanging="360"/>
      </w:pPr>
      <w:rPr>
        <w:rFonts w:hint="default"/>
        <w:lang w:val="sv-SE" w:eastAsia="en-US" w:bidi="ar-SA"/>
      </w:rPr>
    </w:lvl>
    <w:lvl w:ilvl="5" w:tplc="3D7E9B16">
      <w:numFmt w:val="bullet"/>
      <w:lvlText w:val="•"/>
      <w:lvlJc w:val="left"/>
      <w:pPr>
        <w:ind w:left="5073" w:hanging="360"/>
      </w:pPr>
      <w:rPr>
        <w:rFonts w:hint="default"/>
        <w:lang w:val="sv-SE" w:eastAsia="en-US" w:bidi="ar-SA"/>
      </w:rPr>
    </w:lvl>
    <w:lvl w:ilvl="6" w:tplc="2676C61C">
      <w:numFmt w:val="bullet"/>
      <w:lvlText w:val="•"/>
      <w:lvlJc w:val="left"/>
      <w:pPr>
        <w:ind w:left="5919" w:hanging="360"/>
      </w:pPr>
      <w:rPr>
        <w:rFonts w:hint="default"/>
        <w:lang w:val="sv-SE" w:eastAsia="en-US" w:bidi="ar-SA"/>
      </w:rPr>
    </w:lvl>
    <w:lvl w:ilvl="7" w:tplc="A18E75E0">
      <w:numFmt w:val="bullet"/>
      <w:lvlText w:val="•"/>
      <w:lvlJc w:val="left"/>
      <w:pPr>
        <w:ind w:left="6766" w:hanging="360"/>
      </w:pPr>
      <w:rPr>
        <w:rFonts w:hint="default"/>
        <w:lang w:val="sv-SE" w:eastAsia="en-US" w:bidi="ar-SA"/>
      </w:rPr>
    </w:lvl>
    <w:lvl w:ilvl="8" w:tplc="7A662720">
      <w:numFmt w:val="bullet"/>
      <w:lvlText w:val="•"/>
      <w:lvlJc w:val="left"/>
      <w:pPr>
        <w:ind w:left="7613" w:hanging="360"/>
      </w:pPr>
      <w:rPr>
        <w:rFonts w:hint="default"/>
        <w:lang w:val="sv-SE" w:eastAsia="en-US" w:bidi="ar-SA"/>
      </w:rPr>
    </w:lvl>
  </w:abstractNum>
  <w:num w:numId="1" w16cid:durableId="1427191377">
    <w:abstractNumId w:val="21"/>
  </w:num>
  <w:num w:numId="2" w16cid:durableId="1737819545">
    <w:abstractNumId w:val="28"/>
  </w:num>
  <w:num w:numId="3" w16cid:durableId="1285161044">
    <w:abstractNumId w:val="16"/>
  </w:num>
  <w:num w:numId="4" w16cid:durableId="412581445">
    <w:abstractNumId w:val="4"/>
  </w:num>
  <w:num w:numId="5" w16cid:durableId="1782914939">
    <w:abstractNumId w:val="17"/>
  </w:num>
  <w:num w:numId="6" w16cid:durableId="718670756">
    <w:abstractNumId w:val="30"/>
  </w:num>
  <w:num w:numId="7" w16cid:durableId="853344921">
    <w:abstractNumId w:val="32"/>
  </w:num>
  <w:num w:numId="8" w16cid:durableId="896815210">
    <w:abstractNumId w:val="18"/>
  </w:num>
  <w:num w:numId="9" w16cid:durableId="331029574">
    <w:abstractNumId w:val="36"/>
  </w:num>
  <w:num w:numId="10" w16cid:durableId="981153103">
    <w:abstractNumId w:val="7"/>
  </w:num>
  <w:num w:numId="11" w16cid:durableId="609161398">
    <w:abstractNumId w:val="35"/>
  </w:num>
  <w:num w:numId="12" w16cid:durableId="208760970">
    <w:abstractNumId w:val="20"/>
  </w:num>
  <w:num w:numId="13" w16cid:durableId="986085815">
    <w:abstractNumId w:val="34"/>
  </w:num>
  <w:num w:numId="14" w16cid:durableId="599064583">
    <w:abstractNumId w:val="26"/>
  </w:num>
  <w:num w:numId="15" w16cid:durableId="340815155">
    <w:abstractNumId w:val="2"/>
  </w:num>
  <w:num w:numId="16" w16cid:durableId="481197273">
    <w:abstractNumId w:val="6"/>
  </w:num>
  <w:num w:numId="17" w16cid:durableId="1637221729">
    <w:abstractNumId w:val="13"/>
  </w:num>
  <w:num w:numId="18" w16cid:durableId="1194223047">
    <w:abstractNumId w:val="0"/>
  </w:num>
  <w:num w:numId="19" w16cid:durableId="1794521628">
    <w:abstractNumId w:val="12"/>
  </w:num>
  <w:num w:numId="20" w16cid:durableId="644775869">
    <w:abstractNumId w:val="3"/>
  </w:num>
  <w:num w:numId="21" w16cid:durableId="1914005083">
    <w:abstractNumId w:val="9"/>
  </w:num>
  <w:num w:numId="22" w16cid:durableId="726297880">
    <w:abstractNumId w:val="19"/>
  </w:num>
  <w:num w:numId="23" w16cid:durableId="1455753348">
    <w:abstractNumId w:val="31"/>
  </w:num>
  <w:num w:numId="24" w16cid:durableId="1064257618">
    <w:abstractNumId w:val="8"/>
  </w:num>
  <w:num w:numId="25" w16cid:durableId="1178232347">
    <w:abstractNumId w:val="15"/>
  </w:num>
  <w:num w:numId="26" w16cid:durableId="1634824858">
    <w:abstractNumId w:val="10"/>
  </w:num>
  <w:num w:numId="27" w16cid:durableId="136268987">
    <w:abstractNumId w:val="1"/>
  </w:num>
  <w:num w:numId="28" w16cid:durableId="1154027869">
    <w:abstractNumId w:val="5"/>
  </w:num>
  <w:num w:numId="29" w16cid:durableId="1206526032">
    <w:abstractNumId w:val="29"/>
  </w:num>
  <w:num w:numId="30" w16cid:durableId="1031372568">
    <w:abstractNumId w:val="11"/>
  </w:num>
  <w:num w:numId="31" w16cid:durableId="184250784">
    <w:abstractNumId w:val="33"/>
  </w:num>
  <w:num w:numId="32" w16cid:durableId="768431844">
    <w:abstractNumId w:val="14"/>
  </w:num>
  <w:num w:numId="33" w16cid:durableId="534929117">
    <w:abstractNumId w:val="22"/>
  </w:num>
  <w:num w:numId="34" w16cid:durableId="1753240293">
    <w:abstractNumId w:val="24"/>
  </w:num>
  <w:num w:numId="35" w16cid:durableId="917904778">
    <w:abstractNumId w:val="27"/>
  </w:num>
  <w:num w:numId="36" w16cid:durableId="1323197938">
    <w:abstractNumId w:val="23"/>
  </w:num>
  <w:num w:numId="37" w16cid:durableId="54940716">
    <w:abstractNumId w:val="25"/>
  </w:num>
  <w:num w:numId="38" w16cid:durableId="158363988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52"/>
    <w:rsid w:val="000015E8"/>
    <w:rsid w:val="00002023"/>
    <w:rsid w:val="0000675C"/>
    <w:rsid w:val="00015748"/>
    <w:rsid w:val="00045039"/>
    <w:rsid w:val="00052DCA"/>
    <w:rsid w:val="000567E2"/>
    <w:rsid w:val="00081CC1"/>
    <w:rsid w:val="00085AA7"/>
    <w:rsid w:val="0009002B"/>
    <w:rsid w:val="000900E6"/>
    <w:rsid w:val="000A28E0"/>
    <w:rsid w:val="000A38B3"/>
    <w:rsid w:val="000C31CB"/>
    <w:rsid w:val="000C35B3"/>
    <w:rsid w:val="000D7482"/>
    <w:rsid w:val="000E4AC1"/>
    <w:rsid w:val="000E7D73"/>
    <w:rsid w:val="000F0C1C"/>
    <w:rsid w:val="000F5344"/>
    <w:rsid w:val="0011349E"/>
    <w:rsid w:val="00137EE2"/>
    <w:rsid w:val="0016306C"/>
    <w:rsid w:val="001644C9"/>
    <w:rsid w:val="00167382"/>
    <w:rsid w:val="00182467"/>
    <w:rsid w:val="00183EE8"/>
    <w:rsid w:val="001949A8"/>
    <w:rsid w:val="001B1963"/>
    <w:rsid w:val="001B5DD4"/>
    <w:rsid w:val="001B5EE4"/>
    <w:rsid w:val="001C45DF"/>
    <w:rsid w:val="001C5842"/>
    <w:rsid w:val="001C5C4A"/>
    <w:rsid w:val="001E1474"/>
    <w:rsid w:val="001F66A8"/>
    <w:rsid w:val="001F7CD6"/>
    <w:rsid w:val="00222CC1"/>
    <w:rsid w:val="002407DB"/>
    <w:rsid w:val="00261FE1"/>
    <w:rsid w:val="00273BF4"/>
    <w:rsid w:val="00292D3D"/>
    <w:rsid w:val="002A4E6A"/>
    <w:rsid w:val="002A5C30"/>
    <w:rsid w:val="002A63ED"/>
    <w:rsid w:val="002A6EB7"/>
    <w:rsid w:val="002A7851"/>
    <w:rsid w:val="002B4640"/>
    <w:rsid w:val="002C5191"/>
    <w:rsid w:val="002D3291"/>
    <w:rsid w:val="002D4566"/>
    <w:rsid w:val="002E098A"/>
    <w:rsid w:val="002F0D78"/>
    <w:rsid w:val="002F3D36"/>
    <w:rsid w:val="002F72B0"/>
    <w:rsid w:val="003173CA"/>
    <w:rsid w:val="003357A9"/>
    <w:rsid w:val="003615F2"/>
    <w:rsid w:val="00381E91"/>
    <w:rsid w:val="00386AEC"/>
    <w:rsid w:val="0039169A"/>
    <w:rsid w:val="00394746"/>
    <w:rsid w:val="00395673"/>
    <w:rsid w:val="00396757"/>
    <w:rsid w:val="003A3069"/>
    <w:rsid w:val="003B0A00"/>
    <w:rsid w:val="003C003B"/>
    <w:rsid w:val="003C1381"/>
    <w:rsid w:val="003C2E8A"/>
    <w:rsid w:val="003D496B"/>
    <w:rsid w:val="003E0090"/>
    <w:rsid w:val="003F209E"/>
    <w:rsid w:val="003F54DC"/>
    <w:rsid w:val="003F7555"/>
    <w:rsid w:val="004060FA"/>
    <w:rsid w:val="00420C5A"/>
    <w:rsid w:val="00435146"/>
    <w:rsid w:val="004414AA"/>
    <w:rsid w:val="0044180B"/>
    <w:rsid w:val="00444687"/>
    <w:rsid w:val="00453A31"/>
    <w:rsid w:val="004674AA"/>
    <w:rsid w:val="004A1B92"/>
    <w:rsid w:val="004E1A75"/>
    <w:rsid w:val="004E333E"/>
    <w:rsid w:val="00505722"/>
    <w:rsid w:val="005104D7"/>
    <w:rsid w:val="0051096F"/>
    <w:rsid w:val="00515015"/>
    <w:rsid w:val="00521343"/>
    <w:rsid w:val="005239DE"/>
    <w:rsid w:val="00534FC8"/>
    <w:rsid w:val="00535675"/>
    <w:rsid w:val="005359B0"/>
    <w:rsid w:val="00536199"/>
    <w:rsid w:val="00542CD8"/>
    <w:rsid w:val="00555B6C"/>
    <w:rsid w:val="00555DDE"/>
    <w:rsid w:val="00580D27"/>
    <w:rsid w:val="005816B8"/>
    <w:rsid w:val="005840C3"/>
    <w:rsid w:val="005A0A3B"/>
    <w:rsid w:val="005B4AFB"/>
    <w:rsid w:val="005C02B3"/>
    <w:rsid w:val="005C1734"/>
    <w:rsid w:val="005E4CF1"/>
    <w:rsid w:val="00610EDE"/>
    <w:rsid w:val="0061230C"/>
    <w:rsid w:val="006166BA"/>
    <w:rsid w:val="00636043"/>
    <w:rsid w:val="006514DD"/>
    <w:rsid w:val="006726EC"/>
    <w:rsid w:val="0067758C"/>
    <w:rsid w:val="0068590E"/>
    <w:rsid w:val="006904CB"/>
    <w:rsid w:val="00691AEC"/>
    <w:rsid w:val="006955CE"/>
    <w:rsid w:val="006A11B3"/>
    <w:rsid w:val="006A2421"/>
    <w:rsid w:val="006B30F1"/>
    <w:rsid w:val="006B5697"/>
    <w:rsid w:val="006C0873"/>
    <w:rsid w:val="006C3BE5"/>
    <w:rsid w:val="006D3005"/>
    <w:rsid w:val="006D36BA"/>
    <w:rsid w:val="006E3E24"/>
    <w:rsid w:val="006E4B27"/>
    <w:rsid w:val="006F07E4"/>
    <w:rsid w:val="006F12DA"/>
    <w:rsid w:val="006F3598"/>
    <w:rsid w:val="00713AED"/>
    <w:rsid w:val="0071481F"/>
    <w:rsid w:val="00744A1B"/>
    <w:rsid w:val="00745167"/>
    <w:rsid w:val="00760417"/>
    <w:rsid w:val="0076385B"/>
    <w:rsid w:val="0077533F"/>
    <w:rsid w:val="00793E63"/>
    <w:rsid w:val="007A3BF0"/>
    <w:rsid w:val="007B2896"/>
    <w:rsid w:val="007B357B"/>
    <w:rsid w:val="007D0309"/>
    <w:rsid w:val="007F1648"/>
    <w:rsid w:val="007F6B84"/>
    <w:rsid w:val="007F7E83"/>
    <w:rsid w:val="00812A36"/>
    <w:rsid w:val="008163D7"/>
    <w:rsid w:val="00817D39"/>
    <w:rsid w:val="0084478F"/>
    <w:rsid w:val="00854EEE"/>
    <w:rsid w:val="00860C33"/>
    <w:rsid w:val="00872D4C"/>
    <w:rsid w:val="008752DF"/>
    <w:rsid w:val="00877EE6"/>
    <w:rsid w:val="008827B6"/>
    <w:rsid w:val="0088283E"/>
    <w:rsid w:val="008855A8"/>
    <w:rsid w:val="00890865"/>
    <w:rsid w:val="008A5068"/>
    <w:rsid w:val="008C0A58"/>
    <w:rsid w:val="008C4E50"/>
    <w:rsid w:val="008C663D"/>
    <w:rsid w:val="008D2E1A"/>
    <w:rsid w:val="008E6583"/>
    <w:rsid w:val="00905FAC"/>
    <w:rsid w:val="009138CA"/>
    <w:rsid w:val="00913A66"/>
    <w:rsid w:val="00932B7E"/>
    <w:rsid w:val="0094106A"/>
    <w:rsid w:val="00943A9F"/>
    <w:rsid w:val="00944C89"/>
    <w:rsid w:val="00976021"/>
    <w:rsid w:val="00980692"/>
    <w:rsid w:val="00984540"/>
    <w:rsid w:val="00985832"/>
    <w:rsid w:val="009859F5"/>
    <w:rsid w:val="009A36B8"/>
    <w:rsid w:val="009A6EAD"/>
    <w:rsid w:val="009C0A4A"/>
    <w:rsid w:val="009C4679"/>
    <w:rsid w:val="009D5E1D"/>
    <w:rsid w:val="009D6688"/>
    <w:rsid w:val="009D72A6"/>
    <w:rsid w:val="009E4787"/>
    <w:rsid w:val="009F1D14"/>
    <w:rsid w:val="00A1612D"/>
    <w:rsid w:val="00A16B76"/>
    <w:rsid w:val="00A2628E"/>
    <w:rsid w:val="00A26B52"/>
    <w:rsid w:val="00A2784A"/>
    <w:rsid w:val="00A44107"/>
    <w:rsid w:val="00A51D73"/>
    <w:rsid w:val="00A5605E"/>
    <w:rsid w:val="00A64E00"/>
    <w:rsid w:val="00A65AA6"/>
    <w:rsid w:val="00A66BFE"/>
    <w:rsid w:val="00A70502"/>
    <w:rsid w:val="00A81ACA"/>
    <w:rsid w:val="00A91049"/>
    <w:rsid w:val="00A934D4"/>
    <w:rsid w:val="00A97D30"/>
    <w:rsid w:val="00AA4A5F"/>
    <w:rsid w:val="00AB213C"/>
    <w:rsid w:val="00AC7227"/>
    <w:rsid w:val="00B0513D"/>
    <w:rsid w:val="00B07CAA"/>
    <w:rsid w:val="00B109D3"/>
    <w:rsid w:val="00B14475"/>
    <w:rsid w:val="00B17044"/>
    <w:rsid w:val="00B210C0"/>
    <w:rsid w:val="00B21A1E"/>
    <w:rsid w:val="00B42916"/>
    <w:rsid w:val="00B4562B"/>
    <w:rsid w:val="00B50F02"/>
    <w:rsid w:val="00B57C98"/>
    <w:rsid w:val="00B60142"/>
    <w:rsid w:val="00B62E3E"/>
    <w:rsid w:val="00B665C0"/>
    <w:rsid w:val="00B90DE5"/>
    <w:rsid w:val="00B92D61"/>
    <w:rsid w:val="00B96CEA"/>
    <w:rsid w:val="00BA027B"/>
    <w:rsid w:val="00BC37C4"/>
    <w:rsid w:val="00BD23D0"/>
    <w:rsid w:val="00BD3429"/>
    <w:rsid w:val="00BE0749"/>
    <w:rsid w:val="00BE54AA"/>
    <w:rsid w:val="00C26127"/>
    <w:rsid w:val="00C3742C"/>
    <w:rsid w:val="00C45E0F"/>
    <w:rsid w:val="00C4709A"/>
    <w:rsid w:val="00C83C03"/>
    <w:rsid w:val="00C954CB"/>
    <w:rsid w:val="00CA2F15"/>
    <w:rsid w:val="00CC72B9"/>
    <w:rsid w:val="00CD125F"/>
    <w:rsid w:val="00CE2186"/>
    <w:rsid w:val="00CE31AE"/>
    <w:rsid w:val="00CF0DAB"/>
    <w:rsid w:val="00D060C1"/>
    <w:rsid w:val="00D10D6D"/>
    <w:rsid w:val="00D2273F"/>
    <w:rsid w:val="00D33ED3"/>
    <w:rsid w:val="00D3785C"/>
    <w:rsid w:val="00D431D2"/>
    <w:rsid w:val="00D5676F"/>
    <w:rsid w:val="00D637EB"/>
    <w:rsid w:val="00D67825"/>
    <w:rsid w:val="00D7325D"/>
    <w:rsid w:val="00D74419"/>
    <w:rsid w:val="00D74DCF"/>
    <w:rsid w:val="00D77A75"/>
    <w:rsid w:val="00D77CC8"/>
    <w:rsid w:val="00D835BF"/>
    <w:rsid w:val="00DA1123"/>
    <w:rsid w:val="00DA2D55"/>
    <w:rsid w:val="00DD3558"/>
    <w:rsid w:val="00DE2BC9"/>
    <w:rsid w:val="00DF01FF"/>
    <w:rsid w:val="00DF7A5B"/>
    <w:rsid w:val="00E0788D"/>
    <w:rsid w:val="00E11566"/>
    <w:rsid w:val="00E11DAC"/>
    <w:rsid w:val="00E30D30"/>
    <w:rsid w:val="00E417EE"/>
    <w:rsid w:val="00E51110"/>
    <w:rsid w:val="00E52BC6"/>
    <w:rsid w:val="00E5556C"/>
    <w:rsid w:val="00E72E3E"/>
    <w:rsid w:val="00E75B43"/>
    <w:rsid w:val="00E872D9"/>
    <w:rsid w:val="00EB09C7"/>
    <w:rsid w:val="00EC055A"/>
    <w:rsid w:val="00EC2B81"/>
    <w:rsid w:val="00ED0941"/>
    <w:rsid w:val="00ED0C18"/>
    <w:rsid w:val="00ED3FC0"/>
    <w:rsid w:val="00ED4A2C"/>
    <w:rsid w:val="00ED6509"/>
    <w:rsid w:val="00EF5E96"/>
    <w:rsid w:val="00EF67BD"/>
    <w:rsid w:val="00F05299"/>
    <w:rsid w:val="00F06CE2"/>
    <w:rsid w:val="00F17448"/>
    <w:rsid w:val="00F27FCF"/>
    <w:rsid w:val="00F5336E"/>
    <w:rsid w:val="00F56663"/>
    <w:rsid w:val="00F65892"/>
    <w:rsid w:val="00F66A42"/>
    <w:rsid w:val="00FA0157"/>
    <w:rsid w:val="00FA095B"/>
    <w:rsid w:val="00FA0EBE"/>
    <w:rsid w:val="00FB3940"/>
    <w:rsid w:val="00FC7894"/>
    <w:rsid w:val="00FD759E"/>
    <w:rsid w:val="00FE31AC"/>
    <w:rsid w:val="00FE60EB"/>
    <w:rsid w:val="00FF11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6CE17"/>
  <w15:chartTrackingRefBased/>
  <w15:docId w15:val="{B416E669-D3BC-4F57-96B9-DB764E5C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DCF"/>
    <w:pPr>
      <w:spacing w:after="0" w:line="240" w:lineRule="auto"/>
    </w:pPr>
  </w:style>
  <w:style w:type="paragraph" w:styleId="Rubrik1">
    <w:name w:val="heading 1"/>
    <w:aliases w:val="(Titel)"/>
    <w:basedOn w:val="Normal"/>
    <w:next w:val="Normal"/>
    <w:link w:val="Rubrik1Char"/>
    <w:uiPriority w:val="9"/>
    <w:qFormat/>
    <w:rsid w:val="00D2273F"/>
    <w:pPr>
      <w:keepNext/>
      <w:keepLines/>
      <w:outlineLvl w:val="0"/>
    </w:pPr>
    <w:rPr>
      <w:rFonts w:asciiTheme="majorHAnsi" w:eastAsiaTheme="majorEastAsia" w:hAnsiTheme="majorHAnsi" w:cstheme="majorBidi"/>
      <w:b/>
      <w:color w:val="4478A0" w:themeColor="background2"/>
      <w:sz w:val="72"/>
      <w:szCs w:val="32"/>
    </w:rPr>
  </w:style>
  <w:style w:type="paragraph" w:styleId="Rubrik2">
    <w:name w:val="heading 2"/>
    <w:basedOn w:val="Normal"/>
    <w:next w:val="Normal"/>
    <w:link w:val="Rubrik2Char"/>
    <w:uiPriority w:val="9"/>
    <w:unhideWhenUsed/>
    <w:qFormat/>
    <w:rsid w:val="00EF5E96"/>
    <w:pPr>
      <w:keepNext/>
      <w:keepLines/>
      <w:spacing w:before="280" w:after="240"/>
      <w:outlineLvl w:val="1"/>
    </w:pPr>
    <w:rPr>
      <w:rFonts w:asciiTheme="majorHAnsi" w:eastAsiaTheme="majorEastAsia" w:hAnsiTheme="majorHAnsi" w:cstheme="majorBidi"/>
      <w:b/>
      <w:color w:val="4478A0" w:themeColor="background2"/>
      <w:sz w:val="36"/>
      <w:szCs w:val="26"/>
    </w:rPr>
  </w:style>
  <w:style w:type="paragraph" w:styleId="Rubrik3">
    <w:name w:val="heading 3"/>
    <w:basedOn w:val="Normal"/>
    <w:next w:val="Normal"/>
    <w:link w:val="Rubrik3Char"/>
    <w:uiPriority w:val="9"/>
    <w:unhideWhenUsed/>
    <w:qFormat/>
    <w:rsid w:val="00536199"/>
    <w:pPr>
      <w:keepNext/>
      <w:keepLines/>
      <w:spacing w:before="280" w:after="240"/>
      <w:outlineLvl w:val="2"/>
    </w:pPr>
    <w:rPr>
      <w:rFonts w:asciiTheme="majorHAnsi" w:eastAsiaTheme="majorEastAsia" w:hAnsiTheme="majorHAnsi" w:cstheme="majorBidi"/>
      <w:b/>
      <w:color w:val="4478A0" w:themeColor="background2"/>
      <w:sz w:val="28"/>
      <w:szCs w:val="24"/>
    </w:rPr>
  </w:style>
  <w:style w:type="paragraph" w:styleId="Rubrik4">
    <w:name w:val="heading 4"/>
    <w:basedOn w:val="Normal"/>
    <w:next w:val="Normal"/>
    <w:link w:val="Rubrik4Char"/>
    <w:uiPriority w:val="9"/>
    <w:unhideWhenUsed/>
    <w:qFormat/>
    <w:rsid w:val="00DD3558"/>
    <w:pPr>
      <w:keepNext/>
      <w:keepLines/>
      <w:spacing w:before="40"/>
      <w:outlineLvl w:val="3"/>
    </w:pPr>
    <w:rPr>
      <w:rFonts w:asciiTheme="majorHAnsi" w:eastAsiaTheme="majorEastAsia" w:hAnsiTheme="majorHAnsi" w:cstheme="majorBidi"/>
      <w:b/>
      <w:iCs/>
      <w:color w:val="000000" w:themeColor="text1"/>
    </w:rPr>
  </w:style>
  <w:style w:type="paragraph" w:styleId="Rubrik5">
    <w:name w:val="heading 5"/>
    <w:basedOn w:val="Normal"/>
    <w:next w:val="Normal"/>
    <w:link w:val="Rubrik5Char"/>
    <w:uiPriority w:val="9"/>
    <w:semiHidden/>
    <w:unhideWhenUsed/>
    <w:rsid w:val="00A26B52"/>
    <w:pPr>
      <w:keepNext/>
      <w:keepLines/>
      <w:spacing w:before="40"/>
      <w:outlineLvl w:val="4"/>
    </w:pPr>
    <w:rPr>
      <w:rFonts w:asciiTheme="majorHAnsi" w:eastAsiaTheme="majorEastAsia" w:hAnsiTheme="majorHAnsi" w:cstheme="majorBidi"/>
      <w:color w:val="27A2C8"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rsid w:val="00A26B52"/>
    <w:pPr>
      <w:spacing w:after="0" w:line="240" w:lineRule="auto"/>
    </w:pPr>
  </w:style>
  <w:style w:type="character" w:customStyle="1" w:styleId="Rubrik1Char">
    <w:name w:val="Rubrik 1 Char"/>
    <w:aliases w:val="(Titel) Char"/>
    <w:basedOn w:val="Standardstycketeckensnitt"/>
    <w:link w:val="Rubrik1"/>
    <w:uiPriority w:val="9"/>
    <w:rsid w:val="00D2273F"/>
    <w:rPr>
      <w:rFonts w:asciiTheme="majorHAnsi" w:eastAsiaTheme="majorEastAsia" w:hAnsiTheme="majorHAnsi" w:cstheme="majorBidi"/>
      <w:b/>
      <w:color w:val="4478A0" w:themeColor="background2"/>
      <w:sz w:val="72"/>
      <w:szCs w:val="32"/>
    </w:rPr>
  </w:style>
  <w:style w:type="character" w:customStyle="1" w:styleId="Rubrik2Char">
    <w:name w:val="Rubrik 2 Char"/>
    <w:basedOn w:val="Standardstycketeckensnitt"/>
    <w:link w:val="Rubrik2"/>
    <w:uiPriority w:val="9"/>
    <w:rsid w:val="00EF5E96"/>
    <w:rPr>
      <w:rFonts w:asciiTheme="majorHAnsi" w:eastAsiaTheme="majorEastAsia" w:hAnsiTheme="majorHAnsi" w:cstheme="majorBidi"/>
      <w:b/>
      <w:color w:val="4478A0" w:themeColor="background2"/>
      <w:sz w:val="36"/>
      <w:szCs w:val="26"/>
    </w:rPr>
  </w:style>
  <w:style w:type="paragraph" w:styleId="Rubrik">
    <w:name w:val="Title"/>
    <w:basedOn w:val="Normal"/>
    <w:next w:val="Normal"/>
    <w:link w:val="RubrikChar"/>
    <w:uiPriority w:val="10"/>
    <w:rsid w:val="00A26B52"/>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26B52"/>
    <w:rPr>
      <w:rFonts w:asciiTheme="majorHAnsi" w:eastAsiaTheme="majorEastAsia" w:hAnsiTheme="majorHAnsi" w:cstheme="majorBidi"/>
      <w:spacing w:val="-10"/>
      <w:kern w:val="28"/>
      <w:sz w:val="56"/>
      <w:szCs w:val="56"/>
    </w:rPr>
  </w:style>
  <w:style w:type="character" w:styleId="Bokenstitel">
    <w:name w:val="Book Title"/>
    <w:basedOn w:val="Standardstycketeckensnitt"/>
    <w:uiPriority w:val="33"/>
    <w:rsid w:val="00A26B52"/>
    <w:rPr>
      <w:b/>
      <w:bCs/>
      <w:i/>
      <w:iCs/>
      <w:spacing w:val="5"/>
    </w:rPr>
  </w:style>
  <w:style w:type="character" w:customStyle="1" w:styleId="Rubrik3Char">
    <w:name w:val="Rubrik 3 Char"/>
    <w:basedOn w:val="Standardstycketeckensnitt"/>
    <w:link w:val="Rubrik3"/>
    <w:uiPriority w:val="9"/>
    <w:rsid w:val="00536199"/>
    <w:rPr>
      <w:rFonts w:asciiTheme="majorHAnsi" w:eastAsiaTheme="majorEastAsia" w:hAnsiTheme="majorHAnsi" w:cstheme="majorBidi"/>
      <w:b/>
      <w:color w:val="4478A0" w:themeColor="background2"/>
      <w:sz w:val="28"/>
      <w:szCs w:val="24"/>
    </w:rPr>
  </w:style>
  <w:style w:type="character" w:customStyle="1" w:styleId="Rubrik4Char">
    <w:name w:val="Rubrik 4 Char"/>
    <w:basedOn w:val="Standardstycketeckensnitt"/>
    <w:link w:val="Rubrik4"/>
    <w:uiPriority w:val="9"/>
    <w:rsid w:val="00DD3558"/>
    <w:rPr>
      <w:rFonts w:asciiTheme="majorHAnsi" w:eastAsiaTheme="majorEastAsia" w:hAnsiTheme="majorHAnsi" w:cstheme="majorBidi"/>
      <w:b/>
      <w:iCs/>
      <w:color w:val="000000" w:themeColor="text1"/>
    </w:rPr>
  </w:style>
  <w:style w:type="character" w:styleId="Betoning">
    <w:name w:val="Emphasis"/>
    <w:basedOn w:val="Standardstycketeckensnitt"/>
    <w:uiPriority w:val="20"/>
    <w:rsid w:val="00DD3558"/>
    <w:rPr>
      <w:rFonts w:ascii="Arial" w:hAnsi="Arial"/>
    </w:rPr>
  </w:style>
  <w:style w:type="paragraph" w:styleId="Citat">
    <w:name w:val="Quote"/>
    <w:basedOn w:val="Normal"/>
    <w:next w:val="Normal"/>
    <w:link w:val="CitatChar"/>
    <w:uiPriority w:val="29"/>
    <w:rsid w:val="00DD3558"/>
    <w:pPr>
      <w:spacing w:before="200"/>
      <w:ind w:left="864" w:right="864"/>
      <w:jc w:val="center"/>
    </w:pPr>
    <w:rPr>
      <w:i/>
      <w:iCs/>
      <w:color w:val="404040" w:themeColor="text1" w:themeTint="BF"/>
    </w:rPr>
  </w:style>
  <w:style w:type="character" w:customStyle="1" w:styleId="Rubrik5Char">
    <w:name w:val="Rubrik 5 Char"/>
    <w:basedOn w:val="Standardstycketeckensnitt"/>
    <w:link w:val="Rubrik5"/>
    <w:uiPriority w:val="9"/>
    <w:semiHidden/>
    <w:rsid w:val="00A26B52"/>
    <w:rPr>
      <w:rFonts w:asciiTheme="majorHAnsi" w:eastAsiaTheme="majorEastAsia" w:hAnsiTheme="majorHAnsi" w:cstheme="majorBidi"/>
      <w:color w:val="27A2C8" w:themeColor="accent1" w:themeShade="BF"/>
    </w:rPr>
  </w:style>
  <w:style w:type="character" w:customStyle="1" w:styleId="CitatChar">
    <w:name w:val="Citat Char"/>
    <w:basedOn w:val="Standardstycketeckensnitt"/>
    <w:link w:val="Citat"/>
    <w:uiPriority w:val="29"/>
    <w:rsid w:val="00DD3558"/>
    <w:rPr>
      <w:i/>
      <w:iCs/>
      <w:color w:val="404040" w:themeColor="text1" w:themeTint="BF"/>
    </w:rPr>
  </w:style>
  <w:style w:type="paragraph" w:customStyle="1" w:styleId="Ingress">
    <w:name w:val="Ingress"/>
    <w:basedOn w:val="Normal"/>
    <w:qFormat/>
    <w:rsid w:val="00EC055A"/>
    <w:rPr>
      <w:rFonts w:ascii="Arial" w:hAnsi="Arial"/>
      <w:i/>
    </w:rPr>
  </w:style>
  <w:style w:type="paragraph" w:styleId="Sidhuvud">
    <w:name w:val="header"/>
    <w:basedOn w:val="Normal"/>
    <w:link w:val="SidhuvudChar"/>
    <w:uiPriority w:val="99"/>
    <w:unhideWhenUsed/>
    <w:rsid w:val="00B57C98"/>
    <w:pPr>
      <w:tabs>
        <w:tab w:val="center" w:pos="4536"/>
        <w:tab w:val="right" w:pos="9072"/>
      </w:tabs>
    </w:pPr>
  </w:style>
  <w:style w:type="character" w:customStyle="1" w:styleId="SidhuvudChar">
    <w:name w:val="Sidhuvud Char"/>
    <w:basedOn w:val="Standardstycketeckensnitt"/>
    <w:link w:val="Sidhuvud"/>
    <w:uiPriority w:val="99"/>
    <w:rsid w:val="00B57C98"/>
  </w:style>
  <w:style w:type="paragraph" w:styleId="Sidfot">
    <w:name w:val="footer"/>
    <w:basedOn w:val="Normal"/>
    <w:link w:val="SidfotChar"/>
    <w:uiPriority w:val="99"/>
    <w:unhideWhenUsed/>
    <w:rsid w:val="00B57C98"/>
    <w:pPr>
      <w:tabs>
        <w:tab w:val="center" w:pos="4536"/>
        <w:tab w:val="right" w:pos="9072"/>
      </w:tabs>
    </w:pPr>
  </w:style>
  <w:style w:type="character" w:customStyle="1" w:styleId="SidfotChar">
    <w:name w:val="Sidfot Char"/>
    <w:basedOn w:val="Standardstycketeckensnitt"/>
    <w:link w:val="Sidfot"/>
    <w:uiPriority w:val="99"/>
    <w:rsid w:val="00B57C98"/>
  </w:style>
  <w:style w:type="paragraph" w:styleId="Liststycke">
    <w:name w:val="List Paragraph"/>
    <w:basedOn w:val="Normal"/>
    <w:uiPriority w:val="99"/>
    <w:qFormat/>
    <w:rsid w:val="002A4E6A"/>
    <w:pPr>
      <w:contextualSpacing/>
    </w:pPr>
    <w:rPr>
      <w:rFonts w:ascii="Arial" w:hAnsi="Arial"/>
      <w:color w:val="000000" w:themeColor="text1"/>
    </w:rPr>
  </w:style>
  <w:style w:type="table" w:styleId="Tabellrutnt">
    <w:name w:val="Table Grid"/>
    <w:basedOn w:val="Normaltabell"/>
    <w:uiPriority w:val="39"/>
    <w:rsid w:val="009C4679"/>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ell4dekorfrg1">
    <w:name w:val="List Table 4 Accent 1"/>
    <w:basedOn w:val="Normaltabell"/>
    <w:uiPriority w:val="49"/>
    <w:rsid w:val="00A97D30"/>
    <w:pPr>
      <w:spacing w:after="0" w:line="240" w:lineRule="auto"/>
    </w:pPr>
    <w:tblPr>
      <w:tblStyleRowBandSize w:val="1"/>
      <w:tblStyleColBandSize w:val="1"/>
      <w:tblBorders>
        <w:top w:val="single" w:sz="4" w:space="0" w:color="9FDAEC" w:themeColor="accent1" w:themeTint="99"/>
        <w:left w:val="single" w:sz="4" w:space="0" w:color="9FDAEC" w:themeColor="accent1" w:themeTint="99"/>
        <w:bottom w:val="single" w:sz="4" w:space="0" w:color="9FDAEC" w:themeColor="accent1" w:themeTint="99"/>
        <w:right w:val="single" w:sz="4" w:space="0" w:color="9FDAEC" w:themeColor="accent1" w:themeTint="99"/>
        <w:insideH w:val="single" w:sz="4" w:space="0" w:color="9FDAEC" w:themeColor="accent1" w:themeTint="99"/>
      </w:tblBorders>
    </w:tblPr>
    <w:tblStylePr w:type="firstRow">
      <w:rPr>
        <w:b/>
        <w:bCs/>
        <w:color w:val="FFFFFF" w:themeColor="background1"/>
      </w:rPr>
      <w:tblPr/>
      <w:tcPr>
        <w:tcBorders>
          <w:top w:val="single" w:sz="4" w:space="0" w:color="60C2E0" w:themeColor="accent1"/>
          <w:left w:val="single" w:sz="4" w:space="0" w:color="60C2E0" w:themeColor="accent1"/>
          <w:bottom w:val="single" w:sz="4" w:space="0" w:color="60C2E0" w:themeColor="accent1"/>
          <w:right w:val="single" w:sz="4" w:space="0" w:color="60C2E0" w:themeColor="accent1"/>
          <w:insideH w:val="nil"/>
        </w:tcBorders>
        <w:shd w:val="clear" w:color="auto" w:fill="60C2E0" w:themeFill="accent1"/>
      </w:tcPr>
    </w:tblStylePr>
    <w:tblStylePr w:type="lastRow">
      <w:rPr>
        <w:b/>
        <w:bCs/>
      </w:rPr>
      <w:tblPr/>
      <w:tcPr>
        <w:tcBorders>
          <w:top w:val="double" w:sz="4" w:space="0" w:color="9FDAEC" w:themeColor="accent1" w:themeTint="99"/>
        </w:tcBorders>
      </w:tcPr>
    </w:tblStylePr>
    <w:tblStylePr w:type="firstCol">
      <w:rPr>
        <w:b/>
        <w:bCs/>
      </w:rPr>
    </w:tblStylePr>
    <w:tblStylePr w:type="lastCol">
      <w:rPr>
        <w:b/>
        <w:bCs/>
      </w:rPr>
    </w:tblStylePr>
    <w:tblStylePr w:type="band1Vert">
      <w:tblPr/>
      <w:tcPr>
        <w:shd w:val="clear" w:color="auto" w:fill="DFF2F8" w:themeFill="accent1" w:themeFillTint="33"/>
      </w:tcPr>
    </w:tblStylePr>
    <w:tblStylePr w:type="band1Horz">
      <w:tblPr/>
      <w:tcPr>
        <w:shd w:val="clear" w:color="auto" w:fill="DFF2F8" w:themeFill="accent1" w:themeFillTint="33"/>
      </w:tcPr>
    </w:tblStylePr>
  </w:style>
  <w:style w:type="table" w:styleId="Listtabell2dekorfrg1">
    <w:name w:val="List Table 2 Accent 1"/>
    <w:basedOn w:val="Normaltabell"/>
    <w:uiPriority w:val="47"/>
    <w:rsid w:val="00A97D30"/>
    <w:pPr>
      <w:spacing w:after="0" w:line="240" w:lineRule="auto"/>
    </w:pPr>
    <w:tblPr>
      <w:tblStyleRowBandSize w:val="1"/>
      <w:tblStyleColBandSize w:val="1"/>
      <w:tblBorders>
        <w:top w:val="single" w:sz="4" w:space="0" w:color="9FDAEC" w:themeColor="accent1" w:themeTint="99"/>
        <w:bottom w:val="single" w:sz="4" w:space="0" w:color="9FDAEC" w:themeColor="accent1" w:themeTint="99"/>
        <w:insideH w:val="single" w:sz="4" w:space="0" w:color="9FDAE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2F8" w:themeFill="accent1" w:themeFillTint="33"/>
      </w:tcPr>
    </w:tblStylePr>
    <w:tblStylePr w:type="band1Horz">
      <w:tblPr/>
      <w:tcPr>
        <w:shd w:val="clear" w:color="auto" w:fill="DFF2F8" w:themeFill="accent1" w:themeFillTint="33"/>
      </w:tcPr>
    </w:tblStylePr>
  </w:style>
  <w:style w:type="table" w:customStyle="1" w:styleId="Tabell1">
    <w:name w:val="Tabell 1"/>
    <w:basedOn w:val="Normaltabell"/>
    <w:uiPriority w:val="99"/>
    <w:rsid w:val="00FA095B"/>
    <w:pPr>
      <w:spacing w:before="60" w:after="60" w:line="240" w:lineRule="auto"/>
      <w:ind w:left="57"/>
    </w:pPr>
    <w:tblPr>
      <w:tblStyleRowBandSize w:val="1"/>
    </w:tblPr>
    <w:trPr>
      <w:cantSplit/>
    </w:trPr>
    <w:tcPr>
      <w:tcMar>
        <w:top w:w="57" w:type="dxa"/>
        <w:left w:w="57" w:type="dxa"/>
        <w:bottom w:w="57" w:type="dxa"/>
        <w:right w:w="57" w:type="dxa"/>
      </w:tcMar>
    </w:tcPr>
    <w:tblStylePr w:type="firstRow">
      <w:pPr>
        <w:wordWrap/>
        <w:spacing w:beforeLines="0" w:before="60" w:beforeAutospacing="0" w:afterLines="0" w:after="0" w:afterAutospacing="0"/>
        <w:ind w:leftChars="0" w:left="57"/>
        <w:jc w:val="left"/>
      </w:pPr>
      <w:rPr>
        <w:rFonts w:ascii="Arial" w:hAnsi="Arial"/>
        <w:b/>
        <w:color w:val="FFFFFF" w:themeColor="background1"/>
        <w:sz w:val="18"/>
      </w:rPr>
      <w:tblPr/>
      <w:tcPr>
        <w:tcBorders>
          <w:top w:val="single" w:sz="4" w:space="0" w:color="4478A0" w:themeColor="background2"/>
          <w:left w:val="single" w:sz="4" w:space="0" w:color="4478A0" w:themeColor="background2"/>
          <w:bottom w:val="single" w:sz="4" w:space="0" w:color="4478A0" w:themeColor="background2"/>
          <w:right w:val="single" w:sz="4" w:space="0" w:color="4478A0" w:themeColor="background2"/>
          <w:insideH w:val="single" w:sz="4" w:space="0" w:color="4478A0" w:themeColor="background2"/>
          <w:insideV w:val="single" w:sz="4" w:space="0" w:color="4478A0" w:themeColor="background2"/>
        </w:tcBorders>
        <w:shd w:val="clear" w:color="auto" w:fill="4478A0" w:themeFill="background2"/>
      </w:tcPr>
    </w:tblStylePr>
    <w:tblStylePr w:type="band1Horz">
      <w:pPr>
        <w:wordWrap/>
        <w:spacing w:beforeLines="0" w:before="0" w:beforeAutospacing="0" w:afterLines="0" w:after="0" w:afterAutospacing="0"/>
        <w:ind w:leftChars="0" w:left="57" w:firstLineChars="0" w:firstLine="0"/>
        <w:jc w:val="left"/>
        <w:outlineLvl w:val="9"/>
      </w:pPr>
      <w:rPr>
        <w:rFonts w:ascii="Arial" w:hAnsi="Arial"/>
        <w:sz w:val="18"/>
      </w:rPr>
      <w:tblPr/>
      <w:tcPr>
        <w:tcBorders>
          <w:top w:val="single" w:sz="4" w:space="0" w:color="4478A0" w:themeColor="background2"/>
          <w:left w:val="single" w:sz="4" w:space="0" w:color="4478A0" w:themeColor="background2"/>
          <w:bottom w:val="single" w:sz="4" w:space="0" w:color="4478A0" w:themeColor="background2"/>
          <w:right w:val="single" w:sz="4" w:space="0" w:color="4478A0" w:themeColor="background2"/>
          <w:insideH w:val="single" w:sz="4" w:space="0" w:color="4478A0" w:themeColor="background2"/>
          <w:insideV w:val="single" w:sz="4" w:space="0" w:color="4478A0" w:themeColor="background2"/>
        </w:tcBorders>
        <w:shd w:val="clear" w:color="auto" w:fill="D7E4EE" w:themeFill="background2" w:themeFillTint="33"/>
      </w:tcPr>
    </w:tblStylePr>
    <w:tblStylePr w:type="band2Horz">
      <w:pPr>
        <w:wordWrap/>
        <w:spacing w:beforeLines="0" w:before="0" w:beforeAutospacing="0" w:afterLines="0" w:after="0" w:afterAutospacing="0" w:line="240" w:lineRule="auto"/>
        <w:ind w:leftChars="0" w:left="57" w:firstLineChars="0" w:firstLine="0"/>
        <w:jc w:val="left"/>
      </w:pPr>
      <w:rPr>
        <w:rFonts w:ascii="Arial" w:hAnsi="Arial"/>
        <w:color w:val="000000" w:themeColor="text1"/>
        <w:sz w:val="18"/>
      </w:rPr>
      <w:tblPr/>
      <w:tcPr>
        <w:tcBorders>
          <w:top w:val="single" w:sz="4" w:space="0" w:color="4478A0" w:themeColor="background2"/>
          <w:left w:val="single" w:sz="4" w:space="0" w:color="4478A0" w:themeColor="background2"/>
          <w:bottom w:val="single" w:sz="4" w:space="0" w:color="4478A0" w:themeColor="background2"/>
          <w:right w:val="single" w:sz="4" w:space="0" w:color="4478A0" w:themeColor="background2"/>
          <w:insideH w:val="single" w:sz="4" w:space="0" w:color="4478A0" w:themeColor="background2"/>
          <w:insideV w:val="single" w:sz="4" w:space="0" w:color="4478A0" w:themeColor="background2"/>
        </w:tcBorders>
        <w:shd w:val="clear" w:color="auto" w:fill="FFFFFF" w:themeFill="background1"/>
      </w:tcPr>
    </w:tblStylePr>
  </w:style>
  <w:style w:type="paragraph" w:styleId="Beskrivning">
    <w:name w:val="caption"/>
    <w:basedOn w:val="Normal"/>
    <w:next w:val="Normal"/>
    <w:uiPriority w:val="99"/>
    <w:qFormat/>
    <w:rsid w:val="003357A9"/>
    <w:rPr>
      <w:rFonts w:ascii="Times New Roman" w:eastAsia="Times New Roman" w:hAnsi="Times New Roman" w:cs="Times New Roman"/>
      <w:b/>
      <w:bCs/>
      <w:sz w:val="20"/>
      <w:szCs w:val="20"/>
      <w:lang w:eastAsia="sv-SE"/>
    </w:rPr>
  </w:style>
  <w:style w:type="paragraph" w:styleId="Innehllsfrteckningsrubrik">
    <w:name w:val="TOC Heading"/>
    <w:basedOn w:val="Rubrik1"/>
    <w:next w:val="Normal"/>
    <w:uiPriority w:val="39"/>
    <w:unhideWhenUsed/>
    <w:qFormat/>
    <w:rsid w:val="008A5068"/>
    <w:pPr>
      <w:spacing w:before="240" w:line="259" w:lineRule="auto"/>
      <w:outlineLvl w:val="9"/>
    </w:pPr>
    <w:rPr>
      <w:b w:val="0"/>
      <w:color w:val="27A2C8" w:themeColor="accent1" w:themeShade="BF"/>
      <w:sz w:val="32"/>
      <w:lang w:eastAsia="sv-SE"/>
    </w:rPr>
  </w:style>
  <w:style w:type="paragraph" w:styleId="Innehll1">
    <w:name w:val="toc 1"/>
    <w:basedOn w:val="Normal"/>
    <w:next w:val="Normal"/>
    <w:autoRedefine/>
    <w:uiPriority w:val="39"/>
    <w:unhideWhenUsed/>
    <w:rsid w:val="008A5068"/>
    <w:pPr>
      <w:spacing w:after="100"/>
    </w:pPr>
  </w:style>
  <w:style w:type="paragraph" w:styleId="Innehll2">
    <w:name w:val="toc 2"/>
    <w:basedOn w:val="Normal"/>
    <w:next w:val="Normal"/>
    <w:autoRedefine/>
    <w:uiPriority w:val="39"/>
    <w:unhideWhenUsed/>
    <w:rsid w:val="002A63ED"/>
    <w:pPr>
      <w:tabs>
        <w:tab w:val="right" w:leader="dot" w:pos="7926"/>
      </w:tabs>
      <w:spacing w:after="100"/>
      <w:ind w:left="220"/>
    </w:pPr>
  </w:style>
  <w:style w:type="paragraph" w:styleId="Innehll3">
    <w:name w:val="toc 3"/>
    <w:basedOn w:val="Normal"/>
    <w:next w:val="Normal"/>
    <w:autoRedefine/>
    <w:uiPriority w:val="39"/>
    <w:unhideWhenUsed/>
    <w:rsid w:val="00BE0749"/>
    <w:pPr>
      <w:tabs>
        <w:tab w:val="right" w:leader="dot" w:pos="7926"/>
      </w:tabs>
      <w:spacing w:after="100"/>
      <w:ind w:left="440"/>
    </w:pPr>
  </w:style>
  <w:style w:type="character" w:styleId="Hyperlnk">
    <w:name w:val="Hyperlink"/>
    <w:basedOn w:val="Standardstycketeckensnitt"/>
    <w:uiPriority w:val="99"/>
    <w:unhideWhenUsed/>
    <w:rsid w:val="008A5068"/>
    <w:rPr>
      <w:color w:val="CAC6B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lmar Kommun_Affisch">
  <a:themeElements>
    <a:clrScheme name="Kalmar Kommun">
      <a:dk1>
        <a:sysClr val="windowText" lastClr="000000"/>
      </a:dk1>
      <a:lt1>
        <a:sysClr val="window" lastClr="FFFFFF"/>
      </a:lt1>
      <a:dk2>
        <a:srgbClr val="124A70"/>
      </a:dk2>
      <a:lt2>
        <a:srgbClr val="4478A0"/>
      </a:lt2>
      <a:accent1>
        <a:srgbClr val="60C2E0"/>
      </a:accent1>
      <a:accent2>
        <a:srgbClr val="72B431"/>
      </a:accent2>
      <a:accent3>
        <a:srgbClr val="955F8F"/>
      </a:accent3>
      <a:accent4>
        <a:srgbClr val="CD1619"/>
      </a:accent4>
      <a:accent5>
        <a:srgbClr val="E68523"/>
      </a:accent5>
      <a:accent6>
        <a:srgbClr val="EDB220"/>
      </a:accent6>
      <a:hlink>
        <a:srgbClr val="CAC6BE"/>
      </a:hlink>
      <a:folHlink>
        <a:srgbClr val="513D35"/>
      </a:folHlink>
    </a:clrScheme>
    <a:fontScheme name="Kalmar kommun Affisch">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almar Kommun_Affisch" id="{609FCC42-9E5B-4291-B735-4606D45F344E}" vid="{DB6E0A2E-C29C-44DF-A97B-DC7BF7BACB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41EC389F31FE40B0DDCF1B9A1F9F57" ma:contentTypeVersion="12" ma:contentTypeDescription="Skapa ett nytt dokument." ma:contentTypeScope="" ma:versionID="5a41109e43a4f35a37a430815863f83d">
  <xsd:schema xmlns:xsd="http://www.w3.org/2001/XMLSchema" xmlns:xs="http://www.w3.org/2001/XMLSchema" xmlns:p="http://schemas.microsoft.com/office/2006/metadata/properties" xmlns:ns3="363c4e90-0688-471a-832a-3d9ef8556acf" xmlns:ns4="a4852bbb-9a57-44ac-a406-e043c120c0e9" targetNamespace="http://schemas.microsoft.com/office/2006/metadata/properties" ma:root="true" ma:fieldsID="2f0763261f5b516575dce7bf98724411" ns3:_="" ns4:_="">
    <xsd:import namespace="363c4e90-0688-471a-832a-3d9ef8556acf"/>
    <xsd:import namespace="a4852bbb-9a57-44ac-a406-e043c120c0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c4e90-0688-471a-832a-3d9ef8556ac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52bbb-9a57-44ac-a406-e043c120c0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63963-E3DD-4B27-BFFF-1BC23ACB0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c4e90-0688-471a-832a-3d9ef8556acf"/>
    <ds:schemaRef ds:uri="a4852bbb-9a57-44ac-a406-e043c120c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E9565-E704-4597-866B-B89B7ECABE56}">
  <ds:schemaRefs>
    <ds:schemaRef ds:uri="http://schemas.microsoft.com/sharepoint/v3/contenttype/forms"/>
  </ds:schemaRefs>
</ds:datastoreItem>
</file>

<file path=customXml/itemProps3.xml><?xml version="1.0" encoding="utf-8"?>
<ds:datastoreItem xmlns:ds="http://schemas.openxmlformats.org/officeDocument/2006/customXml" ds:itemID="{87F846D3-9D93-4141-B846-4E6E4E7E01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36784B-032F-4D1B-B479-89683AAF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1496</Words>
  <Characters>7930</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Sederin</dc:creator>
  <cp:keywords/>
  <dc:description/>
  <cp:lastModifiedBy>Beatrice Andersson</cp:lastModifiedBy>
  <cp:revision>3</cp:revision>
  <cp:lastPrinted>2021-08-10T08:43:00Z</cp:lastPrinted>
  <dcterms:created xsi:type="dcterms:W3CDTF">2024-05-14T12:20:00Z</dcterms:created>
  <dcterms:modified xsi:type="dcterms:W3CDTF">2024-05-14T15:09:00Z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2d99-4413-49ee-9551-0670efc4da27_Enabled">
    <vt:lpwstr>true</vt:lpwstr>
  </property>
  <property fmtid="{D5CDD505-2E9C-101B-9397-08002B2CF9AE}" pid="3" name="MSIP_Label_64592d99-4413-49ee-9551-0670efc4da27_SetDate">
    <vt:lpwstr>2021-08-09T13:57:44Z</vt:lpwstr>
  </property>
  <property fmtid="{D5CDD505-2E9C-101B-9397-08002B2CF9AE}" pid="4" name="MSIP_Label_64592d99-4413-49ee-9551-0670efc4da27_Method">
    <vt:lpwstr>Standard</vt:lpwstr>
  </property>
  <property fmtid="{D5CDD505-2E9C-101B-9397-08002B2CF9AE}" pid="5" name="MSIP_Label_64592d99-4413-49ee-9551-0670efc4da27_Name">
    <vt:lpwstr>Klass 1 - öppet</vt:lpwstr>
  </property>
  <property fmtid="{D5CDD505-2E9C-101B-9397-08002B2CF9AE}" pid="6" name="MSIP_Label_64592d99-4413-49ee-9551-0670efc4da27_SiteId">
    <vt:lpwstr>687e1b58-fbe3-4cfb-98bc-58f2496d274c</vt:lpwstr>
  </property>
  <property fmtid="{D5CDD505-2E9C-101B-9397-08002B2CF9AE}" pid="7" name="MSIP_Label_64592d99-4413-49ee-9551-0670efc4da27_ActionId">
    <vt:lpwstr>61e10684-d322-497c-aa39-531d04705a3d</vt:lpwstr>
  </property>
  <property fmtid="{D5CDD505-2E9C-101B-9397-08002B2CF9AE}" pid="8" name="MSIP_Label_64592d99-4413-49ee-9551-0670efc4da27_ContentBits">
    <vt:lpwstr>0</vt:lpwstr>
  </property>
  <property fmtid="{D5CDD505-2E9C-101B-9397-08002B2CF9AE}" pid="9" name="ContentTypeId">
    <vt:lpwstr>0x0101007941EC389F31FE40B0DDCF1B9A1F9F57</vt:lpwstr>
  </property>
</Properties>
</file>