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DBE" w:rsidRPr="00D80DBE" w:rsidRDefault="00D80DBE" w:rsidP="00D80DBE">
      <w:pPr>
        <w:widowControl w:val="0"/>
        <w:spacing w:line="360" w:lineRule="auto"/>
        <w:rPr>
          <w:sz w:val="22"/>
          <w:szCs w:val="22"/>
          <w:lang w:val="fi-FI"/>
        </w:rPr>
      </w:pPr>
      <w:r w:rsidRPr="00D80DBE">
        <w:rPr>
          <w:b/>
          <w:sz w:val="22"/>
          <w:szCs w:val="22"/>
          <w:lang w:val="fi-FI"/>
        </w:rPr>
        <w:t>GROHE LAHJOITTAA LASTENKIRJOJA HOPELLE</w:t>
      </w:r>
    </w:p>
    <w:p w:rsidR="00D80DBE" w:rsidRPr="00D80DBE" w:rsidRDefault="00D80DBE" w:rsidP="00D80DBE">
      <w:pPr>
        <w:widowControl w:val="0"/>
        <w:spacing w:line="360" w:lineRule="auto"/>
        <w:rPr>
          <w:sz w:val="22"/>
          <w:szCs w:val="22"/>
          <w:lang w:val="fi-FI"/>
        </w:rPr>
      </w:pPr>
    </w:p>
    <w:p w:rsidR="00D80DBE" w:rsidRPr="00D80DBE" w:rsidRDefault="00D80DBE" w:rsidP="00D80DBE">
      <w:pPr>
        <w:widowControl w:val="0"/>
        <w:spacing w:line="360" w:lineRule="auto"/>
        <w:rPr>
          <w:sz w:val="22"/>
          <w:szCs w:val="22"/>
          <w:lang w:val="fi-FI"/>
        </w:rPr>
      </w:pPr>
      <w:r w:rsidRPr="00D80DBE">
        <w:rPr>
          <w:sz w:val="22"/>
          <w:szCs w:val="22"/>
          <w:lang w:val="fi-FI"/>
        </w:rPr>
        <w:t>LIXIL ja GROHE julkaisevat vuosittain yhteisöllisyyspäivänään lastenkirjan. Julkaistavien kirjojen aiheet liittyvät aina tavalla tai toisella veteen ja vastuullisuuteen.</w:t>
      </w:r>
    </w:p>
    <w:p w:rsidR="00D80DBE" w:rsidRPr="00D80DBE" w:rsidRDefault="00D80DBE" w:rsidP="00D80DBE">
      <w:pPr>
        <w:widowControl w:val="0"/>
        <w:spacing w:line="360" w:lineRule="auto"/>
        <w:rPr>
          <w:sz w:val="22"/>
          <w:szCs w:val="22"/>
          <w:lang w:val="fi-FI"/>
        </w:rPr>
      </w:pPr>
      <w:r w:rsidRPr="00D80DBE">
        <w:rPr>
          <w:sz w:val="22"/>
          <w:szCs w:val="22"/>
          <w:lang w:val="fi-FI"/>
        </w:rPr>
        <w:t>Tänä vuonna kirjan aihe on hyvin ajankohtainen ja konkreettinen, tarkoituksenaan opettaa lapsille hyvän käsihygienian merkitystä haitallisten bakteerien ja virusten leviämisen ehkäisemiseksi. Lisäksi kirjassa kiinnitetään huomiota siihen, kuinka tärkeää on pitää hyvää huolta kallisarvoisesta luonnonvarastamme, vedestä.</w:t>
      </w:r>
    </w:p>
    <w:p w:rsidR="00D80DBE" w:rsidRPr="00D80DBE" w:rsidRDefault="00D80DBE" w:rsidP="00D80DBE">
      <w:pPr>
        <w:widowControl w:val="0"/>
        <w:spacing w:line="360" w:lineRule="auto"/>
        <w:rPr>
          <w:sz w:val="22"/>
          <w:szCs w:val="22"/>
          <w:lang w:val="fi-FI"/>
        </w:rPr>
      </w:pPr>
      <w:r w:rsidRPr="00D80DBE">
        <w:rPr>
          <w:sz w:val="22"/>
          <w:szCs w:val="22"/>
          <w:lang w:val="fi-FI"/>
        </w:rPr>
        <w:t>Nyt julkaistava kirja kertoo leijonasta nimeltä Ali ja hänen huonosta suhtautumisestaan tassujen pesuun ja siitä kuinka huono käsihygienia lopulta johtaa koko lauman sairastumiseen. Aihetta käsitellään kirjassa pienille lapsille sopivalla tavalla.</w:t>
      </w:r>
    </w:p>
    <w:p w:rsidR="00D80DBE" w:rsidRPr="00D80DBE" w:rsidRDefault="00D80DBE" w:rsidP="00D80DBE">
      <w:pPr>
        <w:widowControl w:val="0"/>
        <w:spacing w:line="360" w:lineRule="auto"/>
        <w:rPr>
          <w:sz w:val="22"/>
          <w:szCs w:val="22"/>
          <w:lang w:val="fi-FI"/>
        </w:rPr>
      </w:pPr>
    </w:p>
    <w:p w:rsidR="00D80DBE" w:rsidRPr="00D80DBE" w:rsidRDefault="00D80DBE" w:rsidP="00D80DBE">
      <w:pPr>
        <w:widowControl w:val="0"/>
        <w:spacing w:line="360" w:lineRule="auto"/>
        <w:rPr>
          <w:sz w:val="22"/>
          <w:szCs w:val="22"/>
          <w:lang w:val="fi-FI"/>
        </w:rPr>
      </w:pPr>
      <w:r w:rsidRPr="00D80DBE">
        <w:rPr>
          <w:sz w:val="22"/>
          <w:szCs w:val="22"/>
          <w:lang w:val="fi-FI"/>
        </w:rPr>
        <w:t xml:space="preserve">”Joka vuosi jokainen </w:t>
      </w:r>
      <w:proofErr w:type="spellStart"/>
      <w:r w:rsidRPr="00D80DBE">
        <w:rPr>
          <w:sz w:val="22"/>
          <w:szCs w:val="22"/>
          <w:lang w:val="fi-FI"/>
        </w:rPr>
        <w:t>GROHEn</w:t>
      </w:r>
      <w:proofErr w:type="spellEnd"/>
      <w:r w:rsidRPr="00D80DBE">
        <w:rPr>
          <w:sz w:val="22"/>
          <w:szCs w:val="22"/>
          <w:lang w:val="fi-FI"/>
        </w:rPr>
        <w:t xml:space="preserve"> toimintamaa valitsee itse kohteen, jonka kokee tärkeäksi ja </w:t>
      </w:r>
      <w:r w:rsidR="00203B05">
        <w:rPr>
          <w:sz w:val="22"/>
          <w:szCs w:val="22"/>
          <w:lang w:val="fi-FI"/>
        </w:rPr>
        <w:t>jonka kanssa haluaa lastenkirjan jakaa</w:t>
      </w:r>
      <w:r w:rsidRPr="00D80DBE">
        <w:rPr>
          <w:sz w:val="22"/>
          <w:szCs w:val="22"/>
          <w:lang w:val="fi-FI"/>
        </w:rPr>
        <w:t xml:space="preserve">. Tänä vuonna kohteeksemme valikoitui HOPE, joka </w:t>
      </w:r>
      <w:proofErr w:type="spellStart"/>
      <w:r w:rsidRPr="00D80DBE">
        <w:rPr>
          <w:sz w:val="22"/>
          <w:szCs w:val="22"/>
          <w:lang w:val="fi-FI"/>
        </w:rPr>
        <w:t>GROHEn</w:t>
      </w:r>
      <w:proofErr w:type="spellEnd"/>
      <w:r w:rsidRPr="00D80DBE">
        <w:rPr>
          <w:sz w:val="22"/>
          <w:szCs w:val="22"/>
          <w:lang w:val="fi-FI"/>
        </w:rPr>
        <w:t xml:space="preserve"> tavoin on yksi yhteistyökumppaneista Suomessa 2021 pelattavissa miesten salibandyn MM-kisoissa. Yhteistyössä </w:t>
      </w:r>
      <w:proofErr w:type="spellStart"/>
      <w:r w:rsidRPr="00D80DBE">
        <w:rPr>
          <w:sz w:val="22"/>
          <w:szCs w:val="22"/>
          <w:lang w:val="fi-FI"/>
        </w:rPr>
        <w:t>HOPEn</w:t>
      </w:r>
      <w:proofErr w:type="spellEnd"/>
      <w:r w:rsidRPr="00D80DBE">
        <w:rPr>
          <w:sz w:val="22"/>
          <w:szCs w:val="22"/>
          <w:lang w:val="fi-FI"/>
        </w:rPr>
        <w:t xml:space="preserve"> ja MM2020-kumppaneiden toteuttama Anna Mahdollisuus -kampanja on avannut silmäni yhä useampien lapsiperheiden kokemalle ahdingolle. Toivon että </w:t>
      </w:r>
      <w:r w:rsidR="00203B05">
        <w:rPr>
          <w:sz w:val="22"/>
          <w:szCs w:val="22"/>
          <w:lang w:val="fi-FI"/>
        </w:rPr>
        <w:t xml:space="preserve">näillä </w:t>
      </w:r>
      <w:bookmarkStart w:id="0" w:name="_GoBack"/>
      <w:bookmarkEnd w:id="0"/>
      <w:r w:rsidRPr="00D80DBE">
        <w:rPr>
          <w:sz w:val="22"/>
          <w:szCs w:val="22"/>
          <w:lang w:val="fi-FI"/>
        </w:rPr>
        <w:t>lahjoitettavilla kirjoilla voidaan ilahduttaa apua tarvitsevien perheiden pienimpiä”, kertoo GROHE Suomen markkinointipäällikkö Tanja Stade.</w:t>
      </w:r>
    </w:p>
    <w:p w:rsidR="00D80DBE" w:rsidRPr="00D80DBE" w:rsidRDefault="00D80DBE" w:rsidP="00D80DBE">
      <w:pPr>
        <w:widowControl w:val="0"/>
        <w:spacing w:line="360" w:lineRule="auto"/>
        <w:rPr>
          <w:sz w:val="22"/>
          <w:szCs w:val="22"/>
          <w:lang w:val="fi-FI"/>
        </w:rPr>
      </w:pPr>
    </w:p>
    <w:p w:rsidR="00D80DBE" w:rsidRPr="00D80DBE" w:rsidRDefault="00D80DBE" w:rsidP="00D80DBE">
      <w:pPr>
        <w:widowControl w:val="0"/>
        <w:spacing w:line="360" w:lineRule="auto"/>
        <w:rPr>
          <w:sz w:val="22"/>
          <w:szCs w:val="22"/>
          <w:lang w:val="fi-FI"/>
        </w:rPr>
      </w:pPr>
      <w:r w:rsidRPr="00D80DBE">
        <w:rPr>
          <w:sz w:val="22"/>
          <w:szCs w:val="22"/>
          <w:lang w:val="fi-FI"/>
        </w:rPr>
        <w:t>"Kirjan aihe on hyvin ajankohtainen ja tärkeä. On ilo saada jakaa näitä kirjoja ja sitä kautta lukukokemuksia Hopen tukemien perheiden lapsille. Tarinoiden kautta syntyy monesti suurimmat oivallukset ja yhdessä lukeminen yhdistää lasten ja aikuisten maailmoja." sanoo Hope ry:n toiminnanjohtaja Eveliina Hostila.</w:t>
      </w:r>
    </w:p>
    <w:p w:rsidR="00D80DBE" w:rsidRPr="00D80DBE" w:rsidRDefault="00D80DBE" w:rsidP="00D80DBE">
      <w:pPr>
        <w:widowControl w:val="0"/>
        <w:spacing w:line="360" w:lineRule="auto"/>
        <w:rPr>
          <w:sz w:val="22"/>
          <w:szCs w:val="22"/>
          <w:lang w:val="fi-FI"/>
        </w:rPr>
      </w:pPr>
    </w:p>
    <w:p w:rsidR="00D80DBE" w:rsidRPr="00D80DBE" w:rsidRDefault="00D80DBE" w:rsidP="00D80DBE">
      <w:pPr>
        <w:widowControl w:val="0"/>
        <w:spacing w:line="360" w:lineRule="auto"/>
        <w:rPr>
          <w:sz w:val="22"/>
          <w:szCs w:val="22"/>
          <w:lang w:val="fi-FI"/>
        </w:rPr>
      </w:pPr>
      <w:r w:rsidRPr="00D80DBE">
        <w:rPr>
          <w:sz w:val="22"/>
          <w:szCs w:val="22"/>
          <w:lang w:val="fi-FI"/>
        </w:rPr>
        <w:t xml:space="preserve">Myös MM-kisojen tapahtumajohtaja Hanne Pirkola on iloinen siitä, että yhteistyö kisakumppaneiden ja Hope ry:n välillä on jatkunut. </w:t>
      </w:r>
    </w:p>
    <w:p w:rsidR="0053310A" w:rsidRDefault="00D80DBE" w:rsidP="00D80DBE">
      <w:pPr>
        <w:widowControl w:val="0"/>
        <w:spacing w:line="360" w:lineRule="auto"/>
        <w:rPr>
          <w:sz w:val="22"/>
          <w:szCs w:val="22"/>
          <w:lang w:val="fi-FI"/>
        </w:rPr>
      </w:pPr>
      <w:r w:rsidRPr="00D80DBE">
        <w:rPr>
          <w:sz w:val="22"/>
          <w:szCs w:val="22"/>
          <w:lang w:val="fi-FI"/>
        </w:rPr>
        <w:t>”Hienoa, että yhteistyö Hope ry:n ja kumppaneidemme välillä on tiivistynyt. Anna mahdollisuus -kampanja on kahdella toteutuskerrallaan saanut hyvän vastaanoton ja olemme pystyneet auttamaan lukuisia lapsia ja nuoria. Kisojen tavoitteena on olla enemmän kuin sarja huippuotteluita, ja olemme yhdessä kumppaniemme kanssa onnistuneet jo nyt siinä hienosti.</w:t>
      </w:r>
    </w:p>
    <w:p w:rsidR="00D80DBE" w:rsidRPr="00AB6AF8" w:rsidRDefault="00D80DBE" w:rsidP="00D80DBE">
      <w:pPr>
        <w:jc w:val="both"/>
        <w:rPr>
          <w:b/>
          <w:color w:val="000000"/>
          <w:sz w:val="18"/>
          <w:szCs w:val="18"/>
          <w:lang w:val="en-US"/>
        </w:rPr>
      </w:pPr>
      <w:r w:rsidRPr="00AB6AF8">
        <w:rPr>
          <w:b/>
          <w:color w:val="000000"/>
          <w:sz w:val="18"/>
          <w:szCs w:val="18"/>
          <w:lang w:val="en-US"/>
        </w:rPr>
        <w:lastRenderedPageBreak/>
        <w:t>About GROHE</w:t>
      </w:r>
    </w:p>
    <w:p w:rsidR="00D80DBE" w:rsidRPr="003F46F2" w:rsidRDefault="00D80DBE" w:rsidP="00D80DBE">
      <w:pPr>
        <w:widowControl w:val="0"/>
        <w:autoSpaceDE w:val="0"/>
        <w:autoSpaceDN w:val="0"/>
        <w:adjustRightInd w:val="0"/>
        <w:jc w:val="both"/>
        <w:rPr>
          <w:rFonts w:eastAsia="Calibri"/>
          <w:bCs/>
          <w:sz w:val="18"/>
          <w:szCs w:val="18"/>
          <w:lang w:val="en-GB" w:eastAsia="en-US"/>
        </w:rPr>
      </w:pPr>
      <w:r w:rsidRPr="003F46F2">
        <w:rPr>
          <w:rFonts w:eastAsia="Calibri"/>
          <w:bCs/>
          <w:sz w:val="18"/>
          <w:szCs w:val="18"/>
          <w:lang w:val="en-GB" w:eastAsia="en-US"/>
        </w:rPr>
        <w:t xml:space="preserve">GROHE is a leading global brand for complete bathroom solutions and kitchen fittings and has a total of over 6,500 employees in 150 countries – 2,600 of them are based in Germany. Since 2014 GROHE has been part of the strong brand portfolio of the Japanese manufacturer of pioneering water and housing products LIXIL. In order to offer “Pure </w:t>
      </w:r>
      <w:proofErr w:type="spellStart"/>
      <w:r w:rsidRPr="003F46F2">
        <w:rPr>
          <w:rFonts w:eastAsia="Calibri"/>
          <w:bCs/>
          <w:sz w:val="18"/>
          <w:szCs w:val="18"/>
          <w:lang w:val="en-GB" w:eastAsia="en-US"/>
        </w:rPr>
        <w:t>Freude</w:t>
      </w:r>
      <w:proofErr w:type="spellEnd"/>
      <w:r w:rsidRPr="003F46F2">
        <w:rPr>
          <w:rFonts w:eastAsia="Calibri"/>
          <w:bCs/>
          <w:sz w:val="18"/>
          <w:szCs w:val="18"/>
          <w:lang w:val="en-GB" w:eastAsia="en-US"/>
        </w:rPr>
        <w:t xml:space="preserve"> an Wasser”, every GROHE product is based on the brand values of quality, technology, design and sustainability. Renowned highlights such as GROHE </w:t>
      </w:r>
      <w:proofErr w:type="spellStart"/>
      <w:r w:rsidRPr="003F46F2">
        <w:rPr>
          <w:rFonts w:eastAsia="Calibri"/>
          <w:bCs/>
          <w:sz w:val="18"/>
          <w:szCs w:val="18"/>
          <w:lang w:val="en-GB" w:eastAsia="en-US"/>
        </w:rPr>
        <w:t>Eurosmart</w:t>
      </w:r>
      <w:proofErr w:type="spellEnd"/>
      <w:r w:rsidRPr="003F46F2">
        <w:rPr>
          <w:rFonts w:eastAsia="Calibri"/>
          <w:bCs/>
          <w:sz w:val="18"/>
          <w:szCs w:val="18"/>
          <w:lang w:val="en-GB" w:eastAsia="en-US"/>
        </w:rPr>
        <w:t xml:space="preserve"> or the GROHE thermostat series as well as </w:t>
      </w:r>
      <w:proofErr w:type="spellStart"/>
      <w:r w:rsidRPr="003F46F2">
        <w:rPr>
          <w:rFonts w:eastAsia="Calibri"/>
          <w:bCs/>
          <w:sz w:val="18"/>
          <w:szCs w:val="18"/>
          <w:lang w:val="en-GB" w:eastAsia="en-US"/>
        </w:rPr>
        <w:t>groundbreaking</w:t>
      </w:r>
      <w:proofErr w:type="spellEnd"/>
      <w:r w:rsidRPr="003F46F2">
        <w:rPr>
          <w:rFonts w:eastAsia="Calibri"/>
          <w:bCs/>
          <w:sz w:val="18"/>
          <w:szCs w:val="18"/>
          <w:lang w:val="en-GB" w:eastAsia="en-US"/>
        </w:rPr>
        <w:t xml:space="preserve"> innovations such as the GROHE Blue water system underline the brand's profound expertise. Focused on customer needs, GROHE thus creates intelligent, life-enhancing and sustainable product solutions that offer relevant added value – and bear the "Made in Germany" seal of quality: R&amp;D and design are firmly anchored as an integrated process in Germany. GROHE takes its corporate responsibility very seriously and focuses on a resource-saving value chain. Since April 2020, the sanitary brand has been producing CO</w:t>
      </w:r>
      <w:r w:rsidRPr="003F46F2">
        <w:rPr>
          <w:rFonts w:eastAsia="Calibri"/>
          <w:bCs/>
          <w:sz w:val="18"/>
          <w:szCs w:val="18"/>
          <w:vertAlign w:val="subscript"/>
          <w:lang w:val="en-GB" w:eastAsia="en-US"/>
        </w:rPr>
        <w:t>2</w:t>
      </w:r>
      <w:r w:rsidRPr="003F46F2">
        <w:rPr>
          <w:rFonts w:eastAsia="Calibri"/>
          <w:bCs/>
          <w:sz w:val="18"/>
          <w:szCs w:val="18"/>
          <w:lang w:val="en-GB" w:eastAsia="en-US"/>
        </w:rPr>
        <w:t>-neutral worldwide. GROHE has also set itself the goal of using plastic-free product packaging by 2021.</w:t>
      </w:r>
    </w:p>
    <w:p w:rsidR="00D80DBE" w:rsidRDefault="00D80DBE" w:rsidP="00D80DBE">
      <w:pPr>
        <w:widowControl w:val="0"/>
        <w:autoSpaceDE w:val="0"/>
        <w:autoSpaceDN w:val="0"/>
        <w:adjustRightInd w:val="0"/>
        <w:jc w:val="both"/>
        <w:rPr>
          <w:rFonts w:eastAsia="Calibri"/>
          <w:bCs/>
          <w:sz w:val="18"/>
          <w:szCs w:val="18"/>
          <w:lang w:val="en-GB" w:eastAsia="en-US"/>
        </w:rPr>
      </w:pPr>
      <w:r w:rsidRPr="003F46F2">
        <w:rPr>
          <w:rFonts w:eastAsia="Calibri"/>
          <w:bCs/>
          <w:sz w:val="18"/>
          <w:szCs w:val="18"/>
          <w:lang w:val="en-GB" w:eastAsia="en-US"/>
        </w:rPr>
        <w:t>In the past ten years alone, more than 460 design and innovation awards as well as several top rankings at the German Sustainability Award have confirmed GROHE's success: GROHE was the first in its industry to win the CSR Award of the German Federal Government and was also featured in the renowned Fortune</w:t>
      </w:r>
      <w:r w:rsidRPr="003F46F2">
        <w:rPr>
          <w:rFonts w:eastAsia="Calibri"/>
          <w:bCs/>
          <w:sz w:val="18"/>
          <w:szCs w:val="18"/>
          <w:vertAlign w:val="superscript"/>
          <w:lang w:val="en-GB" w:eastAsia="en-US"/>
        </w:rPr>
        <w:t>®</w:t>
      </w:r>
      <w:r w:rsidRPr="003F46F2">
        <w:rPr>
          <w:rFonts w:eastAsia="Calibri"/>
          <w:bCs/>
          <w:sz w:val="18"/>
          <w:szCs w:val="18"/>
          <w:lang w:val="en-GB" w:eastAsia="en-US"/>
        </w:rPr>
        <w:t xml:space="preserve"> magazine’s ranking of Top 50 that are “Changing the World”.</w:t>
      </w:r>
      <w:r>
        <w:rPr>
          <w:rFonts w:eastAsia="Calibri"/>
          <w:bCs/>
          <w:sz w:val="18"/>
          <w:szCs w:val="18"/>
          <w:lang w:val="en-GB" w:eastAsia="en-US"/>
        </w:rPr>
        <w:t xml:space="preserve"> </w:t>
      </w:r>
      <w:hyperlink r:id="rId8" w:history="1">
        <w:r w:rsidRPr="00E918BB">
          <w:rPr>
            <w:rStyle w:val="Hyperlink"/>
            <w:rFonts w:eastAsia="Calibri"/>
            <w:bCs/>
            <w:sz w:val="18"/>
            <w:szCs w:val="18"/>
            <w:lang w:val="en-GB" w:eastAsia="en-US"/>
          </w:rPr>
          <w:t>www.grohe.com</w:t>
        </w:r>
      </w:hyperlink>
      <w:r>
        <w:rPr>
          <w:rFonts w:eastAsia="Calibri"/>
          <w:bCs/>
          <w:sz w:val="18"/>
          <w:szCs w:val="18"/>
          <w:lang w:val="en-GB" w:eastAsia="en-US"/>
        </w:rPr>
        <w:t xml:space="preserve"> and </w:t>
      </w:r>
      <w:hyperlink r:id="rId9" w:history="1">
        <w:r w:rsidRPr="00E918BB">
          <w:rPr>
            <w:rStyle w:val="Hyperlink"/>
            <w:rFonts w:eastAsia="Calibri"/>
            <w:bCs/>
            <w:sz w:val="18"/>
            <w:szCs w:val="18"/>
            <w:lang w:val="en-GB" w:eastAsia="en-US"/>
          </w:rPr>
          <w:t>www.grohe.fi</w:t>
        </w:r>
      </w:hyperlink>
    </w:p>
    <w:p w:rsidR="00D80DBE" w:rsidRPr="003F46F2" w:rsidRDefault="00D80DBE" w:rsidP="00D80DBE">
      <w:pPr>
        <w:widowControl w:val="0"/>
        <w:autoSpaceDE w:val="0"/>
        <w:autoSpaceDN w:val="0"/>
        <w:adjustRightInd w:val="0"/>
        <w:jc w:val="both"/>
        <w:rPr>
          <w:rFonts w:eastAsia="Calibri"/>
          <w:bCs/>
          <w:sz w:val="18"/>
          <w:szCs w:val="18"/>
          <w:lang w:val="en-GB" w:eastAsia="en-US"/>
        </w:rPr>
      </w:pPr>
    </w:p>
    <w:p w:rsidR="00D80DBE" w:rsidRPr="003F46F2" w:rsidRDefault="00D80DBE" w:rsidP="00D80DBE">
      <w:pPr>
        <w:jc w:val="both"/>
        <w:rPr>
          <w:b/>
          <w:color w:val="000000"/>
          <w:sz w:val="18"/>
          <w:szCs w:val="18"/>
          <w:lang w:val="en-GB"/>
        </w:rPr>
      </w:pPr>
      <w:r w:rsidRPr="003F46F2">
        <w:rPr>
          <w:b/>
          <w:color w:val="000000"/>
          <w:sz w:val="18"/>
          <w:szCs w:val="18"/>
          <w:lang w:val="en-GB"/>
        </w:rPr>
        <w:t>About LIXIL</w:t>
      </w:r>
    </w:p>
    <w:p w:rsidR="00D80DBE" w:rsidRDefault="00D80DBE" w:rsidP="00D80DBE">
      <w:pPr>
        <w:jc w:val="both"/>
        <w:rPr>
          <w:color w:val="000000"/>
          <w:sz w:val="18"/>
          <w:szCs w:val="18"/>
          <w:lang w:val="fi-FI"/>
        </w:rPr>
      </w:pPr>
      <w:r w:rsidRPr="003F46F2">
        <w:rPr>
          <w:color w:val="000000"/>
          <w:sz w:val="18"/>
          <w:szCs w:val="18"/>
          <w:lang w:val="en-GB"/>
        </w:rPr>
        <w:t xml:space="preserve">LIXIL makes pioneering water and housing products that solve every day, real-life challenges, making better homes a reality for everyone, everywhere. Drawing on our Japanese heritage, we create world-leading technology and innovate to make high quality products that transform homes. But the LIXIL difference is how we do this; through meaningful design, an entrepreneurial spirit, a dedication to improving accessibility for all and responsible business growth. Our approach comes to life through industry leading brands, including INAX, GROHE, American Standard and TOSTEM. Approximately 75,000 colleagues operating in more than 150 countries are proud to make products that touch the lives of more than a billion people every day. </w:t>
      </w:r>
      <w:proofErr w:type="spellStart"/>
      <w:r w:rsidRPr="00AB6AF8">
        <w:rPr>
          <w:color w:val="000000"/>
          <w:sz w:val="18"/>
          <w:szCs w:val="18"/>
          <w:lang w:val="fi-FI"/>
        </w:rPr>
        <w:t>Learn</w:t>
      </w:r>
      <w:proofErr w:type="spellEnd"/>
      <w:r w:rsidRPr="00AB6AF8">
        <w:rPr>
          <w:color w:val="000000"/>
          <w:sz w:val="18"/>
          <w:szCs w:val="18"/>
          <w:lang w:val="fi-FI"/>
        </w:rPr>
        <w:t xml:space="preserve"> </w:t>
      </w:r>
      <w:proofErr w:type="spellStart"/>
      <w:r w:rsidRPr="00AB6AF8">
        <w:rPr>
          <w:color w:val="000000"/>
          <w:sz w:val="18"/>
          <w:szCs w:val="18"/>
          <w:lang w:val="fi-FI"/>
        </w:rPr>
        <w:t>m</w:t>
      </w:r>
      <w:r>
        <w:rPr>
          <w:color w:val="000000"/>
          <w:sz w:val="18"/>
          <w:szCs w:val="18"/>
          <w:lang w:val="fi-FI"/>
        </w:rPr>
        <w:t>ore</w:t>
      </w:r>
      <w:proofErr w:type="spellEnd"/>
      <w:r>
        <w:rPr>
          <w:color w:val="000000"/>
          <w:sz w:val="18"/>
          <w:szCs w:val="18"/>
          <w:lang w:val="fi-FI"/>
        </w:rPr>
        <w:t xml:space="preserve"> at </w:t>
      </w:r>
      <w:hyperlink r:id="rId10" w:history="1">
        <w:r w:rsidRPr="00E918BB">
          <w:rPr>
            <w:rStyle w:val="Hyperlink"/>
            <w:sz w:val="18"/>
            <w:szCs w:val="18"/>
            <w:lang w:val="fi-FI"/>
          </w:rPr>
          <w:t>www.lixil.com</w:t>
        </w:r>
      </w:hyperlink>
    </w:p>
    <w:p w:rsidR="00D80DBE" w:rsidRPr="00AB6AF8" w:rsidRDefault="00D80DBE" w:rsidP="00D80DBE">
      <w:pPr>
        <w:jc w:val="both"/>
        <w:rPr>
          <w:rStyle w:val="Hyperlink"/>
          <w:lang w:val="fi-FI"/>
        </w:rPr>
      </w:pPr>
    </w:p>
    <w:p w:rsidR="00D80DBE" w:rsidRPr="00AB6AF8" w:rsidRDefault="00D80DBE" w:rsidP="00D80DBE">
      <w:pPr>
        <w:jc w:val="both"/>
        <w:rPr>
          <w:color w:val="000000"/>
          <w:sz w:val="18"/>
          <w:szCs w:val="18"/>
          <w:lang w:val="fi-FI"/>
        </w:rPr>
      </w:pPr>
    </w:p>
    <w:p w:rsidR="00D80DBE" w:rsidRPr="00AB6AF8" w:rsidRDefault="00D80DBE" w:rsidP="00D80DBE">
      <w:pPr>
        <w:jc w:val="both"/>
        <w:rPr>
          <w:color w:val="000000"/>
          <w:sz w:val="18"/>
          <w:szCs w:val="18"/>
          <w:lang w:val="fi-FI"/>
        </w:rPr>
      </w:pPr>
    </w:p>
    <w:p w:rsidR="00D80DBE" w:rsidRPr="00AB6AF8" w:rsidRDefault="00D80DBE" w:rsidP="00D80DBE">
      <w:pPr>
        <w:jc w:val="both"/>
        <w:rPr>
          <w:b/>
          <w:color w:val="000000"/>
          <w:sz w:val="18"/>
          <w:szCs w:val="18"/>
          <w:lang w:val="fi-FI"/>
        </w:rPr>
      </w:pPr>
      <w:r w:rsidRPr="00AB6AF8">
        <w:rPr>
          <w:b/>
          <w:color w:val="000000"/>
          <w:sz w:val="18"/>
          <w:szCs w:val="18"/>
          <w:lang w:val="fi-FI"/>
        </w:rPr>
        <w:t>Hyväntekeväisyysjärjestö Hope – Yhdessä &amp; Yhteisesti ry</w:t>
      </w:r>
    </w:p>
    <w:p w:rsidR="00D80DBE" w:rsidRDefault="00D80DBE" w:rsidP="00D80DBE">
      <w:pPr>
        <w:jc w:val="both"/>
        <w:rPr>
          <w:color w:val="000000"/>
          <w:sz w:val="18"/>
          <w:szCs w:val="18"/>
          <w:lang w:val="fi-FI"/>
        </w:rPr>
      </w:pPr>
      <w:r w:rsidRPr="00AB6AF8">
        <w:rPr>
          <w:color w:val="000000"/>
          <w:sz w:val="18"/>
          <w:szCs w:val="18"/>
          <w:lang w:val="fi-FI"/>
        </w:rPr>
        <w:t>Hope on vuonna 2009 perustettu hyväntekeväisyysjärjestö, jonka tavoitteena on antaa kaikille lapsille tasa-arvoisemmat mahdollisuudet arkeen. Hope on poliittisesti ja uskonnollisesti sitoutumaton järjestö ja se toimii 20 paikallistoimijan välityksellä eri puolilla Suomea.</w:t>
      </w:r>
      <w:r>
        <w:rPr>
          <w:color w:val="000000"/>
          <w:sz w:val="18"/>
          <w:szCs w:val="18"/>
          <w:lang w:val="fi-FI"/>
        </w:rPr>
        <w:t xml:space="preserve"> </w:t>
      </w:r>
      <w:hyperlink r:id="rId11" w:history="1">
        <w:r w:rsidRPr="00925B9D">
          <w:rPr>
            <w:rStyle w:val="Hyperlink"/>
            <w:sz w:val="18"/>
            <w:szCs w:val="18"/>
            <w:lang w:val="fi-FI"/>
          </w:rPr>
          <w:t>www.hopeyhdistys.fi</w:t>
        </w:r>
      </w:hyperlink>
    </w:p>
    <w:p w:rsidR="00D80DBE" w:rsidRPr="00AB6AF8" w:rsidRDefault="00D80DBE" w:rsidP="00D80DBE">
      <w:pPr>
        <w:jc w:val="both"/>
        <w:rPr>
          <w:rFonts w:eastAsia="Times New Roman"/>
          <w:color w:val="000000"/>
          <w:sz w:val="18"/>
          <w:szCs w:val="18"/>
          <w:lang w:val="fi-FI"/>
        </w:rPr>
      </w:pPr>
    </w:p>
    <w:p w:rsidR="00D80DBE" w:rsidRPr="00AB6AF8" w:rsidRDefault="00D80DBE" w:rsidP="00D80DBE">
      <w:pPr>
        <w:jc w:val="both"/>
        <w:rPr>
          <w:color w:val="000000"/>
          <w:sz w:val="18"/>
          <w:szCs w:val="18"/>
          <w:lang w:val="fi-FI"/>
        </w:rPr>
      </w:pPr>
    </w:p>
    <w:p w:rsidR="00D80DBE" w:rsidRPr="00AB6AF8" w:rsidRDefault="00D80DBE" w:rsidP="00D80DBE">
      <w:pPr>
        <w:jc w:val="both"/>
        <w:rPr>
          <w:b/>
          <w:color w:val="FF0000"/>
          <w:sz w:val="18"/>
          <w:szCs w:val="18"/>
          <w:lang w:val="fi-FI"/>
        </w:rPr>
      </w:pPr>
    </w:p>
    <w:p w:rsidR="00D80DBE" w:rsidRPr="00AB6AF8" w:rsidRDefault="00D80DBE" w:rsidP="00D80DBE">
      <w:pPr>
        <w:widowControl w:val="0"/>
        <w:autoSpaceDE w:val="0"/>
        <w:autoSpaceDN w:val="0"/>
        <w:adjustRightInd w:val="0"/>
        <w:jc w:val="both"/>
        <w:rPr>
          <w:rFonts w:eastAsia="Calibri"/>
          <w:b/>
          <w:bCs/>
          <w:sz w:val="18"/>
          <w:szCs w:val="18"/>
          <w:lang w:val="fi-FI" w:eastAsia="en-US"/>
        </w:rPr>
      </w:pPr>
    </w:p>
    <w:p w:rsidR="00D80DBE" w:rsidRDefault="00D80DBE" w:rsidP="00D80DBE">
      <w:pPr>
        <w:widowControl w:val="0"/>
        <w:autoSpaceDE w:val="0"/>
        <w:autoSpaceDN w:val="0"/>
        <w:adjustRightInd w:val="0"/>
        <w:jc w:val="both"/>
        <w:rPr>
          <w:rFonts w:eastAsia="Calibri"/>
          <w:b/>
          <w:bCs/>
          <w:sz w:val="18"/>
          <w:szCs w:val="18"/>
          <w:lang w:val="fi-FI" w:eastAsia="en-US"/>
        </w:rPr>
      </w:pPr>
      <w:r w:rsidRPr="00AB6AF8">
        <w:rPr>
          <w:rFonts w:eastAsia="Calibri"/>
          <w:b/>
          <w:bCs/>
          <w:sz w:val="18"/>
          <w:szCs w:val="18"/>
          <w:lang w:val="fi-FI" w:eastAsia="en-US"/>
        </w:rPr>
        <w:t>MEDIAYHTE</w:t>
      </w:r>
      <w:r>
        <w:rPr>
          <w:rFonts w:eastAsia="Calibri"/>
          <w:b/>
          <w:bCs/>
          <w:sz w:val="18"/>
          <w:szCs w:val="18"/>
          <w:lang w:val="fi-FI" w:eastAsia="en-US"/>
        </w:rPr>
        <w:t>YDET</w:t>
      </w:r>
    </w:p>
    <w:p w:rsidR="00D80DBE" w:rsidRPr="00AB6AF8" w:rsidRDefault="00D80DBE" w:rsidP="00D80DBE">
      <w:pPr>
        <w:widowControl w:val="0"/>
        <w:autoSpaceDE w:val="0"/>
        <w:autoSpaceDN w:val="0"/>
        <w:adjustRightInd w:val="0"/>
        <w:jc w:val="both"/>
        <w:rPr>
          <w:rFonts w:eastAsia="Calibri"/>
          <w:b/>
          <w:bCs/>
          <w:sz w:val="18"/>
          <w:szCs w:val="18"/>
          <w:lang w:val="fi-FI" w:eastAsia="en-US"/>
        </w:rPr>
      </w:pPr>
      <w:r w:rsidRPr="00AB6AF8">
        <w:rPr>
          <w:rFonts w:eastAsia="Calibri"/>
          <w:b/>
          <w:bCs/>
          <w:sz w:val="18"/>
          <w:szCs w:val="18"/>
          <w:lang w:val="fi-FI" w:eastAsia="en-US"/>
        </w:rPr>
        <w:tab/>
      </w:r>
      <w:r w:rsidRPr="00AB6AF8">
        <w:rPr>
          <w:rFonts w:eastAsia="Calibri"/>
          <w:b/>
          <w:bCs/>
          <w:sz w:val="18"/>
          <w:szCs w:val="18"/>
          <w:lang w:val="fi-FI" w:eastAsia="en-US"/>
        </w:rPr>
        <w:tab/>
      </w:r>
      <w:r w:rsidRPr="00AB6AF8">
        <w:rPr>
          <w:rFonts w:eastAsia="Calibri"/>
          <w:b/>
          <w:bCs/>
          <w:sz w:val="18"/>
          <w:szCs w:val="18"/>
          <w:lang w:val="fi-FI" w:eastAsia="en-US"/>
        </w:rPr>
        <w:tab/>
      </w:r>
    </w:p>
    <w:p w:rsidR="00D80DBE" w:rsidRPr="00AB6AF8" w:rsidRDefault="00D80DBE" w:rsidP="00D80DBE">
      <w:pPr>
        <w:widowControl w:val="0"/>
        <w:autoSpaceDE w:val="0"/>
        <w:autoSpaceDN w:val="0"/>
        <w:adjustRightInd w:val="0"/>
        <w:jc w:val="both"/>
        <w:rPr>
          <w:rFonts w:eastAsia="Calibri"/>
          <w:bCs/>
          <w:sz w:val="18"/>
          <w:szCs w:val="18"/>
          <w:lang w:val="fi-FI" w:eastAsia="en-US"/>
        </w:rPr>
      </w:pPr>
      <w:r w:rsidRPr="00AB6AF8">
        <w:rPr>
          <w:rFonts w:eastAsia="Calibri"/>
          <w:bCs/>
          <w:sz w:val="18"/>
          <w:szCs w:val="18"/>
          <w:lang w:val="fi-FI" w:eastAsia="en-US"/>
        </w:rPr>
        <w:t>Tanja Stade</w:t>
      </w:r>
    </w:p>
    <w:p w:rsidR="00D80DBE" w:rsidRPr="00AB6AF8" w:rsidRDefault="00D80DBE" w:rsidP="00D80DBE">
      <w:pPr>
        <w:widowControl w:val="0"/>
        <w:autoSpaceDE w:val="0"/>
        <w:autoSpaceDN w:val="0"/>
        <w:adjustRightInd w:val="0"/>
        <w:jc w:val="both"/>
        <w:rPr>
          <w:rFonts w:eastAsia="Calibri"/>
          <w:bCs/>
          <w:sz w:val="18"/>
          <w:szCs w:val="18"/>
          <w:lang w:val="fi-FI" w:eastAsia="en-US"/>
        </w:rPr>
      </w:pPr>
      <w:r w:rsidRPr="00AB6AF8">
        <w:rPr>
          <w:rFonts w:eastAsia="Calibri"/>
          <w:bCs/>
          <w:sz w:val="18"/>
          <w:szCs w:val="18"/>
          <w:lang w:val="fi-FI" w:eastAsia="en-US"/>
        </w:rPr>
        <w:t>M</w:t>
      </w:r>
      <w:r>
        <w:rPr>
          <w:rFonts w:eastAsia="Calibri"/>
          <w:bCs/>
          <w:sz w:val="18"/>
          <w:szCs w:val="18"/>
          <w:lang w:val="fi-FI" w:eastAsia="en-US"/>
        </w:rPr>
        <w:t>arkkinointipäällikkö, GROHE Suomi</w:t>
      </w:r>
    </w:p>
    <w:p w:rsidR="00D80DBE" w:rsidRPr="00D80DBE" w:rsidRDefault="00D80DBE" w:rsidP="00D80DBE">
      <w:pPr>
        <w:widowControl w:val="0"/>
        <w:autoSpaceDE w:val="0"/>
        <w:autoSpaceDN w:val="0"/>
        <w:adjustRightInd w:val="0"/>
        <w:jc w:val="both"/>
        <w:rPr>
          <w:rFonts w:eastAsia="Calibri"/>
          <w:bCs/>
          <w:sz w:val="18"/>
          <w:szCs w:val="18"/>
          <w:lang w:val="fi-FI" w:eastAsia="en-US"/>
        </w:rPr>
      </w:pPr>
      <w:r w:rsidRPr="00D80DBE">
        <w:rPr>
          <w:rFonts w:eastAsia="Calibri"/>
          <w:bCs/>
          <w:sz w:val="18"/>
          <w:szCs w:val="18"/>
          <w:lang w:val="fi-FI" w:eastAsia="en-US"/>
        </w:rPr>
        <w:t xml:space="preserve">E-Mail: </w:t>
      </w:r>
      <w:hyperlink r:id="rId12" w:history="1">
        <w:r w:rsidRPr="00D80DBE">
          <w:rPr>
            <w:rStyle w:val="Hyperlink"/>
            <w:rFonts w:eastAsia="Calibri"/>
            <w:bCs/>
            <w:sz w:val="18"/>
            <w:szCs w:val="18"/>
            <w:lang w:val="fi-FI" w:eastAsia="en-US"/>
          </w:rPr>
          <w:t>tanja.stade@grohe.com</w:t>
        </w:r>
      </w:hyperlink>
    </w:p>
    <w:p w:rsidR="00D80DBE" w:rsidRPr="00D80DBE" w:rsidRDefault="00D80DBE" w:rsidP="00D80DBE">
      <w:pPr>
        <w:widowControl w:val="0"/>
        <w:autoSpaceDE w:val="0"/>
        <w:autoSpaceDN w:val="0"/>
        <w:adjustRightInd w:val="0"/>
        <w:jc w:val="both"/>
        <w:rPr>
          <w:rFonts w:eastAsia="Calibri"/>
          <w:bCs/>
          <w:sz w:val="18"/>
          <w:szCs w:val="18"/>
          <w:lang w:val="fi-FI" w:eastAsia="en-US"/>
        </w:rPr>
      </w:pPr>
    </w:p>
    <w:p w:rsidR="00D80DBE" w:rsidRPr="00F0740B" w:rsidRDefault="00D80DBE" w:rsidP="00D80DBE">
      <w:pPr>
        <w:spacing w:line="276" w:lineRule="auto"/>
        <w:jc w:val="both"/>
        <w:rPr>
          <w:bCs/>
          <w:sz w:val="18"/>
          <w:szCs w:val="20"/>
        </w:rPr>
      </w:pPr>
      <w:r w:rsidRPr="00AB6AF8">
        <w:rPr>
          <w:rFonts w:eastAsia="Calibri"/>
          <w:bCs/>
          <w:sz w:val="18"/>
          <w:szCs w:val="18"/>
          <w:lang w:val="fi-FI" w:eastAsia="en-US"/>
        </w:rPr>
        <w:t>Eveliina Hostila</w:t>
      </w:r>
    </w:p>
    <w:p w:rsidR="00D80DBE" w:rsidRDefault="00D80DBE" w:rsidP="00D80DBE">
      <w:pPr>
        <w:widowControl w:val="0"/>
        <w:autoSpaceDE w:val="0"/>
        <w:autoSpaceDN w:val="0"/>
        <w:adjustRightInd w:val="0"/>
        <w:jc w:val="both"/>
        <w:rPr>
          <w:rFonts w:eastAsia="Calibri"/>
          <w:bCs/>
          <w:sz w:val="18"/>
          <w:szCs w:val="18"/>
          <w:lang w:val="fi-FI" w:eastAsia="en-US"/>
        </w:rPr>
      </w:pPr>
      <w:r w:rsidRPr="00AB6AF8">
        <w:rPr>
          <w:rFonts w:eastAsia="Calibri"/>
          <w:bCs/>
          <w:sz w:val="18"/>
          <w:szCs w:val="18"/>
          <w:lang w:val="fi-FI" w:eastAsia="en-US"/>
        </w:rPr>
        <w:t>Toiminnanjohtaja, Hope - Yhdessä &amp; Yhteisesti ry</w:t>
      </w:r>
    </w:p>
    <w:p w:rsidR="00D80DBE" w:rsidRDefault="00D80DBE" w:rsidP="00D80DBE">
      <w:pPr>
        <w:widowControl w:val="0"/>
        <w:autoSpaceDE w:val="0"/>
        <w:autoSpaceDN w:val="0"/>
        <w:adjustRightInd w:val="0"/>
        <w:jc w:val="both"/>
        <w:rPr>
          <w:rFonts w:eastAsia="Calibri"/>
          <w:bCs/>
          <w:sz w:val="18"/>
          <w:szCs w:val="18"/>
          <w:lang w:eastAsia="en-US"/>
        </w:rPr>
      </w:pPr>
      <w:r w:rsidRPr="00F7744F">
        <w:rPr>
          <w:rFonts w:eastAsia="Calibri"/>
          <w:bCs/>
          <w:sz w:val="18"/>
          <w:szCs w:val="18"/>
          <w:lang w:eastAsia="en-US"/>
        </w:rPr>
        <w:t xml:space="preserve">E-Mail: </w:t>
      </w:r>
      <w:hyperlink r:id="rId13" w:history="1">
        <w:r w:rsidRPr="00E60AB8">
          <w:rPr>
            <w:rStyle w:val="Hyperlink"/>
            <w:rFonts w:eastAsia="Calibri"/>
            <w:bCs/>
            <w:sz w:val="18"/>
            <w:szCs w:val="18"/>
            <w:lang w:eastAsia="en-US"/>
          </w:rPr>
          <w:t>eveliina.hostila@hopeyhdistys.fi</w:t>
        </w:r>
      </w:hyperlink>
    </w:p>
    <w:p w:rsidR="00921C7B" w:rsidRPr="00B72E5B" w:rsidRDefault="00921C7B">
      <w:pPr>
        <w:widowControl w:val="0"/>
        <w:jc w:val="both"/>
        <w:rPr>
          <w:rFonts w:eastAsia="Calibri"/>
          <w:sz w:val="18"/>
          <w:szCs w:val="18"/>
        </w:rPr>
      </w:pPr>
    </w:p>
    <w:sectPr w:rsidR="00921C7B" w:rsidRPr="00B72E5B">
      <w:headerReference w:type="default" r:id="rId14"/>
      <w:footerReference w:type="even" r:id="rId15"/>
      <w:footerReference w:type="default" r:id="rId16"/>
      <w:headerReference w:type="first" r:id="rId17"/>
      <w:pgSz w:w="11906" w:h="16838"/>
      <w:pgMar w:top="1440" w:right="1440" w:bottom="1440" w:left="1440" w:header="1134" w:footer="6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655" w:rsidRDefault="006D3655">
      <w:r>
        <w:separator/>
      </w:r>
    </w:p>
  </w:endnote>
  <w:endnote w:type="continuationSeparator" w:id="0">
    <w:p w:rsidR="006D3655" w:rsidRDefault="006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7B" w:rsidRDefault="0007110B">
    <w:pPr>
      <w:pBdr>
        <w:top w:val="nil"/>
        <w:left w:val="nil"/>
        <w:bottom w:val="nil"/>
        <w:right w:val="nil"/>
        <w:between w:val="nil"/>
      </w:pBdr>
      <w:tabs>
        <w:tab w:val="center" w:pos="4536"/>
        <w:tab w:val="right" w:pos="9072"/>
      </w:tabs>
      <w:jc w:val="right"/>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end"/>
    </w:r>
  </w:p>
  <w:p w:rsidR="00921C7B" w:rsidRDefault="00921C7B">
    <w:pPr>
      <w:pBdr>
        <w:top w:val="nil"/>
        <w:left w:val="nil"/>
        <w:bottom w:val="nil"/>
        <w:right w:val="nil"/>
        <w:between w:val="nil"/>
      </w:pBdr>
      <w:tabs>
        <w:tab w:val="center" w:pos="4536"/>
        <w:tab w:val="right" w:pos="9072"/>
      </w:tabs>
      <w:ind w:right="360"/>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7B" w:rsidRDefault="00921C7B">
    <w:pPr>
      <w:pBdr>
        <w:top w:val="nil"/>
        <w:left w:val="nil"/>
        <w:bottom w:val="nil"/>
        <w:right w:val="nil"/>
        <w:between w:val="nil"/>
      </w:pBdr>
      <w:tabs>
        <w:tab w:val="center" w:pos="4536"/>
        <w:tab w:val="right" w:pos="9072"/>
      </w:tabs>
      <w:rPr>
        <w:rFonts w:ascii="Garamond" w:eastAsia="Garamond" w:hAnsi="Garamond" w:cs="Garamond"/>
        <w:color w:val="000000"/>
        <w:sz w:val="28"/>
        <w:szCs w:val="28"/>
      </w:rPr>
    </w:pPr>
  </w:p>
  <w:p w:rsidR="00921C7B" w:rsidRDefault="00921C7B">
    <w:pPr>
      <w:pBdr>
        <w:top w:val="nil"/>
        <w:left w:val="nil"/>
        <w:bottom w:val="nil"/>
        <w:right w:val="nil"/>
        <w:between w:val="nil"/>
      </w:pBdr>
      <w:tabs>
        <w:tab w:val="center" w:pos="4536"/>
        <w:tab w:val="right" w:pos="9072"/>
      </w:tabs>
      <w:rPr>
        <w:rFonts w:ascii="Garamond" w:eastAsia="Garamond" w:hAnsi="Garamond" w:cs="Garamond"/>
        <w:color w:val="000000"/>
        <w:sz w:val="28"/>
        <w:szCs w:val="28"/>
      </w:rPr>
    </w:pPr>
  </w:p>
  <w:p w:rsidR="00921C7B" w:rsidRDefault="0007110B">
    <w:pPr>
      <w:pBdr>
        <w:top w:val="nil"/>
        <w:left w:val="nil"/>
        <w:bottom w:val="nil"/>
        <w:right w:val="nil"/>
        <w:between w:val="nil"/>
      </w:pBdr>
      <w:tabs>
        <w:tab w:val="center" w:pos="4536"/>
        <w:tab w:val="right" w:pos="9072"/>
      </w:tabs>
      <w:rPr>
        <w:color w:val="000000"/>
        <w:sz w:val="22"/>
        <w:szCs w:val="22"/>
      </w:rPr>
    </w:pPr>
    <w:r>
      <w:rPr>
        <w:noProof/>
        <w:lang w:val="en-US" w:eastAsia="zh-CN" w:bidi="th-TH"/>
      </w:rPr>
      <w:drawing>
        <wp:anchor distT="0" distB="0" distL="114300" distR="114300" simplePos="0" relativeHeight="251660288" behindDoc="0" locked="0" layoutInCell="1" hidden="0" allowOverlap="1">
          <wp:simplePos x="0" y="0"/>
          <wp:positionH relativeFrom="column">
            <wp:posOffset>5261610</wp:posOffset>
          </wp:positionH>
          <wp:positionV relativeFrom="paragraph">
            <wp:posOffset>-41909</wp:posOffset>
          </wp:positionV>
          <wp:extent cx="1103630" cy="200660"/>
          <wp:effectExtent l="0" t="0" r="0" b="0"/>
          <wp:wrapSquare wrapText="bothSides" distT="0" distB="0" distL="114300" distR="114300"/>
          <wp:docPr id="1" name="image1.jpg" descr="Macintosh HD:Users:g180671:Desktop:Marcel:2016_10:Briefbögen:Logo-Paket:Part of LIXIL:RGB:PART_OF_LIXIL_LOGO_PRIMARY_AW_RGB.jpg"/>
          <wp:cNvGraphicFramePr/>
          <a:graphic xmlns:a="http://schemas.openxmlformats.org/drawingml/2006/main">
            <a:graphicData uri="http://schemas.openxmlformats.org/drawingml/2006/picture">
              <pic:pic xmlns:pic="http://schemas.openxmlformats.org/drawingml/2006/picture">
                <pic:nvPicPr>
                  <pic:cNvPr id="0" name="image1.jpg" descr="Macintosh HD:Users:g180671:Desktop:Marcel:2016_10:Briefbögen:Logo-Paket:Part of LIXIL:RGB:PART_OF_LIXIL_LOGO_PRIMARY_AW_RGB.jpg"/>
                  <pic:cNvPicPr preferRelativeResize="0"/>
                </pic:nvPicPr>
                <pic:blipFill>
                  <a:blip r:embed="rId1"/>
                  <a:srcRect/>
                  <a:stretch>
                    <a:fillRect/>
                  </a:stretch>
                </pic:blipFill>
                <pic:spPr>
                  <a:xfrm>
                    <a:off x="0" y="0"/>
                    <a:ext cx="1103630" cy="200660"/>
                  </a:xfrm>
                  <a:prstGeom prst="rect">
                    <a:avLst/>
                  </a:prstGeom>
                  <a:ln/>
                </pic:spPr>
              </pic:pic>
            </a:graphicData>
          </a:graphic>
        </wp:anchor>
      </w:drawing>
    </w:r>
  </w:p>
  <w:p w:rsidR="00921C7B" w:rsidRDefault="00921C7B">
    <w:pPr>
      <w:pBdr>
        <w:top w:val="nil"/>
        <w:left w:val="nil"/>
        <w:bottom w:val="nil"/>
        <w:right w:val="nil"/>
        <w:between w:val="nil"/>
      </w:pBdr>
      <w:tabs>
        <w:tab w:val="center" w:pos="4536"/>
        <w:tab w:val="right" w:pos="9072"/>
      </w:tabs>
      <w:ind w:right="360"/>
      <w:rPr>
        <w:rFonts w:ascii="Garamond" w:eastAsia="Garamond" w:hAnsi="Garamond" w:cs="Garamond"/>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655" w:rsidRDefault="006D3655">
      <w:r>
        <w:separator/>
      </w:r>
    </w:p>
  </w:footnote>
  <w:footnote w:type="continuationSeparator" w:id="0">
    <w:p w:rsidR="006D3655" w:rsidRDefault="006D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7B" w:rsidRDefault="0007110B">
    <w:pPr>
      <w:pBdr>
        <w:top w:val="nil"/>
        <w:left w:val="nil"/>
        <w:bottom w:val="nil"/>
        <w:right w:val="nil"/>
        <w:between w:val="nil"/>
      </w:pBdr>
      <w:tabs>
        <w:tab w:val="center" w:pos="4536"/>
        <w:tab w:val="right" w:pos="9072"/>
        <w:tab w:val="center" w:pos="5388"/>
        <w:tab w:val="right" w:pos="10777"/>
      </w:tabs>
      <w:ind w:right="-1417"/>
      <w:rPr>
        <w:color w:val="000000"/>
      </w:rPr>
    </w:pPr>
    <w:r>
      <w:rPr>
        <w:color w:val="000000"/>
      </w:rPr>
      <w:tab/>
    </w:r>
    <w:r>
      <w:rPr>
        <w:color w:val="000000"/>
      </w:rPr>
      <w:tab/>
    </w:r>
    <w:r>
      <w:rPr>
        <w:noProof/>
        <w:lang w:val="en-US" w:eastAsia="zh-CN" w:bidi="th-TH"/>
      </w:rPr>
      <w:drawing>
        <wp:anchor distT="0" distB="0" distL="114300" distR="114300" simplePos="0" relativeHeight="251658240" behindDoc="0" locked="0" layoutInCell="1" hidden="0" allowOverlap="1">
          <wp:simplePos x="0" y="0"/>
          <wp:positionH relativeFrom="column">
            <wp:posOffset>4129405</wp:posOffset>
          </wp:positionH>
          <wp:positionV relativeFrom="paragraph">
            <wp:posOffset>-337352</wp:posOffset>
          </wp:positionV>
          <wp:extent cx="2179955" cy="84582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179955" cy="845820"/>
                  </a:xfrm>
                  <a:prstGeom prst="rect">
                    <a:avLst/>
                  </a:prstGeom>
                  <a:ln/>
                </pic:spPr>
              </pic:pic>
            </a:graphicData>
          </a:graphic>
        </wp:anchor>
      </w:drawing>
    </w:r>
  </w:p>
  <w:p w:rsidR="00921C7B" w:rsidRDefault="00921C7B">
    <w:pPr>
      <w:pBdr>
        <w:top w:val="nil"/>
        <w:left w:val="nil"/>
        <w:bottom w:val="nil"/>
        <w:right w:val="nil"/>
        <w:between w:val="nil"/>
      </w:pBdr>
      <w:tabs>
        <w:tab w:val="center" w:pos="4536"/>
        <w:tab w:val="right" w:pos="9072"/>
        <w:tab w:val="center" w:pos="5388"/>
        <w:tab w:val="right" w:pos="10777"/>
      </w:tabs>
      <w:ind w:right="-1417"/>
      <w:rPr>
        <w:color w:val="000000"/>
      </w:rPr>
    </w:pPr>
  </w:p>
  <w:p w:rsidR="00921C7B" w:rsidRDefault="00921C7B">
    <w:pPr>
      <w:pBdr>
        <w:top w:val="nil"/>
        <w:left w:val="nil"/>
        <w:bottom w:val="nil"/>
        <w:right w:val="nil"/>
        <w:between w:val="nil"/>
      </w:pBdr>
      <w:tabs>
        <w:tab w:val="center" w:pos="4536"/>
        <w:tab w:val="right" w:pos="9072"/>
        <w:tab w:val="center" w:pos="5388"/>
        <w:tab w:val="right" w:pos="10777"/>
      </w:tabs>
      <w:ind w:right="-1417"/>
      <w:rPr>
        <w:color w:val="000000"/>
      </w:rPr>
    </w:pPr>
  </w:p>
  <w:p w:rsidR="00921C7B" w:rsidRDefault="00921C7B">
    <w:pPr>
      <w:pBdr>
        <w:top w:val="nil"/>
        <w:left w:val="nil"/>
        <w:bottom w:val="nil"/>
        <w:right w:val="nil"/>
        <w:between w:val="nil"/>
      </w:pBdr>
      <w:tabs>
        <w:tab w:val="center" w:pos="4536"/>
        <w:tab w:val="right" w:pos="9072"/>
        <w:tab w:val="center" w:pos="5388"/>
        <w:tab w:val="right" w:pos="10777"/>
      </w:tabs>
      <w:ind w:right="-1417"/>
      <w:rPr>
        <w:color w:val="000000"/>
      </w:rPr>
    </w:pPr>
  </w:p>
  <w:p w:rsidR="00921C7B" w:rsidRDefault="00921C7B">
    <w:pPr>
      <w:pBdr>
        <w:top w:val="nil"/>
        <w:left w:val="nil"/>
        <w:bottom w:val="nil"/>
        <w:right w:val="nil"/>
        <w:between w:val="nil"/>
      </w:pBdr>
      <w:tabs>
        <w:tab w:val="center" w:pos="4536"/>
        <w:tab w:val="right" w:pos="9072"/>
        <w:tab w:val="center" w:pos="5388"/>
        <w:tab w:val="right" w:pos="10777"/>
      </w:tabs>
      <w:ind w:right="-1417"/>
      <w:rPr>
        <w:color w:val="000000"/>
      </w:rPr>
    </w:pPr>
  </w:p>
  <w:p w:rsidR="00921C7B" w:rsidRDefault="00921C7B">
    <w:pPr>
      <w:pBdr>
        <w:top w:val="nil"/>
        <w:left w:val="nil"/>
        <w:bottom w:val="nil"/>
        <w:right w:val="nil"/>
        <w:between w:val="nil"/>
      </w:pBdr>
      <w:tabs>
        <w:tab w:val="center" w:pos="4536"/>
        <w:tab w:val="right" w:pos="9072"/>
        <w:tab w:val="center" w:pos="5388"/>
        <w:tab w:val="right" w:pos="10777"/>
      </w:tabs>
      <w:ind w:right="-1417"/>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7B" w:rsidRDefault="0007110B">
    <w:pPr>
      <w:pBdr>
        <w:top w:val="nil"/>
        <w:left w:val="nil"/>
        <w:bottom w:val="nil"/>
        <w:right w:val="nil"/>
        <w:between w:val="nil"/>
      </w:pBdr>
      <w:tabs>
        <w:tab w:val="center" w:pos="4536"/>
        <w:tab w:val="right" w:pos="9072"/>
      </w:tabs>
      <w:rPr>
        <w:color w:val="000000"/>
      </w:rPr>
    </w:pPr>
    <w:r>
      <w:rPr>
        <w:noProof/>
        <w:lang w:val="en-US" w:eastAsia="zh-CN" w:bidi="th-TH"/>
      </w:rPr>
      <w:drawing>
        <wp:anchor distT="0" distB="0" distL="114300" distR="114300" simplePos="0" relativeHeight="251659264" behindDoc="0" locked="0" layoutInCell="1" hidden="0" allowOverlap="1">
          <wp:simplePos x="0" y="0"/>
          <wp:positionH relativeFrom="column">
            <wp:posOffset>2171700</wp:posOffset>
          </wp:positionH>
          <wp:positionV relativeFrom="paragraph">
            <wp:posOffset>248284</wp:posOffset>
          </wp:positionV>
          <wp:extent cx="1485900" cy="897255"/>
          <wp:effectExtent l="0" t="0" r="0" b="0"/>
          <wp:wrapSquare wrapText="bothSides" distT="0" distB="0" distL="114300" distR="114300"/>
          <wp:docPr id="2" name="image2.jpg" descr="Logo_EnjoyWater_blau"/>
          <wp:cNvGraphicFramePr/>
          <a:graphic xmlns:a="http://schemas.openxmlformats.org/drawingml/2006/main">
            <a:graphicData uri="http://schemas.openxmlformats.org/drawingml/2006/picture">
              <pic:pic xmlns:pic="http://schemas.openxmlformats.org/drawingml/2006/picture">
                <pic:nvPicPr>
                  <pic:cNvPr id="0" name="image2.jpg" descr="Logo_EnjoyWater_blau"/>
                  <pic:cNvPicPr preferRelativeResize="0"/>
                </pic:nvPicPr>
                <pic:blipFill>
                  <a:blip r:embed="rId1"/>
                  <a:srcRect/>
                  <a:stretch>
                    <a:fillRect/>
                  </a:stretch>
                </pic:blipFill>
                <pic:spPr>
                  <a:xfrm>
                    <a:off x="0" y="0"/>
                    <a:ext cx="1485900" cy="897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757CF"/>
    <w:multiLevelType w:val="multilevel"/>
    <w:tmpl w:val="D8E8F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E13819"/>
    <w:multiLevelType w:val="hybridMultilevel"/>
    <w:tmpl w:val="BAE8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01EFA"/>
    <w:multiLevelType w:val="hybridMultilevel"/>
    <w:tmpl w:val="4E7A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D678A"/>
    <w:multiLevelType w:val="hybridMultilevel"/>
    <w:tmpl w:val="B162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D1098"/>
    <w:multiLevelType w:val="multilevel"/>
    <w:tmpl w:val="764A71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7B"/>
    <w:rsid w:val="0007110B"/>
    <w:rsid w:val="00097179"/>
    <w:rsid w:val="000A03AF"/>
    <w:rsid w:val="000B1FCB"/>
    <w:rsid w:val="00203B05"/>
    <w:rsid w:val="00416E6C"/>
    <w:rsid w:val="00481E25"/>
    <w:rsid w:val="0053310A"/>
    <w:rsid w:val="006D3655"/>
    <w:rsid w:val="007809C6"/>
    <w:rsid w:val="00783F62"/>
    <w:rsid w:val="00921C7B"/>
    <w:rsid w:val="009D4DE5"/>
    <w:rsid w:val="009F708D"/>
    <w:rsid w:val="00A13E13"/>
    <w:rsid w:val="00B11976"/>
    <w:rsid w:val="00B72E5B"/>
    <w:rsid w:val="00CB0718"/>
    <w:rsid w:val="00D729BA"/>
    <w:rsid w:val="00D80DBE"/>
    <w:rsid w:val="00D924BC"/>
    <w:rsid w:val="00DE12EB"/>
    <w:rsid w:val="00F34C92"/>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AB74"/>
  <w15:docId w15:val="{2FBC3FDC-A7F1-0249-89F4-562B9C1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A03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03AF"/>
    <w:rPr>
      <w:rFonts w:ascii="Times New Roman" w:hAnsi="Times New Roman" w:cs="Times New Roman"/>
      <w:sz w:val="18"/>
      <w:szCs w:val="18"/>
    </w:rPr>
  </w:style>
  <w:style w:type="character" w:styleId="Hyperlink">
    <w:name w:val="Hyperlink"/>
    <w:basedOn w:val="DefaultParagraphFont"/>
    <w:uiPriority w:val="99"/>
    <w:unhideWhenUsed/>
    <w:rsid w:val="000A03AF"/>
    <w:rPr>
      <w:color w:val="0000FF" w:themeColor="hyperlink"/>
      <w:u w:val="single"/>
    </w:rPr>
  </w:style>
  <w:style w:type="character" w:customStyle="1" w:styleId="UnresolvedMention1">
    <w:name w:val="Unresolved Mention1"/>
    <w:basedOn w:val="DefaultParagraphFont"/>
    <w:uiPriority w:val="99"/>
    <w:semiHidden/>
    <w:unhideWhenUsed/>
    <w:rsid w:val="000A03AF"/>
    <w:rPr>
      <w:color w:val="605E5C"/>
      <w:shd w:val="clear" w:color="auto" w:fill="E1DFDD"/>
    </w:rPr>
  </w:style>
  <w:style w:type="character" w:customStyle="1" w:styleId="word">
    <w:name w:val="word"/>
    <w:basedOn w:val="DefaultParagraphFont"/>
    <w:rsid w:val="00B72E5B"/>
  </w:style>
  <w:style w:type="character" w:customStyle="1" w:styleId="gerrorouter">
    <w:name w:val="gerrorouter"/>
    <w:basedOn w:val="DefaultParagraphFont"/>
    <w:rsid w:val="00B72E5B"/>
  </w:style>
  <w:style w:type="paragraph" w:styleId="ListParagraph">
    <w:name w:val="List Paragraph"/>
    <w:basedOn w:val="Normal"/>
    <w:uiPriority w:val="34"/>
    <w:qFormat/>
    <w:rsid w:val="00533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rohe.com" TargetMode="External"/><Relationship Id="rId13" Type="http://schemas.openxmlformats.org/officeDocument/2006/relationships/hyperlink" Target="mailto:eveliina.hostila@hopeyhdistys.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groh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peyhdistys.f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x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ohe.fi"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E757-44D7-4812-B2B5-070CB1D1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797</Words>
  <Characters>4546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Telenius, Linda</dc:creator>
  <cp:lastModifiedBy>Stade, Tanja</cp:lastModifiedBy>
  <cp:revision>3</cp:revision>
  <dcterms:created xsi:type="dcterms:W3CDTF">2020-11-05T17:38:00Z</dcterms:created>
  <dcterms:modified xsi:type="dcterms:W3CDTF">2020-11-06T09:46:00Z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-1675570903</vt:i4>
  </property>
  <property fmtid="{D5CDD505-2E9C-101B-9397-08002B2CF9AE}" pid="3" name="_NewReviewCycle">
    <vt:lpwstr/>
  </property>
  <property fmtid="{D5CDD505-2E9C-101B-9397-08002B2CF9AE}" pid="4" name="_EmailSubject">
    <vt:lpwstr>Press Release | German Sustainability Award Design 2021</vt:lpwstr>
  </property>
  <property fmtid="{D5CDD505-2E9C-101B-9397-08002B2CF9AE}" pid="5" name="_AuthorEmail">
    <vt:lpwstr>Linda.Telenius@grohe.com</vt:lpwstr>
  </property>
  <property fmtid="{D5CDD505-2E9C-101B-9397-08002B2CF9AE}" pid="6" name="_AuthorEmailDisplayName">
    <vt:lpwstr>Telenius, Linda</vt:lpwstr>
  </property>
  <property fmtid="{D5CDD505-2E9C-101B-9397-08002B2CF9AE}" pid="7" name="_PreviousAdHocReviewCycleID">
    <vt:i4>-315064571</vt:i4>
  </property>
  <property fmtid="{D5CDD505-2E9C-101B-9397-08002B2CF9AE}" pid="8" name="_ReviewingToolsShownOnce">
    <vt:lpwstr/>
  </property>
</Properties>
</file>