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10" w:rsidRDefault="00986058" w:rsidP="00637A10">
      <w:pPr>
        <w:autoSpaceDE w:val="0"/>
        <w:autoSpaceDN w:val="0"/>
        <w:adjustRightInd w:val="0"/>
        <w:spacing w:after="0" w:line="240" w:lineRule="auto"/>
        <w:rPr>
          <w:rFonts w:ascii="Franklin Gothic Book" w:hAnsi="Franklin Gothic Book" w:cstheme="minorHAnsi"/>
          <w:color w:val="E4B857"/>
          <w:sz w:val="60"/>
          <w:szCs w:val="60"/>
        </w:rPr>
      </w:pPr>
      <w:r w:rsidRPr="00676673">
        <w:rPr>
          <w:rFonts w:ascii="Franklin Gothic Book" w:hAnsi="Franklin Gothic Book" w:cstheme="minorHAnsi"/>
          <w:color w:val="E4B857"/>
          <w:sz w:val="60"/>
          <w:szCs w:val="60"/>
        </w:rPr>
        <w:t xml:space="preserve">Lantbruksbarometern </w:t>
      </w:r>
      <w:r w:rsidR="00637A10" w:rsidRPr="00676673">
        <w:rPr>
          <w:rFonts w:ascii="Franklin Gothic Book" w:hAnsi="Franklin Gothic Book" w:cstheme="minorHAnsi"/>
          <w:color w:val="E4B857"/>
          <w:sz w:val="60"/>
          <w:szCs w:val="60"/>
        </w:rPr>
        <w:t>Hösten 2012</w:t>
      </w:r>
    </w:p>
    <w:p w:rsidR="0035690B" w:rsidRPr="00901DC4" w:rsidRDefault="0035690B" w:rsidP="0035690B">
      <w:pPr>
        <w:autoSpaceDE w:val="0"/>
        <w:autoSpaceDN w:val="0"/>
        <w:adjustRightInd w:val="0"/>
        <w:spacing w:after="0" w:line="240" w:lineRule="auto"/>
        <w:rPr>
          <w:rFonts w:ascii="Franklin Gothic Book" w:hAnsi="Franklin Gothic Book" w:cstheme="minorHAnsi"/>
          <w:b/>
          <w:bCs/>
          <w:color w:val="000000"/>
          <w:sz w:val="24"/>
          <w:szCs w:val="24"/>
        </w:rPr>
      </w:pPr>
      <w:r w:rsidRPr="00901DC4">
        <w:rPr>
          <w:rFonts w:ascii="Franklin Gothic Book" w:hAnsi="Franklin Gothic Book" w:cstheme="minorHAnsi"/>
          <w:b/>
          <w:bCs/>
          <w:color w:val="000000"/>
          <w:sz w:val="24"/>
          <w:szCs w:val="24"/>
        </w:rPr>
        <w:t xml:space="preserve">Lönsamheten fortsätter nedåt </w:t>
      </w:r>
    </w:p>
    <w:p w:rsidR="0035690B" w:rsidRPr="0035690B" w:rsidRDefault="0035690B" w:rsidP="00637A10">
      <w:pPr>
        <w:autoSpaceDE w:val="0"/>
        <w:autoSpaceDN w:val="0"/>
        <w:adjustRightInd w:val="0"/>
        <w:spacing w:after="0" w:line="240" w:lineRule="auto"/>
        <w:rPr>
          <w:rFonts w:ascii="Franklin Gothic Book" w:hAnsi="Franklin Gothic Book" w:cstheme="minorHAnsi"/>
          <w:color w:val="E4B857"/>
          <w:sz w:val="24"/>
          <w:szCs w:val="24"/>
        </w:rPr>
      </w:pPr>
    </w:p>
    <w:p w:rsidR="0023263D" w:rsidRPr="0023263D" w:rsidRDefault="0023263D" w:rsidP="0023263D">
      <w:pPr>
        <w:autoSpaceDE w:val="0"/>
        <w:autoSpaceDN w:val="0"/>
        <w:adjustRightInd w:val="0"/>
        <w:spacing w:after="0" w:line="240" w:lineRule="auto"/>
        <w:rPr>
          <w:rFonts w:ascii="Franklin Gothic Book" w:hAnsi="Franklin Gothic Book" w:cstheme="minorHAnsi"/>
          <w:b/>
          <w:i/>
          <w:color w:val="000000"/>
          <w:sz w:val="20"/>
          <w:szCs w:val="20"/>
        </w:rPr>
      </w:pPr>
      <w:r w:rsidRPr="0023263D">
        <w:rPr>
          <w:rFonts w:ascii="Franklin Gothic Book" w:hAnsi="Franklin Gothic Book" w:cstheme="minorHAnsi"/>
          <w:b/>
          <w:bCs/>
          <w:i/>
          <w:color w:val="000000"/>
          <w:sz w:val="20"/>
          <w:szCs w:val="20"/>
        </w:rPr>
        <w:t>Lantbruksbarometern är en årlig rapport som visar lantbrukarnas uppfattning om det aktuella läget inom lantbruket. Den har utkommit sedan 1987 och</w:t>
      </w:r>
      <w:r w:rsidRPr="0023263D">
        <w:rPr>
          <w:rFonts w:ascii="Franklin Gothic Book" w:hAnsi="Franklin Gothic Book" w:cstheme="minorHAnsi"/>
          <w:b/>
          <w:i/>
          <w:color w:val="000000"/>
          <w:sz w:val="20"/>
          <w:szCs w:val="20"/>
        </w:rPr>
        <w:t xml:space="preserve"> för första gången ställs nu två av Lantbruksbarometerns frågor till lantbrukarna även under hösten. Sifo har på uppdrag av LRF Konsult, Swedbank och Sparbankerna under oktober månad intervjuat 300 lantbrukare. Detta i ett samarbete med övriga EU-länders rapporter över lantbrukets lönsamhet.</w:t>
      </w:r>
      <w:r w:rsidR="00BD72D5">
        <w:rPr>
          <w:rFonts w:ascii="Franklin Gothic Book" w:hAnsi="Franklin Gothic Book" w:cstheme="minorHAnsi"/>
          <w:b/>
          <w:i/>
          <w:color w:val="000000"/>
          <w:sz w:val="20"/>
          <w:szCs w:val="20"/>
        </w:rPr>
        <w:t xml:space="preserve"> Läs mer om EU-lantbrukarnas uppfattningar om lönsamhet</w:t>
      </w:r>
      <w:r w:rsidR="003B7B08">
        <w:rPr>
          <w:rFonts w:ascii="Franklin Gothic Book" w:hAnsi="Franklin Gothic Book" w:cstheme="minorHAnsi"/>
          <w:b/>
          <w:i/>
          <w:color w:val="000000"/>
          <w:sz w:val="20"/>
          <w:szCs w:val="20"/>
        </w:rPr>
        <w:t>en</w:t>
      </w:r>
      <w:r w:rsidR="00BD72D5">
        <w:rPr>
          <w:rFonts w:ascii="Franklin Gothic Book" w:hAnsi="Franklin Gothic Book" w:cstheme="minorHAnsi"/>
          <w:b/>
          <w:i/>
          <w:color w:val="000000"/>
          <w:sz w:val="20"/>
          <w:szCs w:val="20"/>
        </w:rPr>
        <w:t xml:space="preserve"> i separat rapport.</w:t>
      </w:r>
    </w:p>
    <w:p w:rsidR="0023263D" w:rsidRDefault="0023263D" w:rsidP="00637A10">
      <w:pPr>
        <w:autoSpaceDE w:val="0"/>
        <w:autoSpaceDN w:val="0"/>
        <w:adjustRightInd w:val="0"/>
        <w:spacing w:after="0" w:line="240" w:lineRule="auto"/>
        <w:rPr>
          <w:rFonts w:ascii="Franklin Gothic Book" w:hAnsi="Franklin Gothic Book" w:cstheme="minorHAnsi"/>
          <w:b/>
          <w:bCs/>
          <w:color w:val="000000"/>
          <w:sz w:val="24"/>
          <w:szCs w:val="24"/>
        </w:rPr>
      </w:pPr>
    </w:p>
    <w:p w:rsidR="00637A10" w:rsidRPr="00901DC4" w:rsidRDefault="00637A10" w:rsidP="00637A10">
      <w:pPr>
        <w:autoSpaceDE w:val="0"/>
        <w:autoSpaceDN w:val="0"/>
        <w:adjustRightInd w:val="0"/>
        <w:spacing w:after="0" w:line="240" w:lineRule="auto"/>
        <w:rPr>
          <w:rFonts w:ascii="Franklin Gothic Book" w:hAnsi="Franklin Gothic Book" w:cstheme="minorHAnsi"/>
          <w:b/>
          <w:bCs/>
          <w:color w:val="000000"/>
          <w:sz w:val="24"/>
          <w:szCs w:val="24"/>
        </w:rPr>
      </w:pPr>
      <w:r w:rsidRPr="00901DC4">
        <w:rPr>
          <w:rFonts w:ascii="Franklin Gothic Book" w:hAnsi="Franklin Gothic Book" w:cstheme="minorHAnsi"/>
          <w:b/>
          <w:bCs/>
          <w:color w:val="000000"/>
          <w:sz w:val="24"/>
          <w:szCs w:val="24"/>
        </w:rPr>
        <w:t>66 procent</w:t>
      </w:r>
      <w:r w:rsidR="00F115B8" w:rsidRPr="00901DC4">
        <w:rPr>
          <w:rFonts w:ascii="Franklin Gothic Book" w:hAnsi="Franklin Gothic Book" w:cstheme="minorHAnsi"/>
          <w:b/>
          <w:bCs/>
          <w:color w:val="000000"/>
          <w:sz w:val="24"/>
          <w:szCs w:val="24"/>
        </w:rPr>
        <w:t xml:space="preserve"> </w:t>
      </w:r>
      <w:r w:rsidRPr="00901DC4">
        <w:rPr>
          <w:rFonts w:ascii="Franklin Gothic Book" w:hAnsi="Franklin Gothic Book" w:cstheme="minorHAnsi"/>
          <w:b/>
          <w:bCs/>
          <w:color w:val="000000"/>
          <w:sz w:val="24"/>
          <w:szCs w:val="24"/>
        </w:rPr>
        <w:t>av lantbrukarna upplever att deras lönsamhet</w:t>
      </w:r>
      <w:r w:rsidR="00F115B8" w:rsidRPr="00901DC4">
        <w:rPr>
          <w:rFonts w:ascii="Franklin Gothic Book" w:hAnsi="Franklin Gothic Book" w:cstheme="minorHAnsi"/>
          <w:b/>
          <w:bCs/>
          <w:color w:val="000000"/>
          <w:sz w:val="24"/>
          <w:szCs w:val="24"/>
        </w:rPr>
        <w:t xml:space="preserve"> </w:t>
      </w:r>
      <w:r w:rsidRPr="00901DC4">
        <w:rPr>
          <w:rFonts w:ascii="Franklin Gothic Book" w:hAnsi="Franklin Gothic Book" w:cstheme="minorHAnsi"/>
          <w:b/>
          <w:bCs/>
          <w:color w:val="000000"/>
          <w:sz w:val="24"/>
          <w:szCs w:val="24"/>
        </w:rPr>
        <w:t>är ganska eller mycket dålig</w:t>
      </w:r>
    </w:p>
    <w:p w:rsidR="00637A10" w:rsidRPr="0096370D" w:rsidRDefault="00637A10" w:rsidP="00637A10">
      <w:pPr>
        <w:autoSpaceDE w:val="0"/>
        <w:autoSpaceDN w:val="0"/>
        <w:adjustRightInd w:val="0"/>
        <w:spacing w:after="0" w:line="240" w:lineRule="auto"/>
        <w:rPr>
          <w:rFonts w:ascii="Franklin Gothic Book" w:hAnsi="Franklin Gothic Book" w:cstheme="minorHAnsi"/>
          <w:color w:val="000000"/>
          <w:sz w:val="20"/>
          <w:szCs w:val="20"/>
        </w:rPr>
      </w:pPr>
      <w:r w:rsidRPr="0096370D">
        <w:rPr>
          <w:rFonts w:ascii="Franklin Gothic Book" w:hAnsi="Franklin Gothic Book" w:cstheme="minorHAnsi"/>
          <w:color w:val="000000"/>
          <w:sz w:val="20"/>
          <w:szCs w:val="20"/>
        </w:rPr>
        <w:t>Av de tillfrågade lantbrukarna a</w:t>
      </w:r>
      <w:r w:rsidR="0096370D">
        <w:rPr>
          <w:rFonts w:ascii="Franklin Gothic Book" w:hAnsi="Franklin Gothic Book" w:cstheme="minorHAnsi"/>
          <w:color w:val="000000"/>
          <w:sz w:val="20"/>
          <w:szCs w:val="20"/>
        </w:rPr>
        <w:t xml:space="preserve">nger 33 procent att de upplever </w:t>
      </w:r>
      <w:r w:rsidRPr="0096370D">
        <w:rPr>
          <w:rFonts w:ascii="Franklin Gothic Book" w:hAnsi="Franklin Gothic Book" w:cstheme="minorHAnsi"/>
          <w:color w:val="000000"/>
          <w:sz w:val="20"/>
          <w:szCs w:val="20"/>
        </w:rPr>
        <w:t>sin lönsamhet som myc</w:t>
      </w:r>
      <w:r w:rsidR="0096370D">
        <w:rPr>
          <w:rFonts w:ascii="Franklin Gothic Book" w:hAnsi="Franklin Gothic Book" w:cstheme="minorHAnsi"/>
          <w:color w:val="000000"/>
          <w:sz w:val="20"/>
          <w:szCs w:val="20"/>
        </w:rPr>
        <w:t xml:space="preserve">ket eller ganska god. Detta kan </w:t>
      </w:r>
      <w:r w:rsidRPr="0096370D">
        <w:rPr>
          <w:rFonts w:ascii="Franklin Gothic Book" w:hAnsi="Franklin Gothic Book" w:cstheme="minorHAnsi"/>
          <w:color w:val="000000"/>
          <w:sz w:val="20"/>
          <w:szCs w:val="20"/>
        </w:rPr>
        <w:t>jämföras med i våras då 41</w:t>
      </w:r>
      <w:r w:rsidR="0096370D">
        <w:rPr>
          <w:rFonts w:ascii="Franklin Gothic Book" w:hAnsi="Franklin Gothic Book" w:cstheme="minorHAnsi"/>
          <w:color w:val="000000"/>
          <w:sz w:val="20"/>
          <w:szCs w:val="20"/>
        </w:rPr>
        <w:t xml:space="preserve"> procent uppgav att lönsamheten </w:t>
      </w:r>
      <w:r w:rsidRPr="0096370D">
        <w:rPr>
          <w:rFonts w:ascii="Franklin Gothic Book" w:hAnsi="Franklin Gothic Book" w:cstheme="minorHAnsi"/>
          <w:color w:val="000000"/>
          <w:sz w:val="20"/>
          <w:szCs w:val="20"/>
        </w:rPr>
        <w:t>var mycket eller ganska god</w:t>
      </w:r>
      <w:r w:rsidR="00261D1C" w:rsidRPr="0096370D">
        <w:rPr>
          <w:rFonts w:ascii="Franklin Gothic Book" w:hAnsi="Franklin Gothic Book" w:cstheme="minorHAnsi"/>
          <w:color w:val="000000"/>
          <w:sz w:val="20"/>
          <w:szCs w:val="20"/>
        </w:rPr>
        <w:t>.</w:t>
      </w:r>
    </w:p>
    <w:p w:rsidR="00261D1C" w:rsidRPr="00986058" w:rsidRDefault="00261D1C" w:rsidP="00637A10">
      <w:pPr>
        <w:autoSpaceDE w:val="0"/>
        <w:autoSpaceDN w:val="0"/>
        <w:adjustRightInd w:val="0"/>
        <w:spacing w:after="0" w:line="240" w:lineRule="auto"/>
        <w:rPr>
          <w:rFonts w:ascii="Franklin Gothic Book" w:hAnsi="Franklin Gothic Book" w:cstheme="minorHAnsi"/>
        </w:rPr>
      </w:pPr>
      <w:r w:rsidRPr="0096370D">
        <w:rPr>
          <w:rFonts w:ascii="Franklin Gothic Book" w:hAnsi="Franklin Gothic Book" w:cstheme="minorHAnsi"/>
          <w:color w:val="000000"/>
          <w:sz w:val="20"/>
          <w:szCs w:val="20"/>
        </w:rPr>
        <w:t xml:space="preserve">Hösten </w:t>
      </w:r>
      <w:r w:rsidR="00637A10" w:rsidRPr="0096370D">
        <w:rPr>
          <w:rFonts w:ascii="Franklin Gothic Book" w:hAnsi="Franklin Gothic Book" w:cstheme="minorHAnsi"/>
          <w:color w:val="000000"/>
          <w:sz w:val="20"/>
          <w:szCs w:val="20"/>
        </w:rPr>
        <w:t xml:space="preserve">2012 uppger </w:t>
      </w:r>
      <w:r w:rsidRPr="0096370D">
        <w:rPr>
          <w:rFonts w:ascii="Franklin Gothic Book" w:hAnsi="Franklin Gothic Book" w:cstheme="minorHAnsi"/>
          <w:color w:val="000000"/>
          <w:sz w:val="20"/>
          <w:szCs w:val="20"/>
        </w:rPr>
        <w:t>66</w:t>
      </w:r>
      <w:r w:rsidR="00637A10" w:rsidRPr="0096370D">
        <w:rPr>
          <w:rFonts w:ascii="Franklin Gothic Book" w:hAnsi="Franklin Gothic Book" w:cstheme="minorHAnsi"/>
          <w:color w:val="000000"/>
          <w:sz w:val="20"/>
          <w:szCs w:val="20"/>
        </w:rPr>
        <w:t xml:space="preserve"> procent av</w:t>
      </w:r>
      <w:r w:rsidR="0096370D">
        <w:rPr>
          <w:rFonts w:ascii="Franklin Gothic Book" w:hAnsi="Franklin Gothic Book" w:cstheme="minorHAnsi"/>
          <w:color w:val="000000"/>
          <w:sz w:val="20"/>
          <w:szCs w:val="20"/>
        </w:rPr>
        <w:t xml:space="preserve"> lantbrukarna att de har ganska </w:t>
      </w:r>
      <w:r w:rsidR="00637A10" w:rsidRPr="0096370D">
        <w:rPr>
          <w:rFonts w:ascii="Franklin Gothic Book" w:hAnsi="Franklin Gothic Book" w:cstheme="minorHAnsi"/>
          <w:color w:val="000000"/>
          <w:sz w:val="20"/>
          <w:szCs w:val="20"/>
        </w:rPr>
        <w:t xml:space="preserve">eller mycket dålig lönsamhet </w:t>
      </w:r>
      <w:r w:rsidR="00637A10" w:rsidRPr="00676673">
        <w:rPr>
          <w:rFonts w:ascii="Franklin Gothic Book" w:hAnsi="Franklin Gothic Book" w:cstheme="minorHAnsi"/>
          <w:color w:val="000000"/>
          <w:sz w:val="20"/>
          <w:szCs w:val="20"/>
        </w:rPr>
        <w:t xml:space="preserve">jämfört med </w:t>
      </w:r>
      <w:r w:rsidRPr="00676673">
        <w:rPr>
          <w:rFonts w:ascii="Franklin Gothic Book" w:hAnsi="Franklin Gothic Book" w:cstheme="minorHAnsi"/>
          <w:color w:val="000000"/>
          <w:sz w:val="20"/>
          <w:szCs w:val="20"/>
        </w:rPr>
        <w:t>58</w:t>
      </w:r>
      <w:r w:rsidR="00637A10" w:rsidRPr="00676673">
        <w:rPr>
          <w:rFonts w:ascii="Franklin Gothic Book" w:hAnsi="Franklin Gothic Book" w:cstheme="minorHAnsi"/>
          <w:color w:val="000000"/>
          <w:sz w:val="20"/>
          <w:szCs w:val="20"/>
        </w:rPr>
        <w:t xml:space="preserve"> procent</w:t>
      </w:r>
      <w:r w:rsidRPr="00676673">
        <w:rPr>
          <w:rFonts w:ascii="Franklin Gothic Book" w:hAnsi="Franklin Gothic Book" w:cstheme="minorHAnsi"/>
          <w:color w:val="000000"/>
          <w:sz w:val="20"/>
          <w:szCs w:val="20"/>
        </w:rPr>
        <w:t xml:space="preserve"> våren 2012.</w:t>
      </w:r>
      <w:r w:rsidR="00BD72D5">
        <w:rPr>
          <w:rFonts w:ascii="Franklin Gothic Book" w:hAnsi="Franklin Gothic Book" w:cstheme="minorHAnsi"/>
          <w:color w:val="000000"/>
          <w:sz w:val="20"/>
          <w:szCs w:val="20"/>
        </w:rPr>
        <w:t xml:space="preserve"> Se tabell 1 </w:t>
      </w:r>
      <w:r w:rsidR="00637A10" w:rsidRPr="00676673">
        <w:rPr>
          <w:rFonts w:ascii="Franklin Gothic Book" w:hAnsi="Franklin Gothic Book" w:cstheme="minorHAnsi"/>
          <w:color w:val="000000"/>
          <w:sz w:val="20"/>
          <w:szCs w:val="20"/>
        </w:rPr>
        <w:t xml:space="preserve"> </w:t>
      </w:r>
    </w:p>
    <w:tbl>
      <w:tblPr>
        <w:tblpPr w:leftFromText="141" w:rightFromText="141" w:vertAnchor="page" w:horzAnchor="margin" w:tblpY="6012"/>
        <w:tblW w:w="4000" w:type="dxa"/>
        <w:tblCellMar>
          <w:left w:w="70" w:type="dxa"/>
          <w:right w:w="70" w:type="dxa"/>
        </w:tblCellMar>
        <w:tblLook w:val="04A0" w:firstRow="1" w:lastRow="0" w:firstColumn="1" w:lastColumn="0" w:noHBand="0" w:noVBand="1"/>
      </w:tblPr>
      <w:tblGrid>
        <w:gridCol w:w="1680"/>
        <w:gridCol w:w="1160"/>
        <w:gridCol w:w="1160"/>
      </w:tblGrid>
      <w:tr w:rsidR="00BD72D5" w:rsidRPr="0096370D" w:rsidTr="0035690B">
        <w:trPr>
          <w:trHeight w:val="315"/>
        </w:trPr>
        <w:tc>
          <w:tcPr>
            <w:tcW w:w="1680" w:type="dxa"/>
            <w:tcBorders>
              <w:top w:val="nil"/>
              <w:left w:val="nil"/>
              <w:bottom w:val="nil"/>
              <w:right w:val="nil"/>
            </w:tcBorders>
            <w:shd w:val="clear" w:color="auto" w:fill="auto"/>
            <w:hideMark/>
          </w:tcPr>
          <w:p w:rsidR="00BD72D5" w:rsidRPr="00676673" w:rsidRDefault="00BD72D5" w:rsidP="0035690B">
            <w:pPr>
              <w:spacing w:after="0" w:line="240" w:lineRule="auto"/>
              <w:rPr>
                <w:rFonts w:ascii="Franklin Gothic Book" w:eastAsia="Times New Roman" w:hAnsi="Franklin Gothic Book" w:cs="Times New Roman"/>
                <w:b/>
                <w:bCs/>
                <w:sz w:val="20"/>
                <w:szCs w:val="20"/>
                <w:lang w:eastAsia="sv-SE"/>
              </w:rPr>
            </w:pPr>
            <w:r w:rsidRPr="00676673">
              <w:rPr>
                <w:rFonts w:ascii="Franklin Gothic Book" w:eastAsia="Times New Roman" w:hAnsi="Franklin Gothic Book" w:cs="Times New Roman"/>
                <w:b/>
                <w:bCs/>
                <w:sz w:val="20"/>
                <w:szCs w:val="20"/>
                <w:lang w:eastAsia="sv-SE"/>
              </w:rPr>
              <w:t>TABELL 1</w:t>
            </w:r>
          </w:p>
        </w:tc>
        <w:tc>
          <w:tcPr>
            <w:tcW w:w="1160" w:type="dxa"/>
            <w:tcBorders>
              <w:top w:val="nil"/>
              <w:left w:val="nil"/>
              <w:bottom w:val="nil"/>
              <w:right w:val="nil"/>
            </w:tcBorders>
            <w:shd w:val="clear" w:color="auto" w:fill="auto"/>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p>
        </w:tc>
        <w:tc>
          <w:tcPr>
            <w:tcW w:w="1160" w:type="dxa"/>
            <w:tcBorders>
              <w:top w:val="nil"/>
              <w:left w:val="nil"/>
              <w:bottom w:val="nil"/>
              <w:right w:val="nil"/>
            </w:tcBorders>
            <w:shd w:val="clear" w:color="auto" w:fill="auto"/>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p>
        </w:tc>
      </w:tr>
      <w:tr w:rsidR="00BD72D5" w:rsidRPr="0096370D" w:rsidTr="0035690B">
        <w:trPr>
          <w:trHeight w:val="390"/>
        </w:trPr>
        <w:tc>
          <w:tcPr>
            <w:tcW w:w="4000" w:type="dxa"/>
            <w:gridSpan w:val="3"/>
            <w:tcBorders>
              <w:top w:val="single" w:sz="8" w:space="0" w:color="auto"/>
              <w:left w:val="single" w:sz="8" w:space="0" w:color="auto"/>
              <w:bottom w:val="nil"/>
              <w:right w:val="single" w:sz="8" w:space="0" w:color="000000"/>
            </w:tcBorders>
            <w:shd w:val="clear" w:color="auto" w:fill="auto"/>
            <w:vAlign w:val="center"/>
            <w:hideMark/>
          </w:tcPr>
          <w:p w:rsidR="00BD72D5" w:rsidRPr="0096370D" w:rsidRDefault="00BD72D5" w:rsidP="0035690B">
            <w:pPr>
              <w:spacing w:after="0" w:line="240" w:lineRule="auto"/>
              <w:jc w:val="center"/>
              <w:rPr>
                <w:rFonts w:ascii="Agenda light" w:eastAsia="Times New Roman" w:hAnsi="Agenda light" w:cs="Times New Roman"/>
                <w:b/>
                <w:bCs/>
                <w:sz w:val="20"/>
                <w:szCs w:val="20"/>
                <w:lang w:eastAsia="sv-SE"/>
              </w:rPr>
            </w:pPr>
            <w:r w:rsidRPr="0096370D">
              <w:rPr>
                <w:rFonts w:ascii="Agenda light" w:eastAsia="Times New Roman" w:hAnsi="Agenda light" w:cs="Times New Roman"/>
                <w:b/>
                <w:bCs/>
                <w:sz w:val="20"/>
                <w:szCs w:val="20"/>
                <w:lang w:eastAsia="sv-SE"/>
              </w:rPr>
              <w:t>Lönsamheten idag</w:t>
            </w:r>
          </w:p>
        </w:tc>
      </w:tr>
      <w:tr w:rsidR="00BD72D5" w:rsidRPr="0096370D" w:rsidTr="0035690B">
        <w:trPr>
          <w:trHeight w:val="270"/>
        </w:trPr>
        <w:tc>
          <w:tcPr>
            <w:tcW w:w="1680" w:type="dxa"/>
            <w:tcBorders>
              <w:top w:val="nil"/>
              <w:left w:val="single" w:sz="8" w:space="0" w:color="auto"/>
              <w:bottom w:val="nil"/>
              <w:right w:val="nil"/>
            </w:tcBorders>
            <w:shd w:val="clear" w:color="auto" w:fill="auto"/>
            <w:noWrap/>
            <w:vAlign w:val="bottom"/>
            <w:hideMark/>
          </w:tcPr>
          <w:p w:rsidR="00BD72D5" w:rsidRPr="0096370D" w:rsidRDefault="00BD72D5" w:rsidP="0035690B">
            <w:pPr>
              <w:spacing w:after="0" w:line="240" w:lineRule="auto"/>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 </w:t>
            </w:r>
          </w:p>
        </w:tc>
        <w:tc>
          <w:tcPr>
            <w:tcW w:w="2320" w:type="dxa"/>
            <w:gridSpan w:val="2"/>
            <w:tcBorders>
              <w:top w:val="nil"/>
              <w:left w:val="nil"/>
              <w:bottom w:val="nil"/>
              <w:right w:val="single" w:sz="8" w:space="0" w:color="000000"/>
            </w:tcBorders>
            <w:shd w:val="clear" w:color="auto" w:fill="auto"/>
            <w:vAlign w:val="bottom"/>
            <w:hideMark/>
          </w:tcPr>
          <w:p w:rsidR="00BD72D5" w:rsidRPr="0096370D" w:rsidRDefault="00BD72D5" w:rsidP="0035690B">
            <w:pPr>
              <w:spacing w:after="0" w:line="240" w:lineRule="auto"/>
              <w:jc w:val="center"/>
              <w:rPr>
                <w:rFonts w:ascii="Agenda light" w:eastAsia="Times New Roman" w:hAnsi="Agenda light" w:cs="Times New Roman"/>
                <w:sz w:val="16"/>
                <w:szCs w:val="16"/>
                <w:lang w:eastAsia="sv-SE"/>
              </w:rPr>
            </w:pPr>
            <w:r w:rsidRPr="0096370D">
              <w:rPr>
                <w:rFonts w:ascii="Agenda light" w:eastAsia="Times New Roman" w:hAnsi="Agenda light" w:cs="Times New Roman"/>
                <w:sz w:val="16"/>
                <w:szCs w:val="16"/>
                <w:lang w:eastAsia="sv-SE"/>
              </w:rPr>
              <w:t>Procentuell andel</w:t>
            </w:r>
          </w:p>
        </w:tc>
      </w:tr>
      <w:tr w:rsidR="00BD72D5" w:rsidRPr="0096370D" w:rsidTr="0035690B">
        <w:trPr>
          <w:trHeight w:val="315"/>
        </w:trPr>
        <w:tc>
          <w:tcPr>
            <w:tcW w:w="1680" w:type="dxa"/>
            <w:tcBorders>
              <w:top w:val="nil"/>
              <w:left w:val="single" w:sz="8" w:space="0" w:color="auto"/>
              <w:bottom w:val="single" w:sz="4" w:space="0" w:color="auto"/>
              <w:right w:val="nil"/>
            </w:tcBorders>
            <w:shd w:val="clear" w:color="auto" w:fill="auto"/>
            <w:hideMark/>
          </w:tcPr>
          <w:p w:rsidR="00BD72D5" w:rsidRPr="0096370D" w:rsidRDefault="00BD72D5" w:rsidP="0035690B">
            <w:pPr>
              <w:spacing w:after="0" w:line="240" w:lineRule="auto"/>
              <w:rPr>
                <w:rFonts w:ascii="Agenda light" w:eastAsia="Times New Roman" w:hAnsi="Agenda light" w:cs="Times New Roman"/>
                <w:b/>
                <w:bCs/>
                <w:sz w:val="20"/>
                <w:szCs w:val="20"/>
                <w:lang w:eastAsia="sv-SE"/>
              </w:rPr>
            </w:pPr>
            <w:r w:rsidRPr="0096370D">
              <w:rPr>
                <w:rFonts w:ascii="Agenda light" w:eastAsia="Times New Roman" w:hAnsi="Agenda light" w:cs="Times New Roman"/>
                <w:b/>
                <w:bCs/>
                <w:sz w:val="20"/>
                <w:szCs w:val="20"/>
                <w:lang w:eastAsia="sv-SE"/>
              </w:rPr>
              <w:t>Svarsalternativ</w:t>
            </w:r>
          </w:p>
        </w:tc>
        <w:tc>
          <w:tcPr>
            <w:tcW w:w="1160" w:type="dxa"/>
            <w:tcBorders>
              <w:top w:val="nil"/>
              <w:left w:val="nil"/>
              <w:bottom w:val="single" w:sz="4" w:space="0" w:color="auto"/>
              <w:right w:val="nil"/>
            </w:tcBorders>
            <w:shd w:val="clear" w:color="auto" w:fill="auto"/>
            <w:noWrap/>
            <w:vAlign w:val="bottom"/>
            <w:hideMark/>
          </w:tcPr>
          <w:p w:rsidR="00BD72D5" w:rsidRPr="0096370D" w:rsidRDefault="00BD72D5" w:rsidP="0035690B">
            <w:pPr>
              <w:spacing w:after="0" w:line="240" w:lineRule="auto"/>
              <w:jc w:val="center"/>
              <w:rPr>
                <w:rFonts w:ascii="Agenda light" w:eastAsia="Times New Roman" w:hAnsi="Agenda light" w:cs="Times New Roman"/>
                <w:sz w:val="16"/>
                <w:szCs w:val="16"/>
                <w:lang w:eastAsia="sv-SE"/>
              </w:rPr>
            </w:pPr>
            <w:r w:rsidRPr="0096370D">
              <w:rPr>
                <w:rFonts w:ascii="Agenda light" w:eastAsia="Times New Roman" w:hAnsi="Agenda light" w:cs="Times New Roman"/>
                <w:sz w:val="16"/>
                <w:szCs w:val="16"/>
                <w:lang w:eastAsia="sv-SE"/>
              </w:rPr>
              <w:t>Våren 2012</w:t>
            </w:r>
          </w:p>
        </w:tc>
        <w:tc>
          <w:tcPr>
            <w:tcW w:w="1160" w:type="dxa"/>
            <w:tcBorders>
              <w:top w:val="nil"/>
              <w:left w:val="nil"/>
              <w:bottom w:val="single" w:sz="4" w:space="0" w:color="auto"/>
              <w:right w:val="single" w:sz="8" w:space="0" w:color="auto"/>
            </w:tcBorders>
            <w:shd w:val="clear" w:color="auto" w:fill="auto"/>
            <w:noWrap/>
            <w:vAlign w:val="bottom"/>
            <w:hideMark/>
          </w:tcPr>
          <w:p w:rsidR="00BD72D5" w:rsidRPr="0096370D" w:rsidRDefault="00BD72D5" w:rsidP="0035690B">
            <w:pPr>
              <w:spacing w:after="0" w:line="240" w:lineRule="auto"/>
              <w:jc w:val="center"/>
              <w:rPr>
                <w:rFonts w:ascii="Agenda light" w:eastAsia="Times New Roman" w:hAnsi="Agenda light" w:cs="Times New Roman"/>
                <w:sz w:val="16"/>
                <w:szCs w:val="16"/>
                <w:lang w:eastAsia="sv-SE"/>
              </w:rPr>
            </w:pPr>
            <w:r w:rsidRPr="0096370D">
              <w:rPr>
                <w:rFonts w:ascii="Agenda light" w:eastAsia="Times New Roman" w:hAnsi="Agenda light" w:cs="Times New Roman"/>
                <w:sz w:val="16"/>
                <w:szCs w:val="16"/>
                <w:lang w:eastAsia="sv-SE"/>
              </w:rPr>
              <w:t>Hösten 2012</w:t>
            </w:r>
          </w:p>
        </w:tc>
      </w:tr>
      <w:tr w:rsidR="00BD72D5" w:rsidRPr="0096370D" w:rsidTr="0035690B">
        <w:trPr>
          <w:trHeight w:val="315"/>
        </w:trPr>
        <w:tc>
          <w:tcPr>
            <w:tcW w:w="1680" w:type="dxa"/>
            <w:tcBorders>
              <w:top w:val="nil"/>
              <w:left w:val="single" w:sz="8" w:space="0" w:color="auto"/>
              <w:bottom w:val="nil"/>
              <w:right w:val="nil"/>
            </w:tcBorders>
            <w:shd w:val="clear" w:color="auto" w:fill="auto"/>
            <w:hideMark/>
          </w:tcPr>
          <w:p w:rsidR="00BD72D5" w:rsidRPr="0096370D" w:rsidRDefault="00BD72D5" w:rsidP="0035690B">
            <w:pPr>
              <w:spacing w:after="0" w:line="240" w:lineRule="auto"/>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Mycket god</w:t>
            </w:r>
          </w:p>
        </w:tc>
        <w:tc>
          <w:tcPr>
            <w:tcW w:w="1160" w:type="dxa"/>
            <w:tcBorders>
              <w:top w:val="nil"/>
              <w:left w:val="nil"/>
              <w:bottom w:val="nil"/>
              <w:right w:val="nil"/>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1</w:t>
            </w:r>
          </w:p>
        </w:tc>
        <w:tc>
          <w:tcPr>
            <w:tcW w:w="1160" w:type="dxa"/>
            <w:tcBorders>
              <w:top w:val="nil"/>
              <w:left w:val="nil"/>
              <w:bottom w:val="nil"/>
              <w:right w:val="single" w:sz="8" w:space="0" w:color="auto"/>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1</w:t>
            </w:r>
          </w:p>
        </w:tc>
      </w:tr>
      <w:tr w:rsidR="00BD72D5" w:rsidRPr="0096370D" w:rsidTr="0035690B">
        <w:trPr>
          <w:trHeight w:val="315"/>
        </w:trPr>
        <w:tc>
          <w:tcPr>
            <w:tcW w:w="1680" w:type="dxa"/>
            <w:tcBorders>
              <w:top w:val="nil"/>
              <w:left w:val="single" w:sz="8" w:space="0" w:color="auto"/>
              <w:bottom w:val="nil"/>
              <w:right w:val="nil"/>
            </w:tcBorders>
            <w:shd w:val="clear" w:color="auto" w:fill="auto"/>
            <w:hideMark/>
          </w:tcPr>
          <w:p w:rsidR="00BD72D5" w:rsidRPr="0096370D" w:rsidRDefault="00BD72D5" w:rsidP="0035690B">
            <w:pPr>
              <w:spacing w:after="0" w:line="240" w:lineRule="auto"/>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Ganska god</w:t>
            </w:r>
          </w:p>
        </w:tc>
        <w:tc>
          <w:tcPr>
            <w:tcW w:w="1160" w:type="dxa"/>
            <w:tcBorders>
              <w:top w:val="nil"/>
              <w:left w:val="nil"/>
              <w:bottom w:val="nil"/>
              <w:right w:val="nil"/>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40</w:t>
            </w:r>
          </w:p>
        </w:tc>
        <w:tc>
          <w:tcPr>
            <w:tcW w:w="1160" w:type="dxa"/>
            <w:tcBorders>
              <w:top w:val="nil"/>
              <w:left w:val="nil"/>
              <w:bottom w:val="nil"/>
              <w:right w:val="single" w:sz="8" w:space="0" w:color="auto"/>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32</w:t>
            </w:r>
          </w:p>
        </w:tc>
      </w:tr>
      <w:tr w:rsidR="00BD72D5" w:rsidRPr="0096370D" w:rsidTr="0035690B">
        <w:trPr>
          <w:trHeight w:val="315"/>
        </w:trPr>
        <w:tc>
          <w:tcPr>
            <w:tcW w:w="1680" w:type="dxa"/>
            <w:tcBorders>
              <w:top w:val="nil"/>
              <w:left w:val="single" w:sz="8" w:space="0" w:color="auto"/>
              <w:bottom w:val="nil"/>
              <w:right w:val="nil"/>
            </w:tcBorders>
            <w:shd w:val="clear" w:color="auto" w:fill="auto"/>
            <w:hideMark/>
          </w:tcPr>
          <w:p w:rsidR="00BD72D5" w:rsidRPr="0096370D" w:rsidRDefault="00BD72D5" w:rsidP="0035690B">
            <w:pPr>
              <w:spacing w:after="0" w:line="240" w:lineRule="auto"/>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Ganska dålig</w:t>
            </w:r>
          </w:p>
        </w:tc>
        <w:tc>
          <w:tcPr>
            <w:tcW w:w="1160" w:type="dxa"/>
            <w:tcBorders>
              <w:top w:val="nil"/>
              <w:left w:val="nil"/>
              <w:bottom w:val="nil"/>
              <w:right w:val="nil"/>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45</w:t>
            </w:r>
          </w:p>
        </w:tc>
        <w:tc>
          <w:tcPr>
            <w:tcW w:w="1160" w:type="dxa"/>
            <w:tcBorders>
              <w:top w:val="nil"/>
              <w:left w:val="nil"/>
              <w:bottom w:val="nil"/>
              <w:right w:val="single" w:sz="8" w:space="0" w:color="auto"/>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41</w:t>
            </w:r>
          </w:p>
        </w:tc>
      </w:tr>
      <w:tr w:rsidR="00BD72D5" w:rsidRPr="0096370D" w:rsidTr="0035690B">
        <w:trPr>
          <w:trHeight w:val="315"/>
        </w:trPr>
        <w:tc>
          <w:tcPr>
            <w:tcW w:w="1680" w:type="dxa"/>
            <w:tcBorders>
              <w:top w:val="nil"/>
              <w:left w:val="single" w:sz="8" w:space="0" w:color="auto"/>
              <w:bottom w:val="nil"/>
              <w:right w:val="nil"/>
            </w:tcBorders>
            <w:shd w:val="clear" w:color="auto" w:fill="auto"/>
            <w:hideMark/>
          </w:tcPr>
          <w:p w:rsidR="00BD72D5" w:rsidRPr="0096370D" w:rsidRDefault="00BD72D5" w:rsidP="0035690B">
            <w:pPr>
              <w:spacing w:after="0" w:line="240" w:lineRule="auto"/>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Mycket dålig</w:t>
            </w:r>
          </w:p>
        </w:tc>
        <w:tc>
          <w:tcPr>
            <w:tcW w:w="1160" w:type="dxa"/>
            <w:tcBorders>
              <w:top w:val="nil"/>
              <w:left w:val="nil"/>
              <w:bottom w:val="nil"/>
              <w:right w:val="nil"/>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13</w:t>
            </w:r>
          </w:p>
        </w:tc>
        <w:tc>
          <w:tcPr>
            <w:tcW w:w="1160" w:type="dxa"/>
            <w:tcBorders>
              <w:top w:val="nil"/>
              <w:left w:val="nil"/>
              <w:bottom w:val="nil"/>
              <w:right w:val="single" w:sz="8" w:space="0" w:color="auto"/>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25</w:t>
            </w:r>
          </w:p>
        </w:tc>
      </w:tr>
      <w:tr w:rsidR="00BD72D5" w:rsidRPr="0096370D" w:rsidTr="0035690B">
        <w:trPr>
          <w:trHeight w:val="315"/>
        </w:trPr>
        <w:tc>
          <w:tcPr>
            <w:tcW w:w="1680" w:type="dxa"/>
            <w:tcBorders>
              <w:top w:val="nil"/>
              <w:left w:val="single" w:sz="8" w:space="0" w:color="auto"/>
              <w:bottom w:val="single" w:sz="8" w:space="0" w:color="auto"/>
              <w:right w:val="nil"/>
            </w:tcBorders>
            <w:shd w:val="clear" w:color="auto" w:fill="auto"/>
            <w:hideMark/>
          </w:tcPr>
          <w:p w:rsidR="00BD72D5" w:rsidRPr="0096370D" w:rsidRDefault="00BD72D5" w:rsidP="0035690B">
            <w:pPr>
              <w:spacing w:after="0" w:line="240" w:lineRule="auto"/>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Tveksam, vet ej</w:t>
            </w:r>
          </w:p>
        </w:tc>
        <w:tc>
          <w:tcPr>
            <w:tcW w:w="1160" w:type="dxa"/>
            <w:tcBorders>
              <w:top w:val="nil"/>
              <w:left w:val="nil"/>
              <w:bottom w:val="single" w:sz="8" w:space="0" w:color="auto"/>
              <w:right w:val="nil"/>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1</w:t>
            </w:r>
          </w:p>
        </w:tc>
        <w:tc>
          <w:tcPr>
            <w:tcW w:w="1160" w:type="dxa"/>
            <w:tcBorders>
              <w:top w:val="nil"/>
              <w:left w:val="nil"/>
              <w:bottom w:val="single" w:sz="8" w:space="0" w:color="auto"/>
              <w:right w:val="single" w:sz="8" w:space="0" w:color="auto"/>
            </w:tcBorders>
            <w:shd w:val="clear" w:color="auto" w:fill="auto"/>
            <w:noWrap/>
            <w:vAlign w:val="bottom"/>
            <w:hideMark/>
          </w:tcPr>
          <w:p w:rsidR="00BD72D5" w:rsidRPr="0096370D" w:rsidRDefault="00BD72D5" w:rsidP="0035690B">
            <w:pPr>
              <w:spacing w:after="0" w:line="240" w:lineRule="auto"/>
              <w:jc w:val="right"/>
              <w:rPr>
                <w:rFonts w:ascii="Agenda light" w:eastAsia="Times New Roman" w:hAnsi="Agenda light" w:cs="Times New Roman"/>
                <w:sz w:val="20"/>
                <w:szCs w:val="20"/>
                <w:lang w:eastAsia="sv-SE"/>
              </w:rPr>
            </w:pPr>
            <w:r w:rsidRPr="0096370D">
              <w:rPr>
                <w:rFonts w:ascii="Agenda light" w:eastAsia="Times New Roman" w:hAnsi="Agenda light" w:cs="Times New Roman"/>
                <w:sz w:val="20"/>
                <w:szCs w:val="20"/>
                <w:lang w:eastAsia="sv-SE"/>
              </w:rPr>
              <w:t>1</w:t>
            </w:r>
          </w:p>
        </w:tc>
      </w:tr>
    </w:tbl>
    <w:p w:rsidR="00261D1C" w:rsidRPr="00986058" w:rsidRDefault="00261D1C" w:rsidP="00637A10">
      <w:pPr>
        <w:autoSpaceDE w:val="0"/>
        <w:autoSpaceDN w:val="0"/>
        <w:adjustRightInd w:val="0"/>
        <w:spacing w:after="0" w:line="240" w:lineRule="auto"/>
        <w:rPr>
          <w:rFonts w:ascii="Franklin Gothic Book" w:hAnsi="Franklin Gothic Book" w:cstheme="minorHAnsi"/>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BD72D5" w:rsidRDefault="00BD72D5" w:rsidP="00637A10">
      <w:pPr>
        <w:autoSpaceDE w:val="0"/>
        <w:autoSpaceDN w:val="0"/>
        <w:adjustRightInd w:val="0"/>
        <w:spacing w:after="0" w:line="240" w:lineRule="auto"/>
        <w:rPr>
          <w:rFonts w:ascii="Franklin Gothic Book" w:hAnsi="Franklin Gothic Book" w:cstheme="minorHAnsi"/>
          <w:b/>
          <w:bCs/>
          <w:color w:val="000000"/>
          <w:sz w:val="24"/>
          <w:szCs w:val="24"/>
        </w:rPr>
      </w:pPr>
    </w:p>
    <w:p w:rsidR="00637A10" w:rsidRPr="00901DC4" w:rsidRDefault="00637A10" w:rsidP="00901DC4">
      <w:pPr>
        <w:pStyle w:val="Rubrik2"/>
        <w:rPr>
          <w:rFonts w:ascii="Franklin Gothic Book" w:hAnsi="Franklin Gothic Book"/>
          <w:b w:val="0"/>
          <w:bCs w:val="0"/>
          <w:color w:val="auto"/>
          <w:sz w:val="24"/>
          <w:szCs w:val="24"/>
        </w:rPr>
      </w:pPr>
      <w:r w:rsidRPr="00901DC4">
        <w:rPr>
          <w:rFonts w:ascii="Franklin Gothic Book" w:hAnsi="Franklin Gothic Book"/>
          <w:color w:val="auto"/>
          <w:sz w:val="24"/>
          <w:szCs w:val="24"/>
        </w:rPr>
        <w:t>Lönsamhetsindex</w:t>
      </w:r>
    </w:p>
    <w:p w:rsidR="00637A10" w:rsidRPr="0096370D" w:rsidRDefault="00637A10" w:rsidP="00637A10">
      <w:pPr>
        <w:autoSpaceDE w:val="0"/>
        <w:autoSpaceDN w:val="0"/>
        <w:adjustRightInd w:val="0"/>
        <w:spacing w:after="0" w:line="240" w:lineRule="auto"/>
        <w:rPr>
          <w:rFonts w:ascii="Franklin Gothic Book" w:hAnsi="Franklin Gothic Book" w:cstheme="minorHAnsi"/>
          <w:color w:val="000000"/>
          <w:sz w:val="20"/>
          <w:szCs w:val="20"/>
        </w:rPr>
      </w:pPr>
      <w:r w:rsidRPr="0096370D">
        <w:rPr>
          <w:rFonts w:ascii="Franklin Gothic Book" w:hAnsi="Franklin Gothic Book" w:cstheme="minorHAnsi"/>
          <w:color w:val="000000"/>
          <w:sz w:val="20"/>
          <w:szCs w:val="20"/>
        </w:rPr>
        <w:t>Varje år redovisar Lantbruk</w:t>
      </w:r>
      <w:r w:rsidR="0096370D">
        <w:rPr>
          <w:rFonts w:ascii="Franklin Gothic Book" w:hAnsi="Franklin Gothic Book" w:cstheme="minorHAnsi"/>
          <w:color w:val="000000"/>
          <w:sz w:val="20"/>
          <w:szCs w:val="20"/>
        </w:rPr>
        <w:t xml:space="preserve">sbarometern ett lönsamhetsindex </w:t>
      </w:r>
      <w:r w:rsidRPr="0096370D">
        <w:rPr>
          <w:rFonts w:ascii="Franklin Gothic Book" w:hAnsi="Franklin Gothic Book" w:cstheme="minorHAnsi"/>
          <w:color w:val="000000"/>
          <w:sz w:val="20"/>
          <w:szCs w:val="20"/>
        </w:rPr>
        <w:t>(nettotal). Detta i</w:t>
      </w:r>
      <w:r w:rsidR="0096370D">
        <w:rPr>
          <w:rFonts w:ascii="Franklin Gothic Book" w:hAnsi="Franklin Gothic Book" w:cstheme="minorHAnsi"/>
          <w:color w:val="000000"/>
          <w:sz w:val="20"/>
          <w:szCs w:val="20"/>
        </w:rPr>
        <w:t xml:space="preserve">ndex är beräknat som skillnaden </w:t>
      </w:r>
      <w:r w:rsidRPr="0096370D">
        <w:rPr>
          <w:rFonts w:ascii="Franklin Gothic Book" w:hAnsi="Franklin Gothic Book" w:cstheme="minorHAnsi"/>
          <w:color w:val="000000"/>
          <w:sz w:val="20"/>
          <w:szCs w:val="20"/>
        </w:rPr>
        <w:t xml:space="preserve">mellan andelen som svarat </w:t>
      </w:r>
      <w:r w:rsidR="0096370D">
        <w:rPr>
          <w:rFonts w:ascii="Franklin Gothic Book" w:hAnsi="Franklin Gothic Book" w:cstheme="minorHAnsi"/>
          <w:color w:val="000000"/>
          <w:sz w:val="20"/>
          <w:szCs w:val="20"/>
        </w:rPr>
        <w:t xml:space="preserve">”mycket god” eller ”ganska god” </w:t>
      </w:r>
      <w:r w:rsidRPr="0096370D">
        <w:rPr>
          <w:rFonts w:ascii="Franklin Gothic Book" w:hAnsi="Franklin Gothic Book" w:cstheme="minorHAnsi"/>
          <w:color w:val="000000"/>
          <w:sz w:val="20"/>
          <w:szCs w:val="20"/>
        </w:rPr>
        <w:t>och andelen som svarat ”ganska dålig” eller ”mycket dålig”.</w:t>
      </w:r>
    </w:p>
    <w:p w:rsidR="0023263D" w:rsidRDefault="0023263D" w:rsidP="00637A10">
      <w:pPr>
        <w:autoSpaceDE w:val="0"/>
        <w:autoSpaceDN w:val="0"/>
        <w:adjustRightInd w:val="0"/>
        <w:spacing w:after="0" w:line="240" w:lineRule="auto"/>
        <w:rPr>
          <w:rFonts w:ascii="Franklin Gothic Book" w:hAnsi="Franklin Gothic Book" w:cstheme="minorHAnsi"/>
          <w:color w:val="000000"/>
          <w:sz w:val="20"/>
          <w:szCs w:val="20"/>
        </w:rPr>
      </w:pPr>
    </w:p>
    <w:p w:rsidR="00637A10" w:rsidRPr="0096370D" w:rsidRDefault="00637A10" w:rsidP="00637A10">
      <w:pPr>
        <w:autoSpaceDE w:val="0"/>
        <w:autoSpaceDN w:val="0"/>
        <w:adjustRightInd w:val="0"/>
        <w:spacing w:after="0" w:line="240" w:lineRule="auto"/>
        <w:rPr>
          <w:rFonts w:ascii="Franklin Gothic Book" w:hAnsi="Franklin Gothic Book" w:cstheme="minorHAnsi"/>
          <w:color w:val="000000"/>
          <w:sz w:val="20"/>
          <w:szCs w:val="20"/>
        </w:rPr>
      </w:pPr>
      <w:r w:rsidRPr="0096370D">
        <w:rPr>
          <w:rFonts w:ascii="Franklin Gothic Book" w:hAnsi="Franklin Gothic Book" w:cstheme="minorHAnsi"/>
          <w:color w:val="000000"/>
          <w:sz w:val="20"/>
          <w:szCs w:val="20"/>
        </w:rPr>
        <w:t xml:space="preserve">Lönsamhetsindex har </w:t>
      </w:r>
      <w:r w:rsidR="0096370D">
        <w:rPr>
          <w:rFonts w:ascii="Franklin Gothic Book" w:hAnsi="Franklin Gothic Book" w:cstheme="minorHAnsi"/>
          <w:color w:val="000000"/>
          <w:sz w:val="20"/>
          <w:szCs w:val="20"/>
        </w:rPr>
        <w:t xml:space="preserve">under </w:t>
      </w:r>
      <w:r w:rsidRPr="0096370D">
        <w:rPr>
          <w:rFonts w:ascii="Franklin Gothic Book" w:hAnsi="Franklin Gothic Book" w:cstheme="minorHAnsi"/>
          <w:color w:val="000000"/>
          <w:sz w:val="20"/>
          <w:szCs w:val="20"/>
        </w:rPr>
        <w:t xml:space="preserve">året minskat med </w:t>
      </w:r>
      <w:r w:rsidR="0096370D">
        <w:rPr>
          <w:rFonts w:ascii="Franklin Gothic Book" w:hAnsi="Franklin Gothic Book" w:cstheme="minorHAnsi"/>
          <w:color w:val="000000"/>
          <w:sz w:val="20"/>
          <w:szCs w:val="20"/>
        </w:rPr>
        <w:t xml:space="preserve">16 </w:t>
      </w:r>
      <w:r w:rsidRPr="0096370D">
        <w:rPr>
          <w:rFonts w:ascii="Franklin Gothic Book" w:hAnsi="Franklin Gothic Book" w:cstheme="minorHAnsi"/>
          <w:color w:val="000000"/>
          <w:sz w:val="20"/>
          <w:szCs w:val="20"/>
        </w:rPr>
        <w:t xml:space="preserve">procentenheter, från minus </w:t>
      </w:r>
      <w:r w:rsidR="00676673">
        <w:rPr>
          <w:rFonts w:ascii="Franklin Gothic Book" w:hAnsi="Franklin Gothic Book" w:cstheme="minorHAnsi"/>
          <w:color w:val="000000"/>
          <w:sz w:val="20"/>
          <w:szCs w:val="20"/>
        </w:rPr>
        <w:t>17</w:t>
      </w:r>
      <w:r w:rsidRPr="0096370D">
        <w:rPr>
          <w:rFonts w:ascii="Franklin Gothic Book" w:hAnsi="Franklin Gothic Book" w:cstheme="minorHAnsi"/>
          <w:color w:val="000000"/>
          <w:sz w:val="20"/>
          <w:szCs w:val="20"/>
        </w:rPr>
        <w:t xml:space="preserve"> till minus </w:t>
      </w:r>
      <w:r w:rsidR="00676673">
        <w:rPr>
          <w:rFonts w:ascii="Franklin Gothic Book" w:hAnsi="Franklin Gothic Book" w:cstheme="minorHAnsi"/>
          <w:color w:val="000000"/>
          <w:sz w:val="20"/>
          <w:szCs w:val="20"/>
        </w:rPr>
        <w:t>33. Nettotalet är negativt,</w:t>
      </w:r>
      <w:r w:rsidR="004E01F3">
        <w:rPr>
          <w:rFonts w:ascii="Franklin Gothic Book" w:hAnsi="Franklin Gothic Book" w:cstheme="minorHAnsi"/>
          <w:color w:val="000000"/>
          <w:sz w:val="20"/>
          <w:szCs w:val="20"/>
        </w:rPr>
        <w:t xml:space="preserve"> </w:t>
      </w:r>
      <w:r w:rsidRPr="0096370D">
        <w:rPr>
          <w:rFonts w:ascii="Franklin Gothic Book" w:hAnsi="Franklin Gothic Book" w:cstheme="minorHAnsi"/>
          <w:color w:val="000000"/>
          <w:sz w:val="20"/>
          <w:szCs w:val="20"/>
        </w:rPr>
        <w:t>vilket innebär att fler anser att lönsamheten är dålig.</w:t>
      </w:r>
      <w:r w:rsidR="00BD72D5">
        <w:rPr>
          <w:rFonts w:ascii="Franklin Gothic Book" w:hAnsi="Franklin Gothic Book" w:cstheme="minorHAnsi"/>
          <w:color w:val="000000"/>
          <w:sz w:val="20"/>
          <w:szCs w:val="20"/>
        </w:rPr>
        <w:t xml:space="preserve"> Se diagram 1</w:t>
      </w:r>
    </w:p>
    <w:p w:rsidR="00583F51" w:rsidRDefault="00583F51"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676673" w:rsidRPr="0096370D" w:rsidRDefault="00676673" w:rsidP="00637A10">
      <w:pPr>
        <w:autoSpaceDE w:val="0"/>
        <w:autoSpaceDN w:val="0"/>
        <w:adjustRightInd w:val="0"/>
        <w:spacing w:after="0" w:line="240" w:lineRule="auto"/>
        <w:rPr>
          <w:rFonts w:ascii="Franklin Gothic Book" w:hAnsi="Franklin Gothic Book" w:cstheme="minorHAnsi"/>
          <w:color w:val="000000"/>
          <w:sz w:val="20"/>
          <w:szCs w:val="20"/>
        </w:rPr>
      </w:pPr>
      <w:r w:rsidRPr="0096370D">
        <w:rPr>
          <w:rFonts w:ascii="Franklin Gothic Book" w:hAnsi="Franklin Gothic Book" w:cstheme="minorHAnsi"/>
          <w:b/>
          <w:bCs/>
          <w:color w:val="000000"/>
          <w:sz w:val="20"/>
          <w:szCs w:val="20"/>
        </w:rPr>
        <w:t>DIAGRAM 1</w:t>
      </w:r>
    </w:p>
    <w:p w:rsidR="005B28E7" w:rsidRPr="00986058" w:rsidRDefault="006A47E1" w:rsidP="00637A10">
      <w:pPr>
        <w:autoSpaceDE w:val="0"/>
        <w:autoSpaceDN w:val="0"/>
        <w:adjustRightInd w:val="0"/>
        <w:spacing w:after="0" w:line="240" w:lineRule="auto"/>
        <w:rPr>
          <w:rFonts w:ascii="Franklin Gothic Book" w:hAnsi="Franklin Gothic Book" w:cstheme="minorHAnsi"/>
          <w:color w:val="000000"/>
          <w:sz w:val="20"/>
          <w:szCs w:val="20"/>
        </w:rPr>
      </w:pPr>
      <w:r>
        <w:rPr>
          <w:noProof/>
          <w:lang w:eastAsia="sv-SE"/>
        </w:rPr>
        <w:drawing>
          <wp:inline distT="0" distB="0" distL="0" distR="0" wp14:anchorId="735419EE" wp14:editId="7C73A8BB">
            <wp:extent cx="5836257" cy="2417197"/>
            <wp:effectExtent l="0" t="0" r="12700" b="2159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28E7" w:rsidRPr="00676673" w:rsidRDefault="005B28E7" w:rsidP="00637A10">
      <w:pPr>
        <w:autoSpaceDE w:val="0"/>
        <w:autoSpaceDN w:val="0"/>
        <w:adjustRightInd w:val="0"/>
        <w:spacing w:after="0" w:line="240" w:lineRule="auto"/>
        <w:rPr>
          <w:rFonts w:ascii="Franklin Gothic Book" w:hAnsi="Franklin Gothic Book" w:cstheme="minorHAnsi"/>
          <w:b/>
          <w:bCs/>
          <w:color w:val="FFFFFF"/>
          <w:sz w:val="18"/>
          <w:szCs w:val="18"/>
        </w:rPr>
      </w:pPr>
    </w:p>
    <w:p w:rsidR="00BD72D5" w:rsidRDefault="00BD72D5" w:rsidP="00F74ADD">
      <w:pPr>
        <w:rPr>
          <w:rFonts w:ascii="Franklin Gothic Book" w:hAnsi="Franklin Gothic Book" w:cstheme="minorHAnsi"/>
          <w:b/>
          <w:bCs/>
          <w:color w:val="000000"/>
          <w:sz w:val="24"/>
          <w:szCs w:val="24"/>
        </w:rPr>
      </w:pPr>
    </w:p>
    <w:p w:rsidR="00637A10" w:rsidRPr="00901DC4" w:rsidRDefault="00637A10" w:rsidP="00901DC4">
      <w:pPr>
        <w:pStyle w:val="Rubrik2"/>
        <w:rPr>
          <w:rFonts w:ascii="Franklin Gothic Book" w:hAnsi="Franklin Gothic Book"/>
          <w:b w:val="0"/>
          <w:bCs w:val="0"/>
          <w:color w:val="auto"/>
          <w:sz w:val="24"/>
          <w:szCs w:val="24"/>
        </w:rPr>
      </w:pPr>
      <w:r w:rsidRPr="00901DC4">
        <w:rPr>
          <w:rFonts w:ascii="Franklin Gothic Book" w:hAnsi="Franklin Gothic Book"/>
          <w:color w:val="auto"/>
          <w:sz w:val="24"/>
          <w:szCs w:val="24"/>
        </w:rPr>
        <w:t>Lönsamheten inom de olika produktionsgrenarna</w:t>
      </w:r>
    </w:p>
    <w:p w:rsidR="00313207" w:rsidRPr="00676673" w:rsidRDefault="00313207" w:rsidP="00313207">
      <w:pPr>
        <w:autoSpaceDE w:val="0"/>
        <w:autoSpaceDN w:val="0"/>
        <w:adjustRightInd w:val="0"/>
        <w:spacing w:after="0" w:line="240" w:lineRule="auto"/>
        <w:rPr>
          <w:rFonts w:ascii="Franklin Gothic Book" w:hAnsi="Franklin Gothic Book" w:cstheme="minorHAnsi"/>
          <w:color w:val="000000"/>
          <w:sz w:val="20"/>
          <w:szCs w:val="20"/>
        </w:rPr>
      </w:pPr>
      <w:r w:rsidRPr="00676673">
        <w:rPr>
          <w:rFonts w:ascii="Franklin Gothic Book" w:hAnsi="Franklin Gothic Book" w:cstheme="minorHAnsi"/>
          <w:color w:val="000000"/>
          <w:sz w:val="20"/>
          <w:szCs w:val="20"/>
        </w:rPr>
        <w:t>Mjölk</w:t>
      </w:r>
      <w:r w:rsidR="00637A10" w:rsidRPr="00676673">
        <w:rPr>
          <w:rFonts w:ascii="Franklin Gothic Book" w:hAnsi="Franklin Gothic Book" w:cstheme="minorHAnsi"/>
          <w:color w:val="000000"/>
          <w:sz w:val="20"/>
          <w:szCs w:val="20"/>
        </w:rPr>
        <w:t>produce</w:t>
      </w:r>
      <w:r w:rsidR="00676673">
        <w:rPr>
          <w:rFonts w:ascii="Franklin Gothic Book" w:hAnsi="Franklin Gothic Book" w:cstheme="minorHAnsi"/>
          <w:color w:val="000000"/>
          <w:sz w:val="20"/>
          <w:szCs w:val="20"/>
        </w:rPr>
        <w:t xml:space="preserve">nterna upplever att lönsamheten </w:t>
      </w:r>
      <w:r w:rsidR="00637A10" w:rsidRPr="00676673">
        <w:rPr>
          <w:rFonts w:ascii="Franklin Gothic Book" w:hAnsi="Franklin Gothic Book" w:cstheme="minorHAnsi"/>
          <w:color w:val="000000"/>
          <w:sz w:val="20"/>
          <w:szCs w:val="20"/>
        </w:rPr>
        <w:t>har blivit sämre.</w:t>
      </w:r>
      <w:r w:rsidRPr="00676673">
        <w:rPr>
          <w:rFonts w:ascii="Franklin Gothic Book" w:hAnsi="Franklin Gothic Book" w:cstheme="minorHAnsi"/>
          <w:color w:val="000000"/>
          <w:sz w:val="20"/>
          <w:szCs w:val="20"/>
        </w:rPr>
        <w:t xml:space="preserve"> Lönsamhetsindex ligger på -100 vilket innebär att samtliga tillfrågade har svarat att lönsamheten är ganska eller mycket dålig. Nöt</w:t>
      </w:r>
      <w:r w:rsidR="003B7B08">
        <w:rPr>
          <w:rFonts w:ascii="Franklin Gothic Book" w:hAnsi="Franklin Gothic Book" w:cstheme="minorHAnsi"/>
          <w:color w:val="000000"/>
          <w:sz w:val="20"/>
          <w:szCs w:val="20"/>
        </w:rPr>
        <w:t>kötts</w:t>
      </w:r>
      <w:r w:rsidRPr="00676673">
        <w:rPr>
          <w:rFonts w:ascii="Franklin Gothic Book" w:hAnsi="Franklin Gothic Book" w:cstheme="minorHAnsi"/>
          <w:color w:val="000000"/>
          <w:sz w:val="20"/>
          <w:szCs w:val="20"/>
        </w:rPr>
        <w:t>- och gris</w:t>
      </w:r>
      <w:r w:rsidR="003B7B08">
        <w:rPr>
          <w:rFonts w:ascii="Franklin Gothic Book" w:hAnsi="Franklin Gothic Book" w:cstheme="minorHAnsi"/>
          <w:color w:val="000000"/>
          <w:sz w:val="20"/>
          <w:szCs w:val="20"/>
        </w:rPr>
        <w:t>kötts</w:t>
      </w:r>
      <w:r w:rsidRPr="00676673">
        <w:rPr>
          <w:rFonts w:ascii="Franklin Gothic Book" w:hAnsi="Franklin Gothic Book" w:cstheme="minorHAnsi"/>
          <w:color w:val="000000"/>
          <w:sz w:val="20"/>
          <w:szCs w:val="20"/>
        </w:rPr>
        <w:t xml:space="preserve">producenter upplever också att lönsamheten har försämrats sedan våren 2012. Lönsamhetsindex har minskat till -59 respektive -58 enheter. Växtodlingsföretagen </w:t>
      </w:r>
      <w:r w:rsidR="003B7B08">
        <w:rPr>
          <w:rFonts w:ascii="Franklin Gothic Book" w:hAnsi="Franklin Gothic Book" w:cstheme="minorHAnsi"/>
          <w:color w:val="000000"/>
          <w:sz w:val="20"/>
          <w:szCs w:val="20"/>
        </w:rPr>
        <w:t xml:space="preserve">ser aningen positivare på lönsamheten jämfört med i våras, </w:t>
      </w:r>
      <w:r w:rsidRPr="00676673">
        <w:rPr>
          <w:rFonts w:ascii="Franklin Gothic Book" w:hAnsi="Franklin Gothic Book" w:cstheme="minorHAnsi"/>
          <w:color w:val="000000"/>
          <w:sz w:val="20"/>
          <w:szCs w:val="20"/>
        </w:rPr>
        <w:t xml:space="preserve">lönsamhetsindex </w:t>
      </w:r>
      <w:proofErr w:type="gramStart"/>
      <w:r w:rsidRPr="00676673">
        <w:rPr>
          <w:rFonts w:ascii="Franklin Gothic Book" w:hAnsi="Franklin Gothic Book" w:cstheme="minorHAnsi"/>
          <w:color w:val="000000"/>
          <w:sz w:val="20"/>
          <w:szCs w:val="20"/>
        </w:rPr>
        <w:t>är  0</w:t>
      </w:r>
      <w:proofErr w:type="gramEnd"/>
      <w:r w:rsidRPr="00676673">
        <w:rPr>
          <w:rFonts w:ascii="Franklin Gothic Book" w:hAnsi="Franklin Gothic Book" w:cstheme="minorHAnsi"/>
          <w:color w:val="000000"/>
          <w:sz w:val="20"/>
          <w:szCs w:val="20"/>
        </w:rPr>
        <w:t xml:space="preserve"> vilket i</w:t>
      </w:r>
      <w:r w:rsidR="00676673" w:rsidRPr="00676673">
        <w:rPr>
          <w:rFonts w:ascii="Franklin Gothic Book" w:hAnsi="Franklin Gothic Book" w:cstheme="minorHAnsi"/>
          <w:color w:val="000000"/>
          <w:sz w:val="20"/>
          <w:szCs w:val="20"/>
        </w:rPr>
        <w:t xml:space="preserve">nnebär att lika många anser att </w:t>
      </w:r>
      <w:r w:rsidRPr="00676673">
        <w:rPr>
          <w:rFonts w:ascii="Franklin Gothic Book" w:hAnsi="Franklin Gothic Book" w:cstheme="minorHAnsi"/>
          <w:color w:val="000000"/>
          <w:sz w:val="20"/>
          <w:szCs w:val="20"/>
        </w:rPr>
        <w:t>lönsamheten är bra som de som anser att lönsamheten är dålig.</w:t>
      </w:r>
      <w:r w:rsidR="00637A10" w:rsidRPr="00676673">
        <w:rPr>
          <w:rFonts w:ascii="Franklin Gothic Book" w:hAnsi="Franklin Gothic Book" w:cstheme="minorHAnsi"/>
          <w:color w:val="000000"/>
          <w:sz w:val="20"/>
          <w:szCs w:val="20"/>
        </w:rPr>
        <w:t xml:space="preserve"> </w:t>
      </w:r>
    </w:p>
    <w:p w:rsidR="00313207" w:rsidRPr="00676673" w:rsidRDefault="00637A10" w:rsidP="00637A10">
      <w:pPr>
        <w:autoSpaceDE w:val="0"/>
        <w:autoSpaceDN w:val="0"/>
        <w:adjustRightInd w:val="0"/>
        <w:spacing w:after="0" w:line="240" w:lineRule="auto"/>
        <w:rPr>
          <w:rFonts w:ascii="Franklin Gothic Book" w:hAnsi="Franklin Gothic Book" w:cstheme="minorHAnsi"/>
          <w:color w:val="000000"/>
          <w:sz w:val="20"/>
          <w:szCs w:val="20"/>
        </w:rPr>
      </w:pPr>
      <w:r w:rsidRPr="00676673">
        <w:rPr>
          <w:rFonts w:ascii="Franklin Gothic Book" w:hAnsi="Franklin Gothic Book" w:cstheme="minorHAnsi"/>
          <w:color w:val="000000"/>
          <w:sz w:val="20"/>
          <w:szCs w:val="20"/>
        </w:rPr>
        <w:t xml:space="preserve">Se </w:t>
      </w:r>
      <w:r w:rsidR="003B7B08">
        <w:rPr>
          <w:rFonts w:ascii="Franklin Gothic Book" w:hAnsi="Franklin Gothic Book" w:cstheme="minorHAnsi"/>
          <w:color w:val="000000"/>
          <w:sz w:val="20"/>
          <w:szCs w:val="20"/>
        </w:rPr>
        <w:t>diagram 2</w:t>
      </w:r>
    </w:p>
    <w:p w:rsidR="0023263D" w:rsidRDefault="0023263D" w:rsidP="00637A10">
      <w:pPr>
        <w:autoSpaceDE w:val="0"/>
        <w:autoSpaceDN w:val="0"/>
        <w:adjustRightInd w:val="0"/>
        <w:spacing w:after="0" w:line="240" w:lineRule="auto"/>
        <w:rPr>
          <w:rFonts w:ascii="Franklin Gothic Book" w:hAnsi="Franklin Gothic Book" w:cstheme="minorHAnsi"/>
          <w:b/>
          <w:color w:val="000000"/>
          <w:sz w:val="20"/>
          <w:szCs w:val="20"/>
        </w:rPr>
      </w:pPr>
    </w:p>
    <w:p w:rsidR="0023263D" w:rsidRPr="0023263D" w:rsidRDefault="00313207" w:rsidP="00637A10">
      <w:pPr>
        <w:autoSpaceDE w:val="0"/>
        <w:autoSpaceDN w:val="0"/>
        <w:adjustRightInd w:val="0"/>
        <w:spacing w:after="0" w:line="240" w:lineRule="auto"/>
        <w:rPr>
          <w:rFonts w:ascii="Franklin Gothic Book" w:hAnsi="Franklin Gothic Book" w:cstheme="minorHAnsi"/>
          <w:b/>
          <w:color w:val="000000"/>
          <w:sz w:val="20"/>
          <w:szCs w:val="20"/>
        </w:rPr>
      </w:pPr>
      <w:r w:rsidRPr="00676673">
        <w:rPr>
          <w:rFonts w:ascii="Franklin Gothic Book" w:hAnsi="Franklin Gothic Book" w:cstheme="minorHAnsi"/>
          <w:b/>
          <w:color w:val="000000"/>
          <w:sz w:val="20"/>
          <w:szCs w:val="20"/>
        </w:rPr>
        <w:t>DIAGRAM 2</w:t>
      </w:r>
    </w:p>
    <w:p w:rsidR="00313207" w:rsidRPr="00986058" w:rsidRDefault="006E3466" w:rsidP="00637A10">
      <w:pPr>
        <w:autoSpaceDE w:val="0"/>
        <w:autoSpaceDN w:val="0"/>
        <w:adjustRightInd w:val="0"/>
        <w:spacing w:after="0" w:line="240" w:lineRule="auto"/>
        <w:rPr>
          <w:rFonts w:ascii="Franklin Gothic Book" w:hAnsi="Franklin Gothic Book" w:cstheme="minorHAnsi"/>
          <w:color w:val="000000"/>
          <w:sz w:val="20"/>
          <w:szCs w:val="20"/>
        </w:rPr>
      </w:pPr>
      <w:r>
        <w:rPr>
          <w:noProof/>
          <w:lang w:eastAsia="sv-SE"/>
        </w:rPr>
        <w:drawing>
          <wp:inline distT="0" distB="0" distL="0" distR="0" wp14:anchorId="582C9AF1" wp14:editId="4240F9F3">
            <wp:extent cx="5971429" cy="2759103"/>
            <wp:effectExtent l="0" t="0" r="10795" b="222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4844" w:rsidRDefault="00F14844" w:rsidP="00962B22">
      <w:pPr>
        <w:rPr>
          <w:rFonts w:ascii="Franklin Gothic Book" w:hAnsi="Franklin Gothic Book" w:cstheme="minorHAnsi"/>
          <w:b/>
          <w:color w:val="000000"/>
          <w:sz w:val="20"/>
          <w:szCs w:val="20"/>
        </w:rPr>
      </w:pPr>
    </w:p>
    <w:p w:rsidR="00670FAD" w:rsidRPr="00901DC4" w:rsidRDefault="00670FAD" w:rsidP="00901DC4">
      <w:pPr>
        <w:pStyle w:val="Rubrik2"/>
        <w:rPr>
          <w:rFonts w:ascii="Franklin Gothic Book" w:hAnsi="Franklin Gothic Book"/>
          <w:b w:val="0"/>
          <w:color w:val="auto"/>
          <w:sz w:val="24"/>
          <w:szCs w:val="24"/>
        </w:rPr>
      </w:pPr>
      <w:r w:rsidRPr="00901DC4">
        <w:rPr>
          <w:rFonts w:ascii="Franklin Gothic Book" w:hAnsi="Franklin Gothic Book"/>
          <w:color w:val="auto"/>
          <w:sz w:val="24"/>
          <w:szCs w:val="24"/>
        </w:rPr>
        <w:t>Framtidstro</w:t>
      </w:r>
    </w:p>
    <w:p w:rsidR="00962B22" w:rsidRDefault="00986058" w:rsidP="00962B22">
      <w:pPr>
        <w:rPr>
          <w:rFonts w:ascii="Franklin Gothic Book" w:hAnsi="Franklin Gothic Book" w:cstheme="minorHAnsi"/>
          <w:b/>
          <w:color w:val="000000"/>
          <w:sz w:val="20"/>
          <w:szCs w:val="20"/>
        </w:rPr>
      </w:pPr>
      <w:r w:rsidRPr="00986058">
        <w:rPr>
          <w:rFonts w:ascii="Franklin Gothic Book" w:hAnsi="Franklin Gothic Book" w:cstheme="minorHAnsi"/>
          <w:color w:val="000000"/>
          <w:sz w:val="20"/>
          <w:szCs w:val="20"/>
        </w:rPr>
        <w:t>Lantbrukarna har tillfrågats om sin tro på framtida lönsamhet.</w:t>
      </w:r>
      <w:r w:rsidR="00962B22" w:rsidRPr="00986058">
        <w:rPr>
          <w:rFonts w:ascii="Franklin Gothic Book" w:hAnsi="Franklin Gothic Book" w:cstheme="minorHAnsi"/>
          <w:color w:val="000000"/>
          <w:sz w:val="20"/>
          <w:szCs w:val="20"/>
        </w:rPr>
        <w:t xml:space="preserve"> </w:t>
      </w:r>
      <w:r w:rsidRPr="00986058">
        <w:rPr>
          <w:rFonts w:ascii="Franklin Gothic Book" w:hAnsi="Franklin Gothic Book" w:cstheme="minorHAnsi"/>
          <w:color w:val="000000"/>
          <w:sz w:val="20"/>
          <w:szCs w:val="20"/>
        </w:rPr>
        <w:t xml:space="preserve">De har kunnat </w:t>
      </w:r>
      <w:r w:rsidR="00676673">
        <w:rPr>
          <w:rFonts w:ascii="Franklin Gothic Book" w:hAnsi="Franklin Gothic Book" w:cstheme="minorHAnsi"/>
          <w:color w:val="000000"/>
          <w:sz w:val="20"/>
          <w:szCs w:val="20"/>
        </w:rPr>
        <w:t xml:space="preserve">välja mellan svarsalternativen: </w:t>
      </w:r>
      <w:r w:rsidRPr="00986058">
        <w:rPr>
          <w:rFonts w:ascii="Franklin Gothic Book" w:hAnsi="Franklin Gothic Book" w:cstheme="minorHAnsi"/>
          <w:color w:val="000000"/>
          <w:sz w:val="20"/>
          <w:szCs w:val="20"/>
        </w:rPr>
        <w:t>Mycket god, ganska god, ganska dålig, myc</w:t>
      </w:r>
      <w:r w:rsidR="00676673">
        <w:rPr>
          <w:rFonts w:ascii="Franklin Gothic Book" w:hAnsi="Franklin Gothic Book" w:cstheme="minorHAnsi"/>
          <w:color w:val="000000"/>
          <w:sz w:val="20"/>
          <w:szCs w:val="20"/>
        </w:rPr>
        <w:t>ket dålig eller tveksam/vet ej.</w:t>
      </w:r>
      <w:r w:rsidR="00670FAD">
        <w:rPr>
          <w:rFonts w:ascii="Franklin Gothic Book" w:hAnsi="Franklin Gothic Book" w:cstheme="minorHAnsi"/>
          <w:b/>
          <w:color w:val="000000"/>
          <w:sz w:val="20"/>
          <w:szCs w:val="20"/>
        </w:rPr>
        <w:t xml:space="preserve"> </w:t>
      </w:r>
      <w:r w:rsidRPr="00986058">
        <w:rPr>
          <w:rFonts w:ascii="Franklin Gothic Book" w:hAnsi="Franklin Gothic Book" w:cstheme="minorHAnsi"/>
          <w:color w:val="000000"/>
          <w:sz w:val="20"/>
          <w:szCs w:val="20"/>
        </w:rPr>
        <w:t>Bland lantbrukarna totalt tror 0 procent att lönsamheten om ett år kommer att vara mycket god, 35 procent att lönsamheten kommer att vara ganska god, 48 procent att den kommer vara ganska dålig och 15 procent mycket dålig</w:t>
      </w:r>
      <w:r w:rsidR="00F115B8">
        <w:rPr>
          <w:rFonts w:ascii="Franklin Gothic Book" w:hAnsi="Franklin Gothic Book" w:cstheme="minorHAnsi"/>
          <w:color w:val="000000"/>
          <w:sz w:val="20"/>
          <w:szCs w:val="20"/>
        </w:rPr>
        <w:t>.</w:t>
      </w:r>
      <w:r w:rsidR="003B7B08">
        <w:rPr>
          <w:rFonts w:ascii="Franklin Gothic Book" w:hAnsi="Franklin Gothic Book" w:cstheme="minorHAnsi"/>
          <w:color w:val="000000"/>
          <w:sz w:val="20"/>
          <w:szCs w:val="20"/>
        </w:rPr>
        <w:t xml:space="preserve"> Se tabell 2</w:t>
      </w:r>
    </w:p>
    <w:tbl>
      <w:tblPr>
        <w:tblpPr w:leftFromText="141" w:rightFromText="141" w:vertAnchor="text" w:horzAnchor="page" w:tblpX="1558" w:tblpY="360"/>
        <w:tblW w:w="3047" w:type="dxa"/>
        <w:tblCellMar>
          <w:left w:w="70" w:type="dxa"/>
          <w:right w:w="70" w:type="dxa"/>
        </w:tblCellMar>
        <w:tblLook w:val="04A0" w:firstRow="1" w:lastRow="0" w:firstColumn="1" w:lastColumn="0" w:noHBand="0" w:noVBand="1"/>
      </w:tblPr>
      <w:tblGrid>
        <w:gridCol w:w="1607"/>
        <w:gridCol w:w="1440"/>
      </w:tblGrid>
      <w:tr w:rsidR="00962B22" w:rsidRPr="00986058" w:rsidTr="00962B22">
        <w:trPr>
          <w:trHeight w:val="273"/>
        </w:trPr>
        <w:tc>
          <w:tcPr>
            <w:tcW w:w="1607" w:type="dxa"/>
            <w:tcBorders>
              <w:top w:val="nil"/>
              <w:left w:val="nil"/>
              <w:bottom w:val="nil"/>
              <w:right w:val="nil"/>
            </w:tcBorders>
            <w:shd w:val="clear" w:color="auto" w:fill="auto"/>
            <w:noWrap/>
            <w:vAlign w:val="bottom"/>
            <w:hideMark/>
          </w:tcPr>
          <w:p w:rsidR="00962B22" w:rsidRPr="00676673" w:rsidRDefault="00962B22" w:rsidP="00962B22">
            <w:pPr>
              <w:spacing w:after="0" w:line="240" w:lineRule="auto"/>
              <w:rPr>
                <w:rFonts w:ascii="Franklin Gothic Book" w:eastAsia="Times New Roman" w:hAnsi="Franklin Gothic Book" w:cstheme="minorHAnsi"/>
                <w:b/>
                <w:color w:val="000000"/>
                <w:sz w:val="20"/>
                <w:szCs w:val="20"/>
                <w:lang w:eastAsia="sv-SE"/>
              </w:rPr>
            </w:pPr>
            <w:r w:rsidRPr="00676673">
              <w:rPr>
                <w:rFonts w:ascii="Franklin Gothic Book" w:eastAsia="Times New Roman" w:hAnsi="Franklin Gothic Book" w:cstheme="minorHAnsi"/>
                <w:b/>
                <w:color w:val="000000"/>
                <w:sz w:val="20"/>
                <w:szCs w:val="20"/>
                <w:lang w:eastAsia="sv-SE"/>
              </w:rPr>
              <w:t>TABELL 2</w:t>
            </w:r>
          </w:p>
        </w:tc>
        <w:tc>
          <w:tcPr>
            <w:tcW w:w="1440" w:type="dxa"/>
            <w:tcBorders>
              <w:top w:val="nil"/>
              <w:left w:val="nil"/>
              <w:bottom w:val="nil"/>
              <w:right w:val="nil"/>
            </w:tcBorders>
            <w:shd w:val="clear" w:color="auto" w:fill="auto"/>
            <w:noWrap/>
            <w:vAlign w:val="bottom"/>
            <w:hideMark/>
          </w:tcPr>
          <w:p w:rsidR="00962B22" w:rsidRPr="00986058" w:rsidRDefault="00962B22" w:rsidP="00962B22">
            <w:pPr>
              <w:spacing w:after="0" w:line="240" w:lineRule="auto"/>
              <w:rPr>
                <w:rFonts w:eastAsia="Times New Roman" w:cstheme="minorHAnsi"/>
                <w:color w:val="000000"/>
                <w:lang w:eastAsia="sv-SE"/>
              </w:rPr>
            </w:pPr>
          </w:p>
        </w:tc>
      </w:tr>
      <w:tr w:rsidR="00962B22" w:rsidRPr="00986058" w:rsidTr="00962B22">
        <w:trPr>
          <w:trHeight w:val="260"/>
        </w:trPr>
        <w:tc>
          <w:tcPr>
            <w:tcW w:w="3047" w:type="dxa"/>
            <w:gridSpan w:val="2"/>
            <w:tcBorders>
              <w:top w:val="single" w:sz="8" w:space="0" w:color="auto"/>
              <w:left w:val="single" w:sz="8" w:space="0" w:color="auto"/>
              <w:bottom w:val="nil"/>
              <w:right w:val="single" w:sz="8" w:space="0" w:color="000000"/>
            </w:tcBorders>
            <w:shd w:val="clear" w:color="auto" w:fill="auto"/>
            <w:vAlign w:val="bottom"/>
            <w:hideMark/>
          </w:tcPr>
          <w:p w:rsidR="00962B22" w:rsidRPr="00986058" w:rsidRDefault="00962B22" w:rsidP="00962B22">
            <w:pPr>
              <w:spacing w:after="0" w:line="240" w:lineRule="auto"/>
              <w:jc w:val="center"/>
              <w:rPr>
                <w:rFonts w:eastAsia="Times New Roman" w:cstheme="minorHAnsi"/>
                <w:sz w:val="20"/>
                <w:szCs w:val="20"/>
                <w:lang w:eastAsia="sv-SE"/>
              </w:rPr>
            </w:pPr>
            <w:r w:rsidRPr="00986058">
              <w:rPr>
                <w:rFonts w:eastAsia="Times New Roman" w:cstheme="minorHAnsi"/>
                <w:sz w:val="20"/>
                <w:szCs w:val="20"/>
                <w:lang w:eastAsia="sv-SE"/>
              </w:rPr>
              <w:t>Lönsamheten om ett år</w:t>
            </w:r>
          </w:p>
        </w:tc>
      </w:tr>
      <w:tr w:rsidR="00962B22" w:rsidRPr="00986058" w:rsidTr="00962B22">
        <w:trPr>
          <w:trHeight w:val="260"/>
        </w:trPr>
        <w:tc>
          <w:tcPr>
            <w:tcW w:w="1607" w:type="dxa"/>
            <w:tcBorders>
              <w:top w:val="nil"/>
              <w:left w:val="single" w:sz="8" w:space="0" w:color="auto"/>
              <w:bottom w:val="nil"/>
              <w:right w:val="nil"/>
            </w:tcBorders>
            <w:shd w:val="clear" w:color="auto" w:fill="auto"/>
            <w:noWrap/>
            <w:vAlign w:val="bottom"/>
            <w:hideMark/>
          </w:tcPr>
          <w:p w:rsidR="00962B22" w:rsidRPr="00986058" w:rsidRDefault="00962B22" w:rsidP="00962B22">
            <w:pPr>
              <w:spacing w:after="0" w:line="240" w:lineRule="auto"/>
              <w:rPr>
                <w:rFonts w:eastAsia="Times New Roman" w:cstheme="minorHAnsi"/>
                <w:sz w:val="20"/>
                <w:szCs w:val="20"/>
                <w:lang w:eastAsia="sv-SE"/>
              </w:rPr>
            </w:pPr>
            <w:r w:rsidRPr="00986058">
              <w:rPr>
                <w:rFonts w:eastAsia="Times New Roman" w:cstheme="minorHAnsi"/>
                <w:sz w:val="20"/>
                <w:szCs w:val="20"/>
                <w:lang w:eastAsia="sv-SE"/>
              </w:rPr>
              <w:t> </w:t>
            </w:r>
          </w:p>
        </w:tc>
        <w:tc>
          <w:tcPr>
            <w:tcW w:w="1440" w:type="dxa"/>
            <w:tcBorders>
              <w:top w:val="nil"/>
              <w:left w:val="nil"/>
              <w:bottom w:val="nil"/>
              <w:right w:val="single" w:sz="8" w:space="0" w:color="auto"/>
            </w:tcBorders>
            <w:shd w:val="clear" w:color="auto" w:fill="auto"/>
            <w:noWrap/>
            <w:vAlign w:val="bottom"/>
            <w:hideMark/>
          </w:tcPr>
          <w:p w:rsidR="00962B22" w:rsidRPr="00986058" w:rsidRDefault="00962B22" w:rsidP="00962B22">
            <w:pPr>
              <w:spacing w:after="0" w:line="240" w:lineRule="auto"/>
              <w:rPr>
                <w:rFonts w:eastAsia="Times New Roman" w:cstheme="minorHAnsi"/>
                <w:color w:val="000000"/>
                <w:sz w:val="16"/>
                <w:szCs w:val="16"/>
                <w:lang w:eastAsia="sv-SE"/>
              </w:rPr>
            </w:pPr>
            <w:r w:rsidRPr="00986058">
              <w:rPr>
                <w:rFonts w:eastAsia="Times New Roman" w:cstheme="minorHAnsi"/>
                <w:color w:val="000000"/>
                <w:sz w:val="16"/>
                <w:szCs w:val="16"/>
                <w:lang w:eastAsia="sv-SE"/>
              </w:rPr>
              <w:t>Procent</w:t>
            </w:r>
            <w:r>
              <w:rPr>
                <w:rFonts w:eastAsia="Times New Roman" w:cstheme="minorHAnsi"/>
                <w:color w:val="000000"/>
                <w:sz w:val="16"/>
                <w:szCs w:val="16"/>
                <w:lang w:eastAsia="sv-SE"/>
              </w:rPr>
              <w:t xml:space="preserve">uell </w:t>
            </w:r>
            <w:r w:rsidRPr="00986058">
              <w:rPr>
                <w:rFonts w:eastAsia="Times New Roman" w:cstheme="minorHAnsi"/>
                <w:color w:val="000000"/>
                <w:sz w:val="16"/>
                <w:szCs w:val="16"/>
                <w:lang w:eastAsia="sv-SE"/>
              </w:rPr>
              <w:t>andel</w:t>
            </w:r>
          </w:p>
        </w:tc>
      </w:tr>
      <w:tr w:rsidR="00962B22" w:rsidRPr="00986058" w:rsidTr="00962B22">
        <w:trPr>
          <w:trHeight w:val="260"/>
        </w:trPr>
        <w:tc>
          <w:tcPr>
            <w:tcW w:w="1607" w:type="dxa"/>
            <w:tcBorders>
              <w:top w:val="nil"/>
              <w:left w:val="single" w:sz="8" w:space="0" w:color="auto"/>
              <w:bottom w:val="nil"/>
              <w:right w:val="nil"/>
            </w:tcBorders>
            <w:shd w:val="clear" w:color="auto" w:fill="auto"/>
            <w:hideMark/>
          </w:tcPr>
          <w:p w:rsidR="00962B22" w:rsidRPr="00986058" w:rsidRDefault="00962B22" w:rsidP="00962B22">
            <w:pPr>
              <w:spacing w:after="0" w:line="240" w:lineRule="auto"/>
              <w:rPr>
                <w:rFonts w:eastAsia="Times New Roman" w:cstheme="minorHAnsi"/>
                <w:b/>
                <w:bCs/>
                <w:sz w:val="20"/>
                <w:szCs w:val="20"/>
                <w:lang w:eastAsia="sv-SE"/>
              </w:rPr>
            </w:pPr>
            <w:r w:rsidRPr="00986058">
              <w:rPr>
                <w:rFonts w:eastAsia="Times New Roman" w:cstheme="minorHAnsi"/>
                <w:b/>
                <w:bCs/>
                <w:sz w:val="20"/>
                <w:szCs w:val="20"/>
                <w:lang w:eastAsia="sv-SE"/>
              </w:rPr>
              <w:t>Svarsalternativ</w:t>
            </w:r>
          </w:p>
        </w:tc>
        <w:tc>
          <w:tcPr>
            <w:tcW w:w="1440" w:type="dxa"/>
            <w:tcBorders>
              <w:top w:val="nil"/>
              <w:left w:val="nil"/>
              <w:bottom w:val="nil"/>
              <w:right w:val="single" w:sz="8" w:space="0" w:color="auto"/>
            </w:tcBorders>
            <w:shd w:val="clear" w:color="auto" w:fill="auto"/>
            <w:noWrap/>
            <w:vAlign w:val="bottom"/>
            <w:hideMark/>
          </w:tcPr>
          <w:p w:rsidR="00962B22" w:rsidRPr="00986058" w:rsidRDefault="00962B22" w:rsidP="00962B22">
            <w:pPr>
              <w:spacing w:after="0" w:line="240" w:lineRule="auto"/>
              <w:rPr>
                <w:rFonts w:eastAsia="Times New Roman" w:cstheme="minorHAnsi"/>
                <w:sz w:val="18"/>
                <w:szCs w:val="18"/>
                <w:lang w:eastAsia="sv-SE"/>
              </w:rPr>
            </w:pPr>
            <w:r w:rsidRPr="00986058">
              <w:rPr>
                <w:rFonts w:eastAsia="Times New Roman" w:cstheme="minorHAnsi"/>
                <w:sz w:val="18"/>
                <w:szCs w:val="18"/>
                <w:lang w:eastAsia="sv-SE"/>
              </w:rPr>
              <w:t>Hösten 2012</w:t>
            </w:r>
          </w:p>
        </w:tc>
      </w:tr>
      <w:tr w:rsidR="00962B22" w:rsidRPr="00986058" w:rsidTr="00962B22">
        <w:trPr>
          <w:trHeight w:val="260"/>
        </w:trPr>
        <w:tc>
          <w:tcPr>
            <w:tcW w:w="1607" w:type="dxa"/>
            <w:tcBorders>
              <w:top w:val="single" w:sz="4" w:space="0" w:color="auto"/>
              <w:left w:val="single" w:sz="8" w:space="0" w:color="auto"/>
              <w:bottom w:val="nil"/>
              <w:right w:val="nil"/>
            </w:tcBorders>
            <w:shd w:val="clear" w:color="auto" w:fill="auto"/>
            <w:hideMark/>
          </w:tcPr>
          <w:p w:rsidR="00962B22" w:rsidRPr="00986058" w:rsidRDefault="00962B22" w:rsidP="00962B22">
            <w:pPr>
              <w:spacing w:after="0" w:line="240" w:lineRule="auto"/>
              <w:rPr>
                <w:rFonts w:eastAsia="Times New Roman" w:cstheme="minorHAnsi"/>
                <w:sz w:val="20"/>
                <w:szCs w:val="20"/>
                <w:lang w:eastAsia="sv-SE"/>
              </w:rPr>
            </w:pPr>
            <w:r w:rsidRPr="00986058">
              <w:rPr>
                <w:rFonts w:eastAsia="Times New Roman" w:cstheme="minorHAnsi"/>
                <w:sz w:val="20"/>
                <w:szCs w:val="20"/>
                <w:lang w:eastAsia="sv-SE"/>
              </w:rPr>
              <w:t>Mycket god</w:t>
            </w:r>
          </w:p>
        </w:tc>
        <w:tc>
          <w:tcPr>
            <w:tcW w:w="1440" w:type="dxa"/>
            <w:tcBorders>
              <w:top w:val="single" w:sz="4" w:space="0" w:color="auto"/>
              <w:left w:val="nil"/>
              <w:bottom w:val="nil"/>
              <w:right w:val="single" w:sz="8" w:space="0" w:color="auto"/>
            </w:tcBorders>
            <w:shd w:val="clear" w:color="auto" w:fill="auto"/>
            <w:noWrap/>
            <w:vAlign w:val="bottom"/>
            <w:hideMark/>
          </w:tcPr>
          <w:p w:rsidR="00962B22" w:rsidRPr="00986058" w:rsidRDefault="00962B22" w:rsidP="00962B22">
            <w:pPr>
              <w:spacing w:after="0" w:line="240" w:lineRule="auto"/>
              <w:jc w:val="right"/>
              <w:rPr>
                <w:rFonts w:eastAsia="Times New Roman" w:cstheme="minorHAnsi"/>
                <w:sz w:val="20"/>
                <w:szCs w:val="20"/>
                <w:lang w:eastAsia="sv-SE"/>
              </w:rPr>
            </w:pPr>
            <w:r w:rsidRPr="00986058">
              <w:rPr>
                <w:rFonts w:eastAsia="Times New Roman" w:cstheme="minorHAnsi"/>
                <w:sz w:val="20"/>
                <w:szCs w:val="20"/>
                <w:lang w:eastAsia="sv-SE"/>
              </w:rPr>
              <w:t>0</w:t>
            </w:r>
          </w:p>
        </w:tc>
      </w:tr>
      <w:tr w:rsidR="00962B22" w:rsidRPr="00986058" w:rsidTr="00962B22">
        <w:trPr>
          <w:trHeight w:val="260"/>
        </w:trPr>
        <w:tc>
          <w:tcPr>
            <w:tcW w:w="1607" w:type="dxa"/>
            <w:tcBorders>
              <w:top w:val="nil"/>
              <w:left w:val="single" w:sz="8" w:space="0" w:color="auto"/>
              <w:bottom w:val="nil"/>
              <w:right w:val="nil"/>
            </w:tcBorders>
            <w:shd w:val="clear" w:color="auto" w:fill="auto"/>
            <w:hideMark/>
          </w:tcPr>
          <w:p w:rsidR="00962B22" w:rsidRPr="00986058" w:rsidRDefault="00962B22" w:rsidP="00962B22">
            <w:pPr>
              <w:spacing w:after="0" w:line="240" w:lineRule="auto"/>
              <w:rPr>
                <w:rFonts w:eastAsia="Times New Roman" w:cstheme="minorHAnsi"/>
                <w:sz w:val="20"/>
                <w:szCs w:val="20"/>
                <w:lang w:eastAsia="sv-SE"/>
              </w:rPr>
            </w:pPr>
            <w:r w:rsidRPr="00986058">
              <w:rPr>
                <w:rFonts w:eastAsia="Times New Roman" w:cstheme="minorHAnsi"/>
                <w:sz w:val="20"/>
                <w:szCs w:val="20"/>
                <w:lang w:eastAsia="sv-SE"/>
              </w:rPr>
              <w:t>Ganska god</w:t>
            </w:r>
          </w:p>
        </w:tc>
        <w:tc>
          <w:tcPr>
            <w:tcW w:w="1440" w:type="dxa"/>
            <w:tcBorders>
              <w:top w:val="nil"/>
              <w:left w:val="nil"/>
              <w:bottom w:val="nil"/>
              <w:right w:val="single" w:sz="8" w:space="0" w:color="auto"/>
            </w:tcBorders>
            <w:shd w:val="clear" w:color="auto" w:fill="auto"/>
            <w:noWrap/>
            <w:vAlign w:val="bottom"/>
            <w:hideMark/>
          </w:tcPr>
          <w:p w:rsidR="00962B22" w:rsidRPr="00986058" w:rsidRDefault="00962B22" w:rsidP="00962B22">
            <w:pPr>
              <w:spacing w:after="0" w:line="240" w:lineRule="auto"/>
              <w:jc w:val="right"/>
              <w:rPr>
                <w:rFonts w:eastAsia="Times New Roman" w:cstheme="minorHAnsi"/>
                <w:sz w:val="20"/>
                <w:szCs w:val="20"/>
                <w:lang w:eastAsia="sv-SE"/>
              </w:rPr>
            </w:pPr>
            <w:r w:rsidRPr="00986058">
              <w:rPr>
                <w:rFonts w:eastAsia="Times New Roman" w:cstheme="minorHAnsi"/>
                <w:sz w:val="20"/>
                <w:szCs w:val="20"/>
                <w:lang w:eastAsia="sv-SE"/>
              </w:rPr>
              <w:t>35</w:t>
            </w:r>
          </w:p>
        </w:tc>
      </w:tr>
      <w:tr w:rsidR="00962B22" w:rsidRPr="00986058" w:rsidTr="00962B22">
        <w:trPr>
          <w:trHeight w:val="260"/>
        </w:trPr>
        <w:tc>
          <w:tcPr>
            <w:tcW w:w="1607" w:type="dxa"/>
            <w:tcBorders>
              <w:top w:val="nil"/>
              <w:left w:val="single" w:sz="8" w:space="0" w:color="auto"/>
              <w:bottom w:val="nil"/>
              <w:right w:val="nil"/>
            </w:tcBorders>
            <w:shd w:val="clear" w:color="auto" w:fill="auto"/>
            <w:hideMark/>
          </w:tcPr>
          <w:p w:rsidR="00962B22" w:rsidRPr="00986058" w:rsidRDefault="00962B22" w:rsidP="00962B22">
            <w:pPr>
              <w:spacing w:after="0" w:line="240" w:lineRule="auto"/>
              <w:rPr>
                <w:rFonts w:eastAsia="Times New Roman" w:cstheme="minorHAnsi"/>
                <w:sz w:val="20"/>
                <w:szCs w:val="20"/>
                <w:lang w:eastAsia="sv-SE"/>
              </w:rPr>
            </w:pPr>
            <w:r w:rsidRPr="00986058">
              <w:rPr>
                <w:rFonts w:eastAsia="Times New Roman" w:cstheme="minorHAnsi"/>
                <w:sz w:val="20"/>
                <w:szCs w:val="20"/>
                <w:lang w:eastAsia="sv-SE"/>
              </w:rPr>
              <w:t>Ganska dålig</w:t>
            </w:r>
          </w:p>
        </w:tc>
        <w:tc>
          <w:tcPr>
            <w:tcW w:w="1440" w:type="dxa"/>
            <w:tcBorders>
              <w:top w:val="nil"/>
              <w:left w:val="nil"/>
              <w:bottom w:val="nil"/>
              <w:right w:val="single" w:sz="8" w:space="0" w:color="auto"/>
            </w:tcBorders>
            <w:shd w:val="clear" w:color="auto" w:fill="auto"/>
            <w:noWrap/>
            <w:vAlign w:val="bottom"/>
            <w:hideMark/>
          </w:tcPr>
          <w:p w:rsidR="00962B22" w:rsidRPr="00986058" w:rsidRDefault="00962B22" w:rsidP="00962B22">
            <w:pPr>
              <w:spacing w:after="0" w:line="240" w:lineRule="auto"/>
              <w:jc w:val="right"/>
              <w:rPr>
                <w:rFonts w:eastAsia="Times New Roman" w:cstheme="minorHAnsi"/>
                <w:sz w:val="20"/>
                <w:szCs w:val="20"/>
                <w:lang w:eastAsia="sv-SE"/>
              </w:rPr>
            </w:pPr>
            <w:r w:rsidRPr="00986058">
              <w:rPr>
                <w:rFonts w:eastAsia="Times New Roman" w:cstheme="minorHAnsi"/>
                <w:sz w:val="20"/>
                <w:szCs w:val="20"/>
                <w:lang w:eastAsia="sv-SE"/>
              </w:rPr>
              <w:t>48</w:t>
            </w:r>
          </w:p>
        </w:tc>
      </w:tr>
      <w:tr w:rsidR="00962B22" w:rsidRPr="00986058" w:rsidTr="00962B22">
        <w:trPr>
          <w:trHeight w:val="260"/>
        </w:trPr>
        <w:tc>
          <w:tcPr>
            <w:tcW w:w="1607" w:type="dxa"/>
            <w:tcBorders>
              <w:top w:val="nil"/>
              <w:left w:val="single" w:sz="8" w:space="0" w:color="auto"/>
              <w:bottom w:val="nil"/>
              <w:right w:val="nil"/>
            </w:tcBorders>
            <w:shd w:val="clear" w:color="auto" w:fill="auto"/>
            <w:hideMark/>
          </w:tcPr>
          <w:p w:rsidR="00962B22" w:rsidRPr="00986058" w:rsidRDefault="00962B22" w:rsidP="00962B22">
            <w:pPr>
              <w:spacing w:after="0" w:line="240" w:lineRule="auto"/>
              <w:rPr>
                <w:rFonts w:eastAsia="Times New Roman" w:cstheme="minorHAnsi"/>
                <w:sz w:val="20"/>
                <w:szCs w:val="20"/>
                <w:lang w:eastAsia="sv-SE"/>
              </w:rPr>
            </w:pPr>
            <w:r w:rsidRPr="00986058">
              <w:rPr>
                <w:rFonts w:eastAsia="Times New Roman" w:cstheme="minorHAnsi"/>
                <w:sz w:val="20"/>
                <w:szCs w:val="20"/>
                <w:lang w:eastAsia="sv-SE"/>
              </w:rPr>
              <w:t>Mycket dålig</w:t>
            </w:r>
          </w:p>
        </w:tc>
        <w:tc>
          <w:tcPr>
            <w:tcW w:w="1440" w:type="dxa"/>
            <w:tcBorders>
              <w:top w:val="nil"/>
              <w:left w:val="nil"/>
              <w:bottom w:val="nil"/>
              <w:right w:val="single" w:sz="8" w:space="0" w:color="auto"/>
            </w:tcBorders>
            <w:shd w:val="clear" w:color="auto" w:fill="auto"/>
            <w:noWrap/>
            <w:vAlign w:val="bottom"/>
            <w:hideMark/>
          </w:tcPr>
          <w:p w:rsidR="00962B22" w:rsidRPr="00986058" w:rsidRDefault="00962B22" w:rsidP="00962B22">
            <w:pPr>
              <w:spacing w:after="0" w:line="240" w:lineRule="auto"/>
              <w:jc w:val="right"/>
              <w:rPr>
                <w:rFonts w:eastAsia="Times New Roman" w:cstheme="minorHAnsi"/>
                <w:sz w:val="20"/>
                <w:szCs w:val="20"/>
                <w:lang w:eastAsia="sv-SE"/>
              </w:rPr>
            </w:pPr>
            <w:r w:rsidRPr="00986058">
              <w:rPr>
                <w:rFonts w:eastAsia="Times New Roman" w:cstheme="minorHAnsi"/>
                <w:sz w:val="20"/>
                <w:szCs w:val="20"/>
                <w:lang w:eastAsia="sv-SE"/>
              </w:rPr>
              <w:t>15</w:t>
            </w:r>
          </w:p>
        </w:tc>
      </w:tr>
      <w:tr w:rsidR="00962B22" w:rsidRPr="00986058" w:rsidTr="00962B22">
        <w:trPr>
          <w:trHeight w:val="260"/>
        </w:trPr>
        <w:tc>
          <w:tcPr>
            <w:tcW w:w="1607" w:type="dxa"/>
            <w:tcBorders>
              <w:top w:val="nil"/>
              <w:left w:val="single" w:sz="8" w:space="0" w:color="auto"/>
              <w:bottom w:val="single" w:sz="8" w:space="0" w:color="auto"/>
              <w:right w:val="nil"/>
            </w:tcBorders>
            <w:shd w:val="clear" w:color="auto" w:fill="auto"/>
            <w:hideMark/>
          </w:tcPr>
          <w:p w:rsidR="00962B22" w:rsidRPr="00986058" w:rsidRDefault="00962B22" w:rsidP="00962B22">
            <w:pPr>
              <w:spacing w:after="0" w:line="240" w:lineRule="auto"/>
              <w:rPr>
                <w:rFonts w:eastAsia="Times New Roman" w:cstheme="minorHAnsi"/>
                <w:sz w:val="20"/>
                <w:szCs w:val="20"/>
                <w:lang w:eastAsia="sv-SE"/>
              </w:rPr>
            </w:pPr>
            <w:r w:rsidRPr="00986058">
              <w:rPr>
                <w:rFonts w:eastAsia="Times New Roman" w:cstheme="minorHAnsi"/>
                <w:sz w:val="20"/>
                <w:szCs w:val="20"/>
                <w:lang w:eastAsia="sv-SE"/>
              </w:rPr>
              <w:t>Tveksam, vet ej</w:t>
            </w:r>
          </w:p>
        </w:tc>
        <w:tc>
          <w:tcPr>
            <w:tcW w:w="1440" w:type="dxa"/>
            <w:tcBorders>
              <w:top w:val="nil"/>
              <w:left w:val="nil"/>
              <w:bottom w:val="single" w:sz="8" w:space="0" w:color="auto"/>
              <w:right w:val="single" w:sz="8" w:space="0" w:color="auto"/>
            </w:tcBorders>
            <w:shd w:val="clear" w:color="auto" w:fill="auto"/>
            <w:noWrap/>
            <w:vAlign w:val="bottom"/>
            <w:hideMark/>
          </w:tcPr>
          <w:p w:rsidR="00962B22" w:rsidRPr="00986058" w:rsidRDefault="00962B22" w:rsidP="00962B22">
            <w:pPr>
              <w:spacing w:after="0" w:line="240" w:lineRule="auto"/>
              <w:jc w:val="right"/>
              <w:rPr>
                <w:rFonts w:eastAsia="Times New Roman" w:cstheme="minorHAnsi"/>
                <w:sz w:val="20"/>
                <w:szCs w:val="20"/>
                <w:lang w:eastAsia="sv-SE"/>
              </w:rPr>
            </w:pPr>
            <w:r w:rsidRPr="00986058">
              <w:rPr>
                <w:rFonts w:eastAsia="Times New Roman" w:cstheme="minorHAnsi"/>
                <w:sz w:val="20"/>
                <w:szCs w:val="20"/>
                <w:lang w:eastAsia="sv-SE"/>
              </w:rPr>
              <w:t>2</w:t>
            </w:r>
          </w:p>
        </w:tc>
      </w:tr>
    </w:tbl>
    <w:p w:rsidR="00986058" w:rsidRPr="00986058" w:rsidRDefault="00986058"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86058" w:rsidRPr="00986058" w:rsidRDefault="00986058"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86058" w:rsidRPr="00986058" w:rsidRDefault="00986058"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86058" w:rsidRPr="00986058" w:rsidRDefault="00986058"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86058" w:rsidRPr="00986058" w:rsidRDefault="00986058"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86058" w:rsidRPr="00986058" w:rsidRDefault="00986058"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86058" w:rsidRPr="00986058" w:rsidRDefault="00986058"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62B22" w:rsidRDefault="00962B22"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62B22" w:rsidRDefault="00962B22"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62B22" w:rsidRDefault="00962B22"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14844" w:rsidRDefault="00F14844"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14844" w:rsidRDefault="00F14844"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F74ADD" w:rsidRDefault="00F74ADD">
      <w:pPr>
        <w:rPr>
          <w:rFonts w:ascii="Franklin Gothic Book" w:hAnsi="Franklin Gothic Book" w:cstheme="minorHAnsi"/>
          <w:b/>
          <w:bCs/>
          <w:color w:val="000000"/>
          <w:sz w:val="20"/>
          <w:szCs w:val="20"/>
        </w:rPr>
      </w:pPr>
      <w:r>
        <w:rPr>
          <w:rFonts w:ascii="Franklin Gothic Book" w:hAnsi="Franklin Gothic Book" w:cstheme="minorHAnsi"/>
          <w:b/>
          <w:bCs/>
          <w:color w:val="000000"/>
          <w:sz w:val="20"/>
          <w:szCs w:val="20"/>
        </w:rPr>
        <w:br w:type="page"/>
      </w:r>
    </w:p>
    <w:p w:rsidR="00637A10" w:rsidRPr="00901DC4" w:rsidRDefault="00637A10" w:rsidP="00637A10">
      <w:pPr>
        <w:autoSpaceDE w:val="0"/>
        <w:autoSpaceDN w:val="0"/>
        <w:adjustRightInd w:val="0"/>
        <w:spacing w:after="0" w:line="240" w:lineRule="auto"/>
        <w:rPr>
          <w:rFonts w:ascii="Franklin Gothic Book" w:hAnsi="Franklin Gothic Book" w:cstheme="minorHAnsi"/>
          <w:b/>
          <w:bCs/>
          <w:sz w:val="24"/>
          <w:szCs w:val="24"/>
        </w:rPr>
      </w:pPr>
      <w:r w:rsidRPr="00901DC4">
        <w:rPr>
          <w:rFonts w:ascii="Franklin Gothic Book" w:hAnsi="Franklin Gothic Book" w:cstheme="minorHAnsi"/>
          <w:b/>
          <w:bCs/>
          <w:color w:val="000000"/>
          <w:sz w:val="24"/>
          <w:szCs w:val="24"/>
        </w:rPr>
        <w:lastRenderedPageBreak/>
        <w:t xml:space="preserve">Böndernas framtidstro per produktionsgren </w:t>
      </w:r>
      <w:r w:rsidR="00510812" w:rsidRPr="00901DC4">
        <w:rPr>
          <w:rFonts w:ascii="Franklin Gothic Book" w:hAnsi="Franklin Gothic Book" w:cstheme="minorHAnsi"/>
          <w:b/>
          <w:bCs/>
          <w:sz w:val="24"/>
          <w:szCs w:val="24"/>
        </w:rPr>
        <w:t xml:space="preserve">Hösten </w:t>
      </w:r>
      <w:r w:rsidRPr="00901DC4">
        <w:rPr>
          <w:rFonts w:ascii="Franklin Gothic Book" w:hAnsi="Franklin Gothic Book" w:cstheme="minorHAnsi"/>
          <w:b/>
          <w:bCs/>
          <w:sz w:val="24"/>
          <w:szCs w:val="24"/>
        </w:rPr>
        <w:t>2012</w:t>
      </w:r>
    </w:p>
    <w:p w:rsidR="00F115B8" w:rsidRPr="00986058" w:rsidRDefault="00F115B8" w:rsidP="00F115B8">
      <w:pPr>
        <w:autoSpaceDE w:val="0"/>
        <w:autoSpaceDN w:val="0"/>
        <w:adjustRightInd w:val="0"/>
        <w:spacing w:after="0" w:line="240" w:lineRule="auto"/>
        <w:rPr>
          <w:rFonts w:ascii="Franklin Gothic Book" w:hAnsi="Franklin Gothic Book" w:cstheme="minorHAnsi"/>
          <w:color w:val="000000"/>
          <w:sz w:val="20"/>
          <w:szCs w:val="20"/>
        </w:rPr>
      </w:pPr>
      <w:r w:rsidRPr="00986058">
        <w:rPr>
          <w:rFonts w:ascii="Franklin Gothic Book" w:hAnsi="Franklin Gothic Book" w:cstheme="minorHAnsi"/>
          <w:color w:val="000000"/>
          <w:sz w:val="20"/>
          <w:szCs w:val="20"/>
        </w:rPr>
        <w:t>Växt- och grisproducenter är mest positiva inför framtiden medan mjölk- och nöt</w:t>
      </w:r>
      <w:r>
        <w:rPr>
          <w:rFonts w:ascii="Franklin Gothic Book" w:hAnsi="Franklin Gothic Book" w:cstheme="minorHAnsi"/>
          <w:color w:val="000000"/>
          <w:sz w:val="20"/>
          <w:szCs w:val="20"/>
        </w:rPr>
        <w:t>kötts</w:t>
      </w:r>
      <w:r w:rsidRPr="00986058">
        <w:rPr>
          <w:rFonts w:ascii="Franklin Gothic Book" w:hAnsi="Franklin Gothic Book" w:cstheme="minorHAnsi"/>
          <w:color w:val="000000"/>
          <w:sz w:val="20"/>
          <w:szCs w:val="20"/>
        </w:rPr>
        <w:t xml:space="preserve">producenter tror att lönsamheten kommer att vara dålig. </w:t>
      </w:r>
      <w:r w:rsidR="003B7B08">
        <w:rPr>
          <w:rFonts w:ascii="Franklin Gothic Book" w:hAnsi="Franklin Gothic Book" w:cstheme="minorHAnsi"/>
          <w:color w:val="000000"/>
          <w:sz w:val="20"/>
          <w:szCs w:val="20"/>
        </w:rPr>
        <w:t>Se diagram 3</w:t>
      </w:r>
    </w:p>
    <w:p w:rsidR="00F115B8" w:rsidRPr="00901DC4" w:rsidRDefault="00F115B8" w:rsidP="00637A10">
      <w:pPr>
        <w:autoSpaceDE w:val="0"/>
        <w:autoSpaceDN w:val="0"/>
        <w:adjustRightInd w:val="0"/>
        <w:spacing w:after="0" w:line="240" w:lineRule="auto"/>
        <w:rPr>
          <w:rFonts w:ascii="Franklin Gothic Book" w:hAnsi="Franklin Gothic Book" w:cstheme="minorHAnsi"/>
          <w:bCs/>
          <w:sz w:val="20"/>
          <w:szCs w:val="20"/>
        </w:rPr>
      </w:pPr>
    </w:p>
    <w:p w:rsidR="0023263D" w:rsidRDefault="0023263D" w:rsidP="00637A10">
      <w:pPr>
        <w:autoSpaceDE w:val="0"/>
        <w:autoSpaceDN w:val="0"/>
        <w:adjustRightInd w:val="0"/>
        <w:spacing w:after="0" w:line="240" w:lineRule="auto"/>
        <w:rPr>
          <w:rFonts w:ascii="Franklin Gothic Book" w:hAnsi="Franklin Gothic Book" w:cstheme="minorHAnsi"/>
          <w:b/>
          <w:color w:val="000000"/>
          <w:sz w:val="20"/>
          <w:szCs w:val="20"/>
        </w:rPr>
      </w:pPr>
    </w:p>
    <w:p w:rsidR="00637A10" w:rsidRPr="0023263D" w:rsidRDefault="00510812" w:rsidP="00637A10">
      <w:pPr>
        <w:autoSpaceDE w:val="0"/>
        <w:autoSpaceDN w:val="0"/>
        <w:adjustRightInd w:val="0"/>
        <w:spacing w:after="0" w:line="240" w:lineRule="auto"/>
        <w:rPr>
          <w:rFonts w:ascii="Franklin Gothic Book" w:hAnsi="Franklin Gothic Book" w:cstheme="minorHAnsi"/>
          <w:b/>
          <w:color w:val="000000"/>
          <w:sz w:val="20"/>
          <w:szCs w:val="20"/>
        </w:rPr>
      </w:pPr>
      <w:r w:rsidRPr="0023263D">
        <w:rPr>
          <w:rFonts w:ascii="Franklin Gothic Book" w:hAnsi="Franklin Gothic Book" w:cstheme="minorHAnsi"/>
          <w:b/>
          <w:color w:val="000000"/>
          <w:sz w:val="20"/>
          <w:szCs w:val="20"/>
        </w:rPr>
        <w:t>DIAGRAM 3</w:t>
      </w:r>
    </w:p>
    <w:p w:rsidR="00A12B7A" w:rsidRPr="00986058" w:rsidRDefault="00A12B7A" w:rsidP="00637A10">
      <w:pPr>
        <w:autoSpaceDE w:val="0"/>
        <w:autoSpaceDN w:val="0"/>
        <w:adjustRightInd w:val="0"/>
        <w:spacing w:after="0" w:line="240" w:lineRule="auto"/>
        <w:rPr>
          <w:rFonts w:ascii="Franklin Gothic Book" w:hAnsi="Franklin Gothic Book" w:cstheme="minorHAnsi"/>
          <w:b/>
          <w:color w:val="000000"/>
          <w:sz w:val="16"/>
          <w:szCs w:val="16"/>
        </w:rPr>
      </w:pPr>
      <w:r w:rsidRPr="00986058">
        <w:rPr>
          <w:rFonts w:ascii="Franklin Gothic Book" w:hAnsi="Franklin Gothic Book" w:cstheme="minorHAnsi"/>
          <w:noProof/>
          <w:lang w:eastAsia="sv-SE"/>
        </w:rPr>
        <w:drawing>
          <wp:inline distT="0" distB="0" distL="0" distR="0" wp14:anchorId="6D9423DB" wp14:editId="67308BE8">
            <wp:extent cx="6146358" cy="2441050"/>
            <wp:effectExtent l="0" t="0" r="26035" b="16510"/>
            <wp:docPr id="6" name="Diagram 6" title="Framtidstro per produktionsinriktning hösten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263D" w:rsidRDefault="0023263D" w:rsidP="00637A10">
      <w:pPr>
        <w:autoSpaceDE w:val="0"/>
        <w:autoSpaceDN w:val="0"/>
        <w:adjustRightInd w:val="0"/>
        <w:spacing w:after="0" w:line="240" w:lineRule="auto"/>
        <w:rPr>
          <w:rFonts w:ascii="Franklin Gothic Book" w:hAnsi="Franklin Gothic Book" w:cstheme="minorHAnsi"/>
          <w:b/>
          <w:bCs/>
          <w:color w:val="000000"/>
          <w:sz w:val="20"/>
          <w:szCs w:val="20"/>
        </w:rPr>
      </w:pPr>
    </w:p>
    <w:p w:rsidR="00946378" w:rsidRPr="006C2960" w:rsidRDefault="00946378" w:rsidP="00946378">
      <w:pPr>
        <w:autoSpaceDE w:val="0"/>
        <w:autoSpaceDN w:val="0"/>
        <w:adjustRightInd w:val="0"/>
        <w:spacing w:after="0" w:line="240" w:lineRule="auto"/>
        <w:rPr>
          <w:rFonts w:ascii="Franklin Gothic Book" w:hAnsi="Franklin Gothic Book" w:cstheme="minorHAnsi"/>
          <w:bCs/>
          <w:color w:val="000000"/>
          <w:sz w:val="20"/>
          <w:szCs w:val="20"/>
        </w:rPr>
      </w:pPr>
      <w:r w:rsidRPr="0023263D">
        <w:rPr>
          <w:rFonts w:ascii="Franklin Gothic Book" w:hAnsi="Franklin Gothic Book" w:cstheme="minorHAnsi"/>
          <w:bCs/>
          <w:color w:val="000000"/>
          <w:sz w:val="20"/>
          <w:szCs w:val="20"/>
        </w:rPr>
        <w:t>Arbetsgruppen för lantbruksbarometern hösten 2012 har bestått av Jimmy Larsson</w:t>
      </w:r>
      <w:r w:rsidR="003B7B08">
        <w:rPr>
          <w:rFonts w:ascii="Franklin Gothic Book" w:hAnsi="Franklin Gothic Book" w:cstheme="minorHAnsi"/>
          <w:bCs/>
          <w:color w:val="000000"/>
          <w:sz w:val="20"/>
          <w:szCs w:val="20"/>
        </w:rPr>
        <w:t xml:space="preserve"> och </w:t>
      </w:r>
      <w:r w:rsidRPr="0023263D">
        <w:rPr>
          <w:rFonts w:ascii="Franklin Gothic Book" w:hAnsi="Franklin Gothic Book" w:cstheme="minorHAnsi"/>
          <w:bCs/>
          <w:color w:val="000000"/>
          <w:sz w:val="20"/>
          <w:szCs w:val="20"/>
        </w:rPr>
        <w:t>Helena Iacono från LRF Konsult samt Magnus Hammar från Swedbank och Stefan Johansson från Sparbanken Skaraborg.</w:t>
      </w:r>
    </w:p>
    <w:p w:rsidR="00670FAD" w:rsidRDefault="00670FAD" w:rsidP="00D33084">
      <w:pPr>
        <w:rPr>
          <w:rFonts w:ascii="Franklin Gothic Book" w:hAnsi="Franklin Gothic Book" w:cstheme="minorHAnsi"/>
          <w:b/>
          <w:bCs/>
          <w:color w:val="000000"/>
          <w:sz w:val="20"/>
          <w:szCs w:val="20"/>
        </w:rPr>
      </w:pPr>
    </w:p>
    <w:p w:rsidR="0035690B" w:rsidRPr="0035690B" w:rsidRDefault="0035690B" w:rsidP="0035690B">
      <w:pPr>
        <w:spacing w:after="0" w:line="240" w:lineRule="auto"/>
        <w:rPr>
          <w:rFonts w:ascii="Arial" w:eastAsia="Times New Roman" w:hAnsi="Arial" w:cs="Arial"/>
          <w:sz w:val="20"/>
          <w:szCs w:val="20"/>
          <w:lang w:eastAsia="sv-SE"/>
        </w:rPr>
      </w:pPr>
      <w:r w:rsidRPr="0035690B">
        <w:rPr>
          <w:rFonts w:ascii="Arial" w:eastAsia="Times New Roman" w:hAnsi="Arial" w:cs="Arial"/>
          <w:b/>
          <w:sz w:val="20"/>
          <w:szCs w:val="20"/>
          <w:lang w:eastAsia="sv-SE"/>
        </w:rPr>
        <w:t>För mer information, kontakta:</w:t>
      </w:r>
      <w:r w:rsidRPr="0035690B">
        <w:rPr>
          <w:rFonts w:ascii="Arial" w:eastAsia="Times New Roman" w:hAnsi="Arial" w:cs="Arial"/>
          <w:sz w:val="20"/>
          <w:szCs w:val="20"/>
          <w:lang w:eastAsia="sv-SE"/>
        </w:rPr>
        <w:t xml:space="preserve"> </w:t>
      </w:r>
    </w:p>
    <w:p w:rsidR="00196192" w:rsidRDefault="00196192" w:rsidP="0035690B">
      <w:pPr>
        <w:spacing w:after="0" w:line="240" w:lineRule="auto"/>
        <w:rPr>
          <w:rFonts w:ascii="Arial" w:eastAsia="Times New Roman" w:hAnsi="Arial" w:cs="Arial"/>
          <w:sz w:val="20"/>
          <w:szCs w:val="20"/>
          <w:lang w:eastAsia="sv-SE"/>
        </w:rPr>
      </w:pPr>
      <w:r w:rsidRPr="0035690B">
        <w:rPr>
          <w:rFonts w:ascii="Arial" w:eastAsia="Times New Roman" w:hAnsi="Arial" w:cs="Arial"/>
          <w:color w:val="000000"/>
          <w:sz w:val="20"/>
          <w:szCs w:val="20"/>
          <w:lang w:eastAsia="sv-SE"/>
        </w:rPr>
        <w:t>Jimmy Larsson, segmentschef Lantbruk, LRF Konsult, tel. 08-700 20 13</w:t>
      </w:r>
      <w:r w:rsidRPr="0035690B">
        <w:rPr>
          <w:rFonts w:ascii="Arial" w:eastAsia="Times New Roman" w:hAnsi="Arial" w:cs="Arial"/>
          <w:sz w:val="20"/>
          <w:szCs w:val="20"/>
          <w:lang w:eastAsia="sv-SE"/>
        </w:rPr>
        <w:t xml:space="preserve"> </w:t>
      </w:r>
    </w:p>
    <w:p w:rsidR="0035690B" w:rsidRPr="0035690B" w:rsidRDefault="0035690B" w:rsidP="0035690B">
      <w:pPr>
        <w:spacing w:after="0" w:line="240" w:lineRule="auto"/>
        <w:rPr>
          <w:rFonts w:ascii="Arial" w:eastAsia="Times New Roman" w:hAnsi="Arial" w:cs="Arial"/>
          <w:sz w:val="20"/>
          <w:szCs w:val="20"/>
          <w:lang w:eastAsia="sv-SE"/>
        </w:rPr>
      </w:pPr>
      <w:bookmarkStart w:id="0" w:name="_GoBack"/>
      <w:bookmarkEnd w:id="0"/>
      <w:r w:rsidRPr="0035690B">
        <w:rPr>
          <w:rFonts w:ascii="Arial" w:eastAsia="Times New Roman" w:hAnsi="Arial" w:cs="Arial"/>
          <w:sz w:val="20"/>
          <w:szCs w:val="20"/>
          <w:lang w:eastAsia="sv-SE"/>
        </w:rPr>
        <w:t>Magnus Hammar, Skog och Lantbruk, Swedbank, tel.</w:t>
      </w:r>
      <w:r w:rsidRPr="0035690B">
        <w:rPr>
          <w:rFonts w:ascii="Times New Roman" w:eastAsia="Times New Roman" w:hAnsi="Times New Roman" w:cs="Times New Roman"/>
          <w:sz w:val="20"/>
          <w:szCs w:val="20"/>
          <w:lang w:eastAsia="sv-SE"/>
        </w:rPr>
        <w:t xml:space="preserve"> </w:t>
      </w:r>
      <w:r w:rsidRPr="0035690B">
        <w:rPr>
          <w:rFonts w:ascii="Arial" w:eastAsia="Times New Roman" w:hAnsi="Arial" w:cs="Arial"/>
          <w:sz w:val="20"/>
          <w:szCs w:val="20"/>
          <w:lang w:eastAsia="sv-SE"/>
        </w:rPr>
        <w:t xml:space="preserve">08-585 935 74 </w:t>
      </w:r>
      <w:r w:rsidRPr="0035690B">
        <w:rPr>
          <w:rFonts w:ascii="Arial" w:eastAsia="Times New Roman" w:hAnsi="Arial" w:cs="Arial"/>
          <w:sz w:val="20"/>
          <w:szCs w:val="20"/>
          <w:lang w:eastAsia="sv-SE"/>
        </w:rPr>
        <w:br/>
      </w:r>
    </w:p>
    <w:p w:rsidR="0035690B" w:rsidRDefault="0035690B" w:rsidP="00D33084">
      <w:pPr>
        <w:rPr>
          <w:rFonts w:ascii="Franklin Gothic Book" w:hAnsi="Franklin Gothic Book" w:cstheme="minorHAnsi"/>
          <w:b/>
          <w:bCs/>
          <w:color w:val="000000"/>
          <w:sz w:val="20"/>
          <w:szCs w:val="20"/>
        </w:rPr>
      </w:pPr>
    </w:p>
    <w:sectPr w:rsidR="0035690B" w:rsidSect="00670FAD">
      <w:headerReference w:type="default" r:id="rId11"/>
      <w:pgSz w:w="11906" w:h="16838"/>
      <w:pgMar w:top="1843" w:right="99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0B" w:rsidRDefault="0035690B" w:rsidP="00583F51">
      <w:pPr>
        <w:spacing w:after="0" w:line="240" w:lineRule="auto"/>
      </w:pPr>
      <w:r>
        <w:separator/>
      </w:r>
    </w:p>
  </w:endnote>
  <w:endnote w:type="continuationSeparator" w:id="0">
    <w:p w:rsidR="0035690B" w:rsidRDefault="0035690B" w:rsidP="0058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genda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0B" w:rsidRDefault="0035690B" w:rsidP="00583F51">
      <w:pPr>
        <w:spacing w:after="0" w:line="240" w:lineRule="auto"/>
      </w:pPr>
      <w:r>
        <w:separator/>
      </w:r>
    </w:p>
  </w:footnote>
  <w:footnote w:type="continuationSeparator" w:id="0">
    <w:p w:rsidR="0035690B" w:rsidRDefault="0035690B" w:rsidP="00583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0B" w:rsidRDefault="0035690B">
    <w:pPr>
      <w:pStyle w:val="Sidhuvud"/>
    </w:pPr>
    <w:r>
      <w:rPr>
        <w:noProof/>
        <w:lang w:eastAsia="sv-SE"/>
      </w:rPr>
      <w:drawing>
        <wp:anchor distT="0" distB="0" distL="114300" distR="114300" simplePos="0" relativeHeight="251659264" behindDoc="0" locked="0" layoutInCell="1" allowOverlap="1" wp14:anchorId="2135F830" wp14:editId="2E7F145E">
          <wp:simplePos x="0" y="0"/>
          <wp:positionH relativeFrom="column">
            <wp:posOffset>4323715</wp:posOffset>
          </wp:positionH>
          <wp:positionV relativeFrom="paragraph">
            <wp:posOffset>-83185</wp:posOffset>
          </wp:positionV>
          <wp:extent cx="1990725" cy="466725"/>
          <wp:effectExtent l="0" t="0" r="9525" b="9525"/>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66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0" layoutInCell="1" allowOverlap="1" wp14:anchorId="5C3D2633" wp14:editId="30EF5A61">
          <wp:simplePos x="0" y="0"/>
          <wp:positionH relativeFrom="column">
            <wp:posOffset>-255905</wp:posOffset>
          </wp:positionH>
          <wp:positionV relativeFrom="paragraph">
            <wp:posOffset>-179705</wp:posOffset>
          </wp:positionV>
          <wp:extent cx="1676400" cy="561975"/>
          <wp:effectExtent l="0" t="0" r="0" b="9525"/>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10"/>
    <w:rsid w:val="00003953"/>
    <w:rsid w:val="000C0E01"/>
    <w:rsid w:val="000E292B"/>
    <w:rsid w:val="00100D6D"/>
    <w:rsid w:val="00114EFB"/>
    <w:rsid w:val="00196192"/>
    <w:rsid w:val="001F34AA"/>
    <w:rsid w:val="001F465C"/>
    <w:rsid w:val="00210157"/>
    <w:rsid w:val="0023263D"/>
    <w:rsid w:val="00261D1C"/>
    <w:rsid w:val="002F13E9"/>
    <w:rsid w:val="00313207"/>
    <w:rsid w:val="0035690B"/>
    <w:rsid w:val="003B7B08"/>
    <w:rsid w:val="003D39A3"/>
    <w:rsid w:val="003E0140"/>
    <w:rsid w:val="003E3090"/>
    <w:rsid w:val="0042700A"/>
    <w:rsid w:val="0047013E"/>
    <w:rsid w:val="00496DC1"/>
    <w:rsid w:val="004E01F3"/>
    <w:rsid w:val="00500826"/>
    <w:rsid w:val="00510812"/>
    <w:rsid w:val="0051335B"/>
    <w:rsid w:val="00515E41"/>
    <w:rsid w:val="00583F51"/>
    <w:rsid w:val="0059695B"/>
    <w:rsid w:val="005B28E7"/>
    <w:rsid w:val="005D174F"/>
    <w:rsid w:val="00637A10"/>
    <w:rsid w:val="00664D5F"/>
    <w:rsid w:val="00670FAD"/>
    <w:rsid w:val="00676673"/>
    <w:rsid w:val="006A47E1"/>
    <w:rsid w:val="006A5C86"/>
    <w:rsid w:val="006C2960"/>
    <w:rsid w:val="006C48B7"/>
    <w:rsid w:val="006E3466"/>
    <w:rsid w:val="0076074F"/>
    <w:rsid w:val="00794181"/>
    <w:rsid w:val="007F7946"/>
    <w:rsid w:val="00850F3D"/>
    <w:rsid w:val="008673B6"/>
    <w:rsid w:val="008D078D"/>
    <w:rsid w:val="00901DC4"/>
    <w:rsid w:val="00946378"/>
    <w:rsid w:val="00962B22"/>
    <w:rsid w:val="0096370D"/>
    <w:rsid w:val="00986058"/>
    <w:rsid w:val="009A222E"/>
    <w:rsid w:val="009C4600"/>
    <w:rsid w:val="009F37BB"/>
    <w:rsid w:val="00A12B7A"/>
    <w:rsid w:val="00A624B4"/>
    <w:rsid w:val="00A76A79"/>
    <w:rsid w:val="00AB5DA2"/>
    <w:rsid w:val="00AC22F2"/>
    <w:rsid w:val="00B47CBB"/>
    <w:rsid w:val="00B723CF"/>
    <w:rsid w:val="00BD72D5"/>
    <w:rsid w:val="00BE3882"/>
    <w:rsid w:val="00C44D24"/>
    <w:rsid w:val="00C53DF4"/>
    <w:rsid w:val="00C72684"/>
    <w:rsid w:val="00CB6D8A"/>
    <w:rsid w:val="00D33084"/>
    <w:rsid w:val="00F115B8"/>
    <w:rsid w:val="00F14844"/>
    <w:rsid w:val="00F71028"/>
    <w:rsid w:val="00F74ADD"/>
    <w:rsid w:val="00FE397C"/>
    <w:rsid w:val="00FF2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3B7B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61D1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D1C"/>
    <w:rPr>
      <w:rFonts w:ascii="Tahoma" w:hAnsi="Tahoma" w:cs="Tahoma"/>
      <w:sz w:val="16"/>
      <w:szCs w:val="16"/>
    </w:rPr>
  </w:style>
  <w:style w:type="paragraph" w:styleId="Sidhuvud">
    <w:name w:val="header"/>
    <w:basedOn w:val="Normal"/>
    <w:link w:val="SidhuvudChar"/>
    <w:uiPriority w:val="99"/>
    <w:unhideWhenUsed/>
    <w:rsid w:val="00583F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3F51"/>
  </w:style>
  <w:style w:type="paragraph" w:styleId="Sidfot">
    <w:name w:val="footer"/>
    <w:basedOn w:val="Normal"/>
    <w:link w:val="SidfotChar"/>
    <w:uiPriority w:val="99"/>
    <w:unhideWhenUsed/>
    <w:rsid w:val="00583F5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3F51"/>
  </w:style>
  <w:style w:type="character" w:customStyle="1" w:styleId="hps">
    <w:name w:val="hps"/>
    <w:basedOn w:val="Standardstycketeckensnitt"/>
    <w:rsid w:val="00CB6D8A"/>
  </w:style>
  <w:style w:type="character" w:customStyle="1" w:styleId="Rubrik2Char">
    <w:name w:val="Rubrik 2 Char"/>
    <w:basedOn w:val="Standardstycketeckensnitt"/>
    <w:link w:val="Rubrik2"/>
    <w:uiPriority w:val="9"/>
    <w:rsid w:val="003B7B0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3B7B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61D1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D1C"/>
    <w:rPr>
      <w:rFonts w:ascii="Tahoma" w:hAnsi="Tahoma" w:cs="Tahoma"/>
      <w:sz w:val="16"/>
      <w:szCs w:val="16"/>
    </w:rPr>
  </w:style>
  <w:style w:type="paragraph" w:styleId="Sidhuvud">
    <w:name w:val="header"/>
    <w:basedOn w:val="Normal"/>
    <w:link w:val="SidhuvudChar"/>
    <w:uiPriority w:val="99"/>
    <w:unhideWhenUsed/>
    <w:rsid w:val="00583F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3F51"/>
  </w:style>
  <w:style w:type="paragraph" w:styleId="Sidfot">
    <w:name w:val="footer"/>
    <w:basedOn w:val="Normal"/>
    <w:link w:val="SidfotChar"/>
    <w:uiPriority w:val="99"/>
    <w:unhideWhenUsed/>
    <w:rsid w:val="00583F5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3F51"/>
  </w:style>
  <w:style w:type="character" w:customStyle="1" w:styleId="hps">
    <w:name w:val="hps"/>
    <w:basedOn w:val="Standardstycketeckensnitt"/>
    <w:rsid w:val="00CB6D8A"/>
  </w:style>
  <w:style w:type="character" w:customStyle="1" w:styleId="Rubrik2Char">
    <w:name w:val="Rubrik 2 Char"/>
    <w:basedOn w:val="Standardstycketeckensnitt"/>
    <w:link w:val="Rubrik2"/>
    <w:uiPriority w:val="9"/>
    <w:rsid w:val="003B7B0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7441">
      <w:bodyDiv w:val="1"/>
      <w:marLeft w:val="0"/>
      <w:marRight w:val="0"/>
      <w:marTop w:val="0"/>
      <w:marBottom w:val="0"/>
      <w:divBdr>
        <w:top w:val="none" w:sz="0" w:space="0" w:color="auto"/>
        <w:left w:val="none" w:sz="0" w:space="0" w:color="auto"/>
        <w:bottom w:val="none" w:sz="0" w:space="0" w:color="auto"/>
        <w:right w:val="none" w:sz="0" w:space="0" w:color="auto"/>
      </w:divBdr>
    </w:div>
    <w:div w:id="605847538">
      <w:bodyDiv w:val="1"/>
      <w:marLeft w:val="0"/>
      <w:marRight w:val="0"/>
      <w:marTop w:val="0"/>
      <w:marBottom w:val="0"/>
      <w:divBdr>
        <w:top w:val="none" w:sz="0" w:space="0" w:color="auto"/>
        <w:left w:val="none" w:sz="0" w:space="0" w:color="auto"/>
        <w:bottom w:val="none" w:sz="0" w:space="0" w:color="auto"/>
        <w:right w:val="none" w:sz="0" w:space="0" w:color="auto"/>
      </w:divBdr>
    </w:div>
    <w:div w:id="661200431">
      <w:bodyDiv w:val="1"/>
      <w:marLeft w:val="0"/>
      <w:marRight w:val="0"/>
      <w:marTop w:val="0"/>
      <w:marBottom w:val="0"/>
      <w:divBdr>
        <w:top w:val="none" w:sz="0" w:space="0" w:color="auto"/>
        <w:left w:val="none" w:sz="0" w:space="0" w:color="auto"/>
        <w:bottom w:val="none" w:sz="0" w:space="0" w:color="auto"/>
        <w:right w:val="none" w:sz="0" w:space="0" w:color="auto"/>
      </w:divBdr>
    </w:div>
    <w:div w:id="686295255">
      <w:bodyDiv w:val="1"/>
      <w:marLeft w:val="0"/>
      <w:marRight w:val="0"/>
      <w:marTop w:val="0"/>
      <w:marBottom w:val="0"/>
      <w:divBdr>
        <w:top w:val="none" w:sz="0" w:space="0" w:color="auto"/>
        <w:left w:val="none" w:sz="0" w:space="0" w:color="auto"/>
        <w:bottom w:val="none" w:sz="0" w:space="0" w:color="auto"/>
        <w:right w:val="none" w:sz="0" w:space="0" w:color="auto"/>
      </w:divBdr>
    </w:div>
    <w:div w:id="786123440">
      <w:bodyDiv w:val="1"/>
      <w:marLeft w:val="0"/>
      <w:marRight w:val="0"/>
      <w:marTop w:val="0"/>
      <w:marBottom w:val="0"/>
      <w:divBdr>
        <w:top w:val="none" w:sz="0" w:space="0" w:color="auto"/>
        <w:left w:val="none" w:sz="0" w:space="0" w:color="auto"/>
        <w:bottom w:val="none" w:sz="0" w:space="0" w:color="auto"/>
        <w:right w:val="none" w:sz="0" w:space="0" w:color="auto"/>
      </w:divBdr>
    </w:div>
    <w:div w:id="1099325850">
      <w:bodyDiv w:val="1"/>
      <w:marLeft w:val="0"/>
      <w:marRight w:val="0"/>
      <w:marTop w:val="0"/>
      <w:marBottom w:val="0"/>
      <w:divBdr>
        <w:top w:val="none" w:sz="0" w:space="0" w:color="auto"/>
        <w:left w:val="none" w:sz="0" w:space="0" w:color="auto"/>
        <w:bottom w:val="none" w:sz="0" w:space="0" w:color="auto"/>
        <w:right w:val="none" w:sz="0" w:space="0" w:color="auto"/>
      </w:divBdr>
    </w:div>
    <w:div w:id="1227498737">
      <w:bodyDiv w:val="1"/>
      <w:marLeft w:val="0"/>
      <w:marRight w:val="0"/>
      <w:marTop w:val="0"/>
      <w:marBottom w:val="0"/>
      <w:divBdr>
        <w:top w:val="none" w:sz="0" w:space="0" w:color="auto"/>
        <w:left w:val="none" w:sz="0" w:space="0" w:color="auto"/>
        <w:bottom w:val="none" w:sz="0" w:space="0" w:color="auto"/>
        <w:right w:val="none" w:sz="0" w:space="0" w:color="auto"/>
      </w:divBdr>
    </w:div>
    <w:div w:id="13817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kalkylblad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kalkylblad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K83001\Datak\da830\Lantbruksbarometern\2012\H&#246;sten%202012\Diagram%203%20Framtidstro%20per%20produktionsgr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sz="1200"/>
              <a:t>Böndernas upplevda "nettolönsamhet" 2003 - hösten 2012</a:t>
            </a:r>
          </a:p>
        </c:rich>
      </c:tx>
      <c:layout>
        <c:manualLayout>
          <c:xMode val="edge"/>
          <c:yMode val="edge"/>
          <c:x val="1.4706225447309268E-2"/>
          <c:y val="2.8337061894108874E-2"/>
        </c:manualLayout>
      </c:layout>
      <c:overlay val="0"/>
    </c:title>
    <c:autoTitleDeleted val="0"/>
    <c:plotArea>
      <c:layout>
        <c:manualLayout>
          <c:layoutTarget val="inner"/>
          <c:xMode val="edge"/>
          <c:yMode val="edge"/>
          <c:x val="8.4967455843188072E-2"/>
          <c:y val="0.26398267963218253"/>
          <c:w val="0.89215828635347472"/>
          <c:h val="0.62639957878822972"/>
        </c:manualLayout>
      </c:layout>
      <c:barChart>
        <c:barDir val="col"/>
        <c:grouping val="clustered"/>
        <c:varyColors val="0"/>
        <c:ser>
          <c:idx val="1"/>
          <c:order val="0"/>
          <c:tx>
            <c:strRef>
              <c:f>Blad1!$B$3</c:f>
              <c:strCache>
                <c:ptCount val="1"/>
                <c:pt idx="0">
                  <c:v>%</c:v>
                </c:pt>
              </c:strCache>
            </c:strRef>
          </c:tx>
          <c:invertIfNegative val="0"/>
          <c:cat>
            <c:strRef>
              <c:f>Blad1!$A$5:$A$15</c:f>
              <c:strCache>
                <c:ptCount val="11"/>
                <c:pt idx="0">
                  <c:v>2003</c:v>
                </c:pt>
                <c:pt idx="1">
                  <c:v>2004</c:v>
                </c:pt>
                <c:pt idx="2">
                  <c:v>2005</c:v>
                </c:pt>
                <c:pt idx="3">
                  <c:v>2006</c:v>
                </c:pt>
                <c:pt idx="4">
                  <c:v>2007</c:v>
                </c:pt>
                <c:pt idx="5">
                  <c:v>2008</c:v>
                </c:pt>
                <c:pt idx="6">
                  <c:v>2009</c:v>
                </c:pt>
                <c:pt idx="7">
                  <c:v>2010</c:v>
                </c:pt>
                <c:pt idx="8">
                  <c:v>2011</c:v>
                </c:pt>
                <c:pt idx="9">
                  <c:v>2012     Vår</c:v>
                </c:pt>
                <c:pt idx="10">
                  <c:v>2012 Hösten</c:v>
                </c:pt>
              </c:strCache>
            </c:strRef>
          </c:cat>
          <c:val>
            <c:numRef>
              <c:f>Blad1!$B$5:$B$15</c:f>
              <c:numCache>
                <c:formatCode>General</c:formatCode>
                <c:ptCount val="11"/>
                <c:pt idx="0">
                  <c:v>30</c:v>
                </c:pt>
                <c:pt idx="1">
                  <c:v>21</c:v>
                </c:pt>
                <c:pt idx="2">
                  <c:v>22</c:v>
                </c:pt>
                <c:pt idx="3">
                  <c:v>27</c:v>
                </c:pt>
                <c:pt idx="4">
                  <c:v>37</c:v>
                </c:pt>
                <c:pt idx="5">
                  <c:v>60</c:v>
                </c:pt>
                <c:pt idx="6">
                  <c:v>31</c:v>
                </c:pt>
                <c:pt idx="7">
                  <c:v>24</c:v>
                </c:pt>
                <c:pt idx="8">
                  <c:v>46</c:v>
                </c:pt>
                <c:pt idx="9">
                  <c:v>41</c:v>
                </c:pt>
                <c:pt idx="10">
                  <c:v>33</c:v>
                </c:pt>
              </c:numCache>
            </c:numRef>
          </c:val>
        </c:ser>
        <c:ser>
          <c:idx val="0"/>
          <c:order val="1"/>
          <c:tx>
            <c:strRef>
              <c:f>Blad1!$C$3</c:f>
              <c:strCache>
                <c:ptCount val="1"/>
                <c:pt idx="0">
                  <c:v>%</c:v>
                </c:pt>
              </c:strCache>
            </c:strRef>
          </c:tx>
          <c:invertIfNegative val="0"/>
          <c:cat>
            <c:strRef>
              <c:f>Blad1!$A$5:$A$15</c:f>
              <c:strCache>
                <c:ptCount val="11"/>
                <c:pt idx="0">
                  <c:v>2003</c:v>
                </c:pt>
                <c:pt idx="1">
                  <c:v>2004</c:v>
                </c:pt>
                <c:pt idx="2">
                  <c:v>2005</c:v>
                </c:pt>
                <c:pt idx="3">
                  <c:v>2006</c:v>
                </c:pt>
                <c:pt idx="4">
                  <c:v>2007</c:v>
                </c:pt>
                <c:pt idx="5">
                  <c:v>2008</c:v>
                </c:pt>
                <c:pt idx="6">
                  <c:v>2009</c:v>
                </c:pt>
                <c:pt idx="7">
                  <c:v>2010</c:v>
                </c:pt>
                <c:pt idx="8">
                  <c:v>2011</c:v>
                </c:pt>
                <c:pt idx="9">
                  <c:v>2012     Vår</c:v>
                </c:pt>
                <c:pt idx="10">
                  <c:v>2012 Hösten</c:v>
                </c:pt>
              </c:strCache>
            </c:strRef>
          </c:cat>
          <c:val>
            <c:numRef>
              <c:f>Blad1!$C$5:$C$15</c:f>
              <c:numCache>
                <c:formatCode>General</c:formatCode>
                <c:ptCount val="11"/>
                <c:pt idx="0">
                  <c:v>-67</c:v>
                </c:pt>
                <c:pt idx="1">
                  <c:v>-78</c:v>
                </c:pt>
                <c:pt idx="2">
                  <c:v>-77</c:v>
                </c:pt>
                <c:pt idx="3">
                  <c:v>-71</c:v>
                </c:pt>
                <c:pt idx="4">
                  <c:v>-61</c:v>
                </c:pt>
                <c:pt idx="5">
                  <c:v>-36</c:v>
                </c:pt>
                <c:pt idx="6">
                  <c:v>-68</c:v>
                </c:pt>
                <c:pt idx="7">
                  <c:v>-74</c:v>
                </c:pt>
                <c:pt idx="8">
                  <c:v>-52</c:v>
                </c:pt>
                <c:pt idx="9">
                  <c:v>-58</c:v>
                </c:pt>
                <c:pt idx="10">
                  <c:v>-66</c:v>
                </c:pt>
              </c:numCache>
            </c:numRef>
          </c:val>
        </c:ser>
        <c:dLbls>
          <c:showLegendKey val="0"/>
          <c:showVal val="0"/>
          <c:showCatName val="0"/>
          <c:showSerName val="0"/>
          <c:showPercent val="0"/>
          <c:showBubbleSize val="0"/>
        </c:dLbls>
        <c:gapWidth val="80"/>
        <c:overlap val="100"/>
        <c:axId val="73102080"/>
        <c:axId val="73104000"/>
      </c:barChart>
      <c:lineChart>
        <c:grouping val="stacked"/>
        <c:varyColors val="0"/>
        <c:ser>
          <c:idx val="2"/>
          <c:order val="2"/>
          <c:tx>
            <c:strRef>
              <c:f>Blad1!$D$3</c:f>
              <c:strCache>
                <c:ptCount val="1"/>
              </c:strCache>
            </c:strRef>
          </c:tx>
          <c:marker>
            <c:symbol val="none"/>
          </c:marker>
          <c:cat>
            <c:strRef>
              <c:f>Blad1!$A$5:$A$15</c:f>
              <c:strCache>
                <c:ptCount val="11"/>
                <c:pt idx="0">
                  <c:v>2003</c:v>
                </c:pt>
                <c:pt idx="1">
                  <c:v>2004</c:v>
                </c:pt>
                <c:pt idx="2">
                  <c:v>2005</c:v>
                </c:pt>
                <c:pt idx="3">
                  <c:v>2006</c:v>
                </c:pt>
                <c:pt idx="4">
                  <c:v>2007</c:v>
                </c:pt>
                <c:pt idx="5">
                  <c:v>2008</c:v>
                </c:pt>
                <c:pt idx="6">
                  <c:v>2009</c:v>
                </c:pt>
                <c:pt idx="7">
                  <c:v>2010</c:v>
                </c:pt>
                <c:pt idx="8">
                  <c:v>2011</c:v>
                </c:pt>
                <c:pt idx="9">
                  <c:v>2012     Vår</c:v>
                </c:pt>
                <c:pt idx="10">
                  <c:v>2012 Hösten</c:v>
                </c:pt>
              </c:strCache>
            </c:strRef>
          </c:cat>
          <c:val>
            <c:numRef>
              <c:f>Blad1!$D$5:$D$15</c:f>
              <c:numCache>
                <c:formatCode>General</c:formatCode>
                <c:ptCount val="11"/>
                <c:pt idx="0">
                  <c:v>-37</c:v>
                </c:pt>
                <c:pt idx="1">
                  <c:v>-57</c:v>
                </c:pt>
                <c:pt idx="2">
                  <c:v>-55</c:v>
                </c:pt>
                <c:pt idx="3">
                  <c:v>-44</c:v>
                </c:pt>
                <c:pt idx="4">
                  <c:v>-24</c:v>
                </c:pt>
                <c:pt idx="5">
                  <c:v>24</c:v>
                </c:pt>
                <c:pt idx="6">
                  <c:v>-37</c:v>
                </c:pt>
                <c:pt idx="7">
                  <c:v>-50</c:v>
                </c:pt>
                <c:pt idx="8">
                  <c:v>-6</c:v>
                </c:pt>
                <c:pt idx="9">
                  <c:v>-17</c:v>
                </c:pt>
                <c:pt idx="10">
                  <c:v>-33</c:v>
                </c:pt>
              </c:numCache>
            </c:numRef>
          </c:val>
          <c:smooth val="0"/>
        </c:ser>
        <c:dLbls>
          <c:showLegendKey val="0"/>
          <c:showVal val="0"/>
          <c:showCatName val="0"/>
          <c:showSerName val="0"/>
          <c:showPercent val="0"/>
          <c:showBubbleSize val="0"/>
        </c:dLbls>
        <c:marker val="1"/>
        <c:smooth val="0"/>
        <c:axId val="73134464"/>
        <c:axId val="73136384"/>
      </c:lineChart>
      <c:catAx>
        <c:axId val="73102080"/>
        <c:scaling>
          <c:orientation val="minMax"/>
        </c:scaling>
        <c:delete val="0"/>
        <c:axPos val="b"/>
        <c:title>
          <c:tx>
            <c:rich>
              <a:bodyPr/>
              <a:lstStyle/>
              <a:p>
                <a:pPr>
                  <a:defRPr/>
                </a:pPr>
                <a:r>
                  <a:rPr lang="sv-SE"/>
                  <a:t>Andel som svarat "Ganska eller mycket dålig"</a:t>
                </a:r>
              </a:p>
            </c:rich>
          </c:tx>
          <c:layout>
            <c:manualLayout>
              <c:xMode val="edge"/>
              <c:yMode val="edge"/>
              <c:x val="0.2908501878441665"/>
              <c:y val="0.91499092814740435"/>
            </c:manualLayout>
          </c:layout>
          <c:overlay val="0"/>
        </c:title>
        <c:numFmt formatCode="General" sourceLinked="1"/>
        <c:majorTickMark val="cross"/>
        <c:minorTickMark val="none"/>
        <c:tickLblPos val="nextTo"/>
        <c:txPr>
          <a:bodyPr rot="0" vert="horz"/>
          <a:lstStyle/>
          <a:p>
            <a:pPr>
              <a:defRPr/>
            </a:pPr>
            <a:endParaRPr lang="sv-SE"/>
          </a:p>
        </c:txPr>
        <c:crossAx val="73104000"/>
        <c:crosses val="autoZero"/>
        <c:auto val="0"/>
        <c:lblAlgn val="ctr"/>
        <c:lblOffset val="100"/>
        <c:tickLblSkip val="1"/>
        <c:tickMarkSkip val="1"/>
        <c:noMultiLvlLbl val="0"/>
      </c:catAx>
      <c:valAx>
        <c:axId val="73104000"/>
        <c:scaling>
          <c:orientation val="minMax"/>
        </c:scaling>
        <c:delete val="0"/>
        <c:axPos val="l"/>
        <c:numFmt formatCode="General" sourceLinked="1"/>
        <c:majorTickMark val="cross"/>
        <c:minorTickMark val="none"/>
        <c:tickLblPos val="nextTo"/>
        <c:txPr>
          <a:bodyPr rot="0" vert="horz"/>
          <a:lstStyle/>
          <a:p>
            <a:pPr>
              <a:defRPr/>
            </a:pPr>
            <a:endParaRPr lang="sv-SE"/>
          </a:p>
        </c:txPr>
        <c:crossAx val="73102080"/>
        <c:crosses val="autoZero"/>
        <c:crossBetween val="between"/>
      </c:valAx>
      <c:catAx>
        <c:axId val="73134464"/>
        <c:scaling>
          <c:orientation val="minMax"/>
        </c:scaling>
        <c:delete val="1"/>
        <c:axPos val="b"/>
        <c:title>
          <c:tx>
            <c:rich>
              <a:bodyPr/>
              <a:lstStyle/>
              <a:p>
                <a:pPr>
                  <a:defRPr/>
                </a:pPr>
                <a:r>
                  <a:rPr lang="sv-SE"/>
                  <a:t>Andel som svarat "Ganska eller mycket god"</a:t>
                </a:r>
              </a:p>
            </c:rich>
          </c:tx>
          <c:layout>
            <c:manualLayout>
              <c:xMode val="edge"/>
              <c:yMode val="edge"/>
              <c:x val="0.29738613555658483"/>
              <c:y val="0.21252843394575677"/>
            </c:manualLayout>
          </c:layout>
          <c:overlay val="0"/>
        </c:title>
        <c:majorTickMark val="out"/>
        <c:minorTickMark val="none"/>
        <c:tickLblPos val="nextTo"/>
        <c:crossAx val="73136384"/>
        <c:crosses val="autoZero"/>
        <c:auto val="0"/>
        <c:lblAlgn val="ctr"/>
        <c:lblOffset val="100"/>
        <c:noMultiLvlLbl val="0"/>
      </c:catAx>
      <c:valAx>
        <c:axId val="73136384"/>
        <c:scaling>
          <c:orientation val="minMax"/>
        </c:scaling>
        <c:delete val="1"/>
        <c:axPos val="l"/>
        <c:numFmt formatCode="General" sourceLinked="1"/>
        <c:majorTickMark val="out"/>
        <c:minorTickMark val="none"/>
        <c:tickLblPos val="nextTo"/>
        <c:crossAx val="7313446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v-SE" sz="1200"/>
              <a:t>Böndernas upplevda lönsamhet fördelat på produktionsgrenar </a:t>
            </a:r>
          </a:p>
          <a:p>
            <a:pPr>
              <a:defRPr/>
            </a:pPr>
            <a:r>
              <a:rPr lang="sv-SE" sz="1200"/>
              <a:t>2003 - hösten 2012</a:t>
            </a:r>
          </a:p>
        </c:rich>
      </c:tx>
      <c:layout>
        <c:manualLayout>
          <c:xMode val="edge"/>
          <c:yMode val="edge"/>
          <c:x val="0.10080649415792078"/>
          <c:y val="5.3300109638193961E-2"/>
        </c:manualLayout>
      </c:layout>
      <c:overlay val="0"/>
    </c:title>
    <c:autoTitleDeleted val="0"/>
    <c:plotArea>
      <c:layout>
        <c:manualLayout>
          <c:layoutTarget val="inner"/>
          <c:xMode val="edge"/>
          <c:yMode val="edge"/>
          <c:x val="9.4368481212663516E-2"/>
          <c:y val="0.26164920343512588"/>
          <c:w val="0.70212981348345949"/>
          <c:h val="0.63799394810208776"/>
        </c:manualLayout>
      </c:layout>
      <c:lineChart>
        <c:grouping val="standard"/>
        <c:varyColors val="0"/>
        <c:ser>
          <c:idx val="0"/>
          <c:order val="0"/>
          <c:tx>
            <c:strRef>
              <c:f>Blad1!$G$1</c:f>
              <c:strCache>
                <c:ptCount val="1"/>
                <c:pt idx="0">
                  <c:v>Gris</c:v>
                </c:pt>
              </c:strCache>
            </c:strRef>
          </c:tx>
          <c:marker>
            <c:symbol val="none"/>
          </c:marker>
          <c:cat>
            <c:strRef>
              <c:f>Blad1!$F$3:$F$13</c:f>
              <c:strCache>
                <c:ptCount val="11"/>
                <c:pt idx="0">
                  <c:v>2003</c:v>
                </c:pt>
                <c:pt idx="1">
                  <c:v>2004</c:v>
                </c:pt>
                <c:pt idx="2">
                  <c:v>2005</c:v>
                </c:pt>
                <c:pt idx="3">
                  <c:v>2006</c:v>
                </c:pt>
                <c:pt idx="4">
                  <c:v>2007</c:v>
                </c:pt>
                <c:pt idx="5">
                  <c:v>2008</c:v>
                </c:pt>
                <c:pt idx="6">
                  <c:v>2009</c:v>
                </c:pt>
                <c:pt idx="7">
                  <c:v>2010</c:v>
                </c:pt>
                <c:pt idx="8">
                  <c:v>2011</c:v>
                </c:pt>
                <c:pt idx="9">
                  <c:v>Våren 2012</c:v>
                </c:pt>
                <c:pt idx="10">
                  <c:v>Hösten 2012</c:v>
                </c:pt>
              </c:strCache>
            </c:strRef>
          </c:cat>
          <c:val>
            <c:numRef>
              <c:f>Blad1!$G$3:$G$13</c:f>
              <c:numCache>
                <c:formatCode>General</c:formatCode>
                <c:ptCount val="11"/>
                <c:pt idx="0">
                  <c:v>5</c:v>
                </c:pt>
                <c:pt idx="1">
                  <c:v>-82</c:v>
                </c:pt>
                <c:pt idx="2">
                  <c:v>-38</c:v>
                </c:pt>
                <c:pt idx="3">
                  <c:v>-11</c:v>
                </c:pt>
                <c:pt idx="4">
                  <c:v>11</c:v>
                </c:pt>
                <c:pt idx="5">
                  <c:v>-43</c:v>
                </c:pt>
                <c:pt idx="6">
                  <c:v>-17</c:v>
                </c:pt>
                <c:pt idx="7">
                  <c:v>-22</c:v>
                </c:pt>
                <c:pt idx="8">
                  <c:v>-64</c:v>
                </c:pt>
                <c:pt idx="9">
                  <c:v>-32</c:v>
                </c:pt>
                <c:pt idx="10">
                  <c:v>-48</c:v>
                </c:pt>
              </c:numCache>
            </c:numRef>
          </c:val>
          <c:smooth val="0"/>
        </c:ser>
        <c:ser>
          <c:idx val="1"/>
          <c:order val="1"/>
          <c:tx>
            <c:strRef>
              <c:f>Blad1!$H$1</c:f>
              <c:strCache>
                <c:ptCount val="1"/>
                <c:pt idx="0">
                  <c:v>Växt</c:v>
                </c:pt>
              </c:strCache>
            </c:strRef>
          </c:tx>
          <c:marker>
            <c:symbol val="none"/>
          </c:marker>
          <c:cat>
            <c:strRef>
              <c:f>Blad1!$F$3:$F$13</c:f>
              <c:strCache>
                <c:ptCount val="11"/>
                <c:pt idx="0">
                  <c:v>2003</c:v>
                </c:pt>
                <c:pt idx="1">
                  <c:v>2004</c:v>
                </c:pt>
                <c:pt idx="2">
                  <c:v>2005</c:v>
                </c:pt>
                <c:pt idx="3">
                  <c:v>2006</c:v>
                </c:pt>
                <c:pt idx="4">
                  <c:v>2007</c:v>
                </c:pt>
                <c:pt idx="5">
                  <c:v>2008</c:v>
                </c:pt>
                <c:pt idx="6">
                  <c:v>2009</c:v>
                </c:pt>
                <c:pt idx="7">
                  <c:v>2010</c:v>
                </c:pt>
                <c:pt idx="8">
                  <c:v>2011</c:v>
                </c:pt>
                <c:pt idx="9">
                  <c:v>Våren 2012</c:v>
                </c:pt>
                <c:pt idx="10">
                  <c:v>Hösten 2012</c:v>
                </c:pt>
              </c:strCache>
            </c:strRef>
          </c:cat>
          <c:val>
            <c:numRef>
              <c:f>Blad1!$H$3:$H$13</c:f>
              <c:numCache>
                <c:formatCode>General</c:formatCode>
                <c:ptCount val="11"/>
                <c:pt idx="0">
                  <c:v>-33</c:v>
                </c:pt>
                <c:pt idx="1">
                  <c:v>-61</c:v>
                </c:pt>
                <c:pt idx="2">
                  <c:v>-67</c:v>
                </c:pt>
                <c:pt idx="3">
                  <c:v>-64</c:v>
                </c:pt>
                <c:pt idx="4">
                  <c:v>-41</c:v>
                </c:pt>
                <c:pt idx="5">
                  <c:v>52</c:v>
                </c:pt>
                <c:pt idx="6">
                  <c:v>-35</c:v>
                </c:pt>
                <c:pt idx="7">
                  <c:v>-63</c:v>
                </c:pt>
                <c:pt idx="8">
                  <c:v>9</c:v>
                </c:pt>
                <c:pt idx="9">
                  <c:v>-4</c:v>
                </c:pt>
                <c:pt idx="10">
                  <c:v>0</c:v>
                </c:pt>
              </c:numCache>
            </c:numRef>
          </c:val>
          <c:smooth val="0"/>
        </c:ser>
        <c:ser>
          <c:idx val="2"/>
          <c:order val="2"/>
          <c:tx>
            <c:strRef>
              <c:f>Blad1!$I$1</c:f>
              <c:strCache>
                <c:ptCount val="1"/>
                <c:pt idx="0">
                  <c:v>Mjölk</c:v>
                </c:pt>
              </c:strCache>
            </c:strRef>
          </c:tx>
          <c:marker>
            <c:symbol val="none"/>
          </c:marker>
          <c:cat>
            <c:strRef>
              <c:f>Blad1!$F$3:$F$13</c:f>
              <c:strCache>
                <c:ptCount val="11"/>
                <c:pt idx="0">
                  <c:v>2003</c:v>
                </c:pt>
                <c:pt idx="1">
                  <c:v>2004</c:v>
                </c:pt>
                <c:pt idx="2">
                  <c:v>2005</c:v>
                </c:pt>
                <c:pt idx="3">
                  <c:v>2006</c:v>
                </c:pt>
                <c:pt idx="4">
                  <c:v>2007</c:v>
                </c:pt>
                <c:pt idx="5">
                  <c:v>2008</c:v>
                </c:pt>
                <c:pt idx="6">
                  <c:v>2009</c:v>
                </c:pt>
                <c:pt idx="7">
                  <c:v>2010</c:v>
                </c:pt>
                <c:pt idx="8">
                  <c:v>2011</c:v>
                </c:pt>
                <c:pt idx="9">
                  <c:v>Våren 2012</c:v>
                </c:pt>
                <c:pt idx="10">
                  <c:v>Hösten 2012</c:v>
                </c:pt>
              </c:strCache>
            </c:strRef>
          </c:cat>
          <c:val>
            <c:numRef>
              <c:f>Blad1!$I$3:$I$13</c:f>
              <c:numCache>
                <c:formatCode>General</c:formatCode>
                <c:ptCount val="11"/>
                <c:pt idx="0">
                  <c:v>-41</c:v>
                </c:pt>
                <c:pt idx="1">
                  <c:v>-40</c:v>
                </c:pt>
                <c:pt idx="2">
                  <c:v>-47</c:v>
                </c:pt>
                <c:pt idx="3">
                  <c:v>-35</c:v>
                </c:pt>
                <c:pt idx="4">
                  <c:v>-21</c:v>
                </c:pt>
                <c:pt idx="5">
                  <c:v>40</c:v>
                </c:pt>
                <c:pt idx="6">
                  <c:v>-48</c:v>
                </c:pt>
                <c:pt idx="7">
                  <c:v>-56</c:v>
                </c:pt>
                <c:pt idx="8">
                  <c:v>26</c:v>
                </c:pt>
                <c:pt idx="9">
                  <c:v>17</c:v>
                </c:pt>
                <c:pt idx="10">
                  <c:v>-100</c:v>
                </c:pt>
              </c:numCache>
            </c:numRef>
          </c:val>
          <c:smooth val="0"/>
        </c:ser>
        <c:ser>
          <c:idx val="3"/>
          <c:order val="3"/>
          <c:tx>
            <c:strRef>
              <c:f>Blad1!$J$1</c:f>
              <c:strCache>
                <c:ptCount val="1"/>
                <c:pt idx="0">
                  <c:v>Nöt</c:v>
                </c:pt>
              </c:strCache>
            </c:strRef>
          </c:tx>
          <c:marker>
            <c:symbol val="none"/>
          </c:marker>
          <c:cat>
            <c:strRef>
              <c:f>Blad1!$F$3:$F$13</c:f>
              <c:strCache>
                <c:ptCount val="11"/>
                <c:pt idx="0">
                  <c:v>2003</c:v>
                </c:pt>
                <c:pt idx="1">
                  <c:v>2004</c:v>
                </c:pt>
                <c:pt idx="2">
                  <c:v>2005</c:v>
                </c:pt>
                <c:pt idx="3">
                  <c:v>2006</c:v>
                </c:pt>
                <c:pt idx="4">
                  <c:v>2007</c:v>
                </c:pt>
                <c:pt idx="5">
                  <c:v>2008</c:v>
                </c:pt>
                <c:pt idx="6">
                  <c:v>2009</c:v>
                </c:pt>
                <c:pt idx="7">
                  <c:v>2010</c:v>
                </c:pt>
                <c:pt idx="8">
                  <c:v>2011</c:v>
                </c:pt>
                <c:pt idx="9">
                  <c:v>Våren 2012</c:v>
                </c:pt>
                <c:pt idx="10">
                  <c:v>Hösten 2012</c:v>
                </c:pt>
              </c:strCache>
            </c:strRef>
          </c:cat>
          <c:val>
            <c:numRef>
              <c:f>Blad1!$J$3:$J$13</c:f>
              <c:numCache>
                <c:formatCode>General</c:formatCode>
                <c:ptCount val="11"/>
                <c:pt idx="3">
                  <c:v>-37</c:v>
                </c:pt>
                <c:pt idx="4">
                  <c:v>-15</c:v>
                </c:pt>
                <c:pt idx="5">
                  <c:v>-13</c:v>
                </c:pt>
                <c:pt idx="6">
                  <c:v>-44</c:v>
                </c:pt>
                <c:pt idx="7">
                  <c:v>-53</c:v>
                </c:pt>
                <c:pt idx="8">
                  <c:v>-41</c:v>
                </c:pt>
                <c:pt idx="9">
                  <c:v>-41</c:v>
                </c:pt>
                <c:pt idx="10">
                  <c:v>-59</c:v>
                </c:pt>
              </c:numCache>
            </c:numRef>
          </c:val>
          <c:smooth val="0"/>
        </c:ser>
        <c:dLbls>
          <c:showLegendKey val="0"/>
          <c:showVal val="0"/>
          <c:showCatName val="0"/>
          <c:showSerName val="0"/>
          <c:showPercent val="0"/>
          <c:showBubbleSize val="0"/>
        </c:dLbls>
        <c:marker val="1"/>
        <c:smooth val="0"/>
        <c:axId val="124691200"/>
        <c:axId val="124692736"/>
      </c:lineChart>
      <c:catAx>
        <c:axId val="124691200"/>
        <c:scaling>
          <c:orientation val="minMax"/>
        </c:scaling>
        <c:delete val="0"/>
        <c:axPos val="b"/>
        <c:numFmt formatCode="General" sourceLinked="1"/>
        <c:majorTickMark val="out"/>
        <c:minorTickMark val="none"/>
        <c:tickLblPos val="low"/>
        <c:txPr>
          <a:bodyPr rot="0" vert="horz"/>
          <a:lstStyle/>
          <a:p>
            <a:pPr>
              <a:defRPr/>
            </a:pPr>
            <a:endParaRPr lang="sv-SE"/>
          </a:p>
        </c:txPr>
        <c:crossAx val="124692736"/>
        <c:crosses val="autoZero"/>
        <c:auto val="1"/>
        <c:lblAlgn val="ctr"/>
        <c:lblOffset val="100"/>
        <c:noMultiLvlLbl val="0"/>
      </c:catAx>
      <c:valAx>
        <c:axId val="124692736"/>
        <c:scaling>
          <c:orientation val="minMax"/>
        </c:scaling>
        <c:delete val="0"/>
        <c:axPos val="l"/>
        <c:majorGridlines/>
        <c:numFmt formatCode="General" sourceLinked="1"/>
        <c:majorTickMark val="out"/>
        <c:minorTickMark val="none"/>
        <c:tickLblPos val="nextTo"/>
        <c:txPr>
          <a:bodyPr rot="0" vert="horz"/>
          <a:lstStyle/>
          <a:p>
            <a:pPr>
              <a:defRPr/>
            </a:pPr>
            <a:endParaRPr lang="sv-SE"/>
          </a:p>
        </c:txPr>
        <c:crossAx val="124691200"/>
        <c:crosses val="autoZero"/>
        <c:crossBetween val="between"/>
      </c:valAx>
    </c:plotArea>
    <c:legend>
      <c:legendPos val="r"/>
      <c:layout>
        <c:manualLayout>
          <c:xMode val="edge"/>
          <c:yMode val="edge"/>
          <c:x val="0.83514128849835811"/>
          <c:y val="0.49104040077182132"/>
          <c:w val="0.11513307806543319"/>
          <c:h val="0.22018768201919967"/>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91094783739804E-2"/>
          <c:y val="0.28464745533377062"/>
          <c:w val="0.80980185169161545"/>
          <c:h val="0.58011800850475082"/>
        </c:manualLayout>
      </c:layout>
      <c:barChart>
        <c:barDir val="col"/>
        <c:grouping val="stacked"/>
        <c:varyColors val="0"/>
        <c:ser>
          <c:idx val="0"/>
          <c:order val="0"/>
          <c:invertIfNegative val="0"/>
          <c:cat>
            <c:strRef>
              <c:f>Blad1!$B$8:$B$12</c:f>
              <c:strCache>
                <c:ptCount val="5"/>
                <c:pt idx="0">
                  <c:v>Total</c:v>
                </c:pt>
                <c:pt idx="1">
                  <c:v>Växt</c:v>
                </c:pt>
                <c:pt idx="2">
                  <c:v>Mjölk</c:v>
                </c:pt>
                <c:pt idx="3">
                  <c:v>Nötkött</c:v>
                </c:pt>
                <c:pt idx="4">
                  <c:v>Gris</c:v>
                </c:pt>
              </c:strCache>
            </c:strRef>
          </c:cat>
          <c:val>
            <c:numRef>
              <c:f>Blad1!$C$8:$C$12</c:f>
              <c:numCache>
                <c:formatCode>General</c:formatCode>
                <c:ptCount val="5"/>
                <c:pt idx="0">
                  <c:v>35</c:v>
                </c:pt>
                <c:pt idx="1">
                  <c:v>49</c:v>
                </c:pt>
                <c:pt idx="2">
                  <c:v>20</c:v>
                </c:pt>
                <c:pt idx="3">
                  <c:v>24</c:v>
                </c:pt>
                <c:pt idx="4">
                  <c:v>35</c:v>
                </c:pt>
              </c:numCache>
            </c:numRef>
          </c:val>
        </c:ser>
        <c:ser>
          <c:idx val="1"/>
          <c:order val="1"/>
          <c:invertIfNegative val="0"/>
          <c:cat>
            <c:strRef>
              <c:f>Blad1!$B$8:$B$12</c:f>
              <c:strCache>
                <c:ptCount val="5"/>
                <c:pt idx="0">
                  <c:v>Total</c:v>
                </c:pt>
                <c:pt idx="1">
                  <c:v>Växt</c:v>
                </c:pt>
                <c:pt idx="2">
                  <c:v>Mjölk</c:v>
                </c:pt>
                <c:pt idx="3">
                  <c:v>Nötkött</c:v>
                </c:pt>
                <c:pt idx="4">
                  <c:v>Gris</c:v>
                </c:pt>
              </c:strCache>
            </c:strRef>
          </c:cat>
          <c:val>
            <c:numRef>
              <c:f>Blad1!$D$8:$D$12</c:f>
              <c:numCache>
                <c:formatCode>General</c:formatCode>
                <c:ptCount val="5"/>
                <c:pt idx="0">
                  <c:v>-63</c:v>
                </c:pt>
                <c:pt idx="1">
                  <c:v>-50</c:v>
                </c:pt>
                <c:pt idx="2">
                  <c:v>-75</c:v>
                </c:pt>
                <c:pt idx="3">
                  <c:v>-76</c:v>
                </c:pt>
                <c:pt idx="4">
                  <c:v>-65</c:v>
                </c:pt>
              </c:numCache>
            </c:numRef>
          </c:val>
        </c:ser>
        <c:dLbls>
          <c:showLegendKey val="0"/>
          <c:showVal val="0"/>
          <c:showCatName val="0"/>
          <c:showSerName val="0"/>
          <c:showPercent val="0"/>
          <c:showBubbleSize val="0"/>
        </c:dLbls>
        <c:gapWidth val="150"/>
        <c:overlap val="100"/>
        <c:axId val="138453760"/>
        <c:axId val="138455296"/>
      </c:barChart>
      <c:lineChart>
        <c:grouping val="stacked"/>
        <c:varyColors val="0"/>
        <c:ser>
          <c:idx val="2"/>
          <c:order val="2"/>
          <c:marker>
            <c:symbol val="none"/>
          </c:marker>
          <c:cat>
            <c:strRef>
              <c:f>Blad1!$B$8:$B$12</c:f>
              <c:strCache>
                <c:ptCount val="5"/>
                <c:pt idx="0">
                  <c:v>Total</c:v>
                </c:pt>
                <c:pt idx="1">
                  <c:v>Växt</c:v>
                </c:pt>
                <c:pt idx="2">
                  <c:v>Mjölk</c:v>
                </c:pt>
                <c:pt idx="3">
                  <c:v>Nötkött</c:v>
                </c:pt>
                <c:pt idx="4">
                  <c:v>Gris</c:v>
                </c:pt>
              </c:strCache>
            </c:strRef>
          </c:cat>
          <c:val>
            <c:numRef>
              <c:f>Blad1!$E$8:$E$12</c:f>
              <c:numCache>
                <c:formatCode>General</c:formatCode>
                <c:ptCount val="5"/>
                <c:pt idx="0">
                  <c:v>-28</c:v>
                </c:pt>
                <c:pt idx="1">
                  <c:v>-1</c:v>
                </c:pt>
                <c:pt idx="2">
                  <c:v>-55</c:v>
                </c:pt>
                <c:pt idx="3">
                  <c:v>-52</c:v>
                </c:pt>
                <c:pt idx="4">
                  <c:v>-30</c:v>
                </c:pt>
              </c:numCache>
            </c:numRef>
          </c:val>
          <c:smooth val="0"/>
        </c:ser>
        <c:ser>
          <c:idx val="3"/>
          <c:order val="3"/>
          <c:marker>
            <c:symbol val="none"/>
          </c:marker>
          <c:cat>
            <c:strRef>
              <c:f>Blad1!$B$8:$B$12</c:f>
              <c:strCache>
                <c:ptCount val="5"/>
                <c:pt idx="0">
                  <c:v>Total</c:v>
                </c:pt>
                <c:pt idx="1">
                  <c:v>Växt</c:v>
                </c:pt>
                <c:pt idx="2">
                  <c:v>Mjölk</c:v>
                </c:pt>
                <c:pt idx="3">
                  <c:v>Nötkött</c:v>
                </c:pt>
                <c:pt idx="4">
                  <c:v>Gris</c:v>
                </c:pt>
              </c:strCache>
            </c:strRef>
          </c:cat>
          <c:val>
            <c:numRef>
              <c:f>Blad1!$B$6</c:f>
              <c:numCache>
                <c:formatCode>General</c:formatCode>
                <c:ptCount val="1"/>
                <c:pt idx="0">
                  <c:v>0</c:v>
                </c:pt>
              </c:numCache>
            </c:numRef>
          </c:val>
          <c:smooth val="0"/>
        </c:ser>
        <c:ser>
          <c:idx val="4"/>
          <c:order val="4"/>
          <c:marker>
            <c:symbol val="none"/>
          </c:marker>
          <c:cat>
            <c:strRef>
              <c:f>Blad1!$B$8:$B$12</c:f>
              <c:strCache>
                <c:ptCount val="5"/>
                <c:pt idx="0">
                  <c:v>Total</c:v>
                </c:pt>
                <c:pt idx="1">
                  <c:v>Växt</c:v>
                </c:pt>
                <c:pt idx="2">
                  <c:v>Mjölk</c:v>
                </c:pt>
                <c:pt idx="3">
                  <c:v>Nötkött</c:v>
                </c:pt>
                <c:pt idx="4">
                  <c:v>Gris</c:v>
                </c:pt>
              </c:strCache>
            </c:strRef>
          </c:cat>
          <c:val>
            <c:numRef>
              <c:f>Blad1!$B$6</c:f>
              <c:numCache>
                <c:formatCode>General</c:formatCode>
                <c:ptCount val="1"/>
                <c:pt idx="0">
                  <c:v>0</c:v>
                </c:pt>
              </c:numCache>
            </c:numRef>
          </c:val>
          <c:smooth val="0"/>
        </c:ser>
        <c:dLbls>
          <c:showLegendKey val="0"/>
          <c:showVal val="0"/>
          <c:showCatName val="0"/>
          <c:showSerName val="0"/>
          <c:showPercent val="0"/>
          <c:showBubbleSize val="0"/>
        </c:dLbls>
        <c:marker val="1"/>
        <c:smooth val="0"/>
        <c:axId val="138453760"/>
        <c:axId val="138455296"/>
      </c:lineChart>
      <c:catAx>
        <c:axId val="138453760"/>
        <c:scaling>
          <c:orientation val="minMax"/>
        </c:scaling>
        <c:delete val="0"/>
        <c:axPos val="b"/>
        <c:majorTickMark val="out"/>
        <c:minorTickMark val="none"/>
        <c:tickLblPos val="nextTo"/>
        <c:crossAx val="138455296"/>
        <c:crosses val="autoZero"/>
        <c:auto val="1"/>
        <c:lblAlgn val="ctr"/>
        <c:lblOffset val="100"/>
        <c:noMultiLvlLbl val="0"/>
      </c:catAx>
      <c:valAx>
        <c:axId val="138455296"/>
        <c:scaling>
          <c:orientation val="minMax"/>
        </c:scaling>
        <c:delete val="0"/>
        <c:axPos val="l"/>
        <c:majorGridlines/>
        <c:numFmt formatCode="General" sourceLinked="0"/>
        <c:majorTickMark val="out"/>
        <c:minorTickMark val="none"/>
        <c:tickLblPos val="nextTo"/>
        <c:crossAx val="13845376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0.14925</cdr:x>
      <cdr:y>0.05702</cdr:y>
    </cdr:from>
    <cdr:to>
      <cdr:x>0.82836</cdr:x>
      <cdr:y>0.14604</cdr:y>
    </cdr:to>
    <cdr:sp macro="" textlink="">
      <cdr:nvSpPr>
        <cdr:cNvPr id="2" name="textruta 1"/>
        <cdr:cNvSpPr txBox="1"/>
      </cdr:nvSpPr>
      <cdr:spPr>
        <a:xfrm xmlns:a="http://schemas.openxmlformats.org/drawingml/2006/main">
          <a:off x="762001" y="195263"/>
          <a:ext cx="34671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v-SE" sz="1100"/>
        </a:p>
      </cdr:txBody>
    </cdr:sp>
  </cdr:relSizeAnchor>
  <cdr:relSizeAnchor xmlns:cdr="http://schemas.openxmlformats.org/drawingml/2006/chartDrawing">
    <cdr:from>
      <cdr:x>0.12816</cdr:x>
      <cdr:y>0.16908</cdr:y>
    </cdr:from>
    <cdr:to>
      <cdr:x>0.96427</cdr:x>
      <cdr:y>0.23296</cdr:y>
    </cdr:to>
    <cdr:sp macro="" textlink="">
      <cdr:nvSpPr>
        <cdr:cNvPr id="3" name="textruta 2"/>
        <cdr:cNvSpPr txBox="1"/>
      </cdr:nvSpPr>
      <cdr:spPr>
        <a:xfrm xmlns:a="http://schemas.openxmlformats.org/drawingml/2006/main">
          <a:off x="369879" y="415506"/>
          <a:ext cx="2413078" cy="1569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v-SE" sz="800">
              <a:latin typeface="+mn-lt"/>
            </a:rPr>
            <a:t>Andel som svarat " Mycket god" eller "Ganska</a:t>
          </a:r>
          <a:r>
            <a:rPr lang="sv-SE" sz="800" baseline="0">
              <a:latin typeface="+mn-lt"/>
            </a:rPr>
            <a:t> god"</a:t>
          </a:r>
          <a:endParaRPr lang="sv-SE" sz="800">
            <a:latin typeface="+mn-lt"/>
          </a:endParaRPr>
        </a:p>
      </cdr:txBody>
    </cdr:sp>
  </cdr:relSizeAnchor>
  <cdr:relSizeAnchor xmlns:cdr="http://schemas.openxmlformats.org/drawingml/2006/chartDrawing">
    <cdr:from>
      <cdr:x>0.02198</cdr:x>
      <cdr:y>0.00974</cdr:y>
    </cdr:from>
    <cdr:to>
      <cdr:x>1</cdr:x>
      <cdr:y>0.21442</cdr:y>
    </cdr:to>
    <cdr:sp macro="" textlink="">
      <cdr:nvSpPr>
        <cdr:cNvPr id="4" name="textruta 3"/>
        <cdr:cNvSpPr txBox="1"/>
      </cdr:nvSpPr>
      <cdr:spPr>
        <a:xfrm xmlns:a="http://schemas.openxmlformats.org/drawingml/2006/main">
          <a:off x="63436" y="24445"/>
          <a:ext cx="2822639" cy="5137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v-SE" sz="1000" b="1">
              <a:latin typeface="+mn-lt"/>
            </a:rPr>
            <a:t>Böndernas framtidstro fördelat på produktions-grenar samt index</a:t>
          </a:r>
        </a:p>
        <a:p xmlns:a="http://schemas.openxmlformats.org/drawingml/2006/main">
          <a:endParaRPr lang="sv-SE" sz="1000">
            <a:latin typeface="Franklin Gothic Book" pitchFamily="34" charset="0"/>
          </a:endParaRPr>
        </a:p>
      </cdr:txBody>
    </cdr:sp>
  </cdr:relSizeAnchor>
  <cdr:relSizeAnchor xmlns:cdr="http://schemas.openxmlformats.org/drawingml/2006/chartDrawing">
    <cdr:from>
      <cdr:x>0.09931</cdr:x>
      <cdr:y>0.89867</cdr:y>
    </cdr:from>
    <cdr:to>
      <cdr:x>0.94223</cdr:x>
      <cdr:y>0.97068</cdr:y>
    </cdr:to>
    <cdr:sp macro="" textlink="">
      <cdr:nvSpPr>
        <cdr:cNvPr id="5" name="textruta 4"/>
        <cdr:cNvSpPr txBox="1"/>
      </cdr:nvSpPr>
      <cdr:spPr>
        <a:xfrm xmlns:a="http://schemas.openxmlformats.org/drawingml/2006/main">
          <a:off x="286613" y="2208431"/>
          <a:ext cx="2432733" cy="1769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v-SE" sz="800">
              <a:latin typeface="+mn-lt"/>
            </a:rPr>
            <a:t>Andel som svarat "Ganska dålig" eller "Mycket dålig</a:t>
          </a:r>
          <a:r>
            <a:rPr lang="sv-SE" sz="800">
              <a:latin typeface="Franklin Gothic Book" pitchFamily="34" charset="0"/>
            </a:rPr>
            <a:t>"</a:t>
          </a:r>
        </a:p>
      </cdr:txBody>
    </cdr:sp>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D81E-C6D8-41DD-AC0B-7973A206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2926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Iacono</dc:creator>
  <cp:lastModifiedBy>Linda  Ternstedt</cp:lastModifiedBy>
  <cp:revision>3</cp:revision>
  <dcterms:created xsi:type="dcterms:W3CDTF">2012-12-18T08:20:00Z</dcterms:created>
  <dcterms:modified xsi:type="dcterms:W3CDTF">2012-12-18T08:21:00Z</dcterms:modified>
</cp:coreProperties>
</file>