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353" w:rsidRDefault="00091D63">
      <w:pPr>
        <w:shd w:val="clear" w:color="auto" w:fill="FFFFFF"/>
        <w:spacing w:after="0" w:line="240" w:lineRule="auto"/>
        <w:jc w:val="center"/>
        <w:rPr>
          <w:b/>
          <w:color w:val="222222"/>
          <w:sz w:val="32"/>
          <w:szCs w:val="32"/>
        </w:rPr>
      </w:pPr>
      <w:bookmarkStart w:id="0" w:name="_GoBack"/>
      <w:bookmarkEnd w:id="0"/>
      <w:r>
        <w:rPr>
          <w:b/>
          <w:color w:val="222222"/>
          <w:sz w:val="32"/>
          <w:szCs w:val="32"/>
        </w:rPr>
        <w:t>Lettere arbejdsgang i farestalden</w:t>
      </w:r>
    </w:p>
    <w:p w:rsidR="009C7353" w:rsidRDefault="009C7353">
      <w:pPr>
        <w:shd w:val="clear" w:color="auto" w:fill="FFFFFF"/>
        <w:spacing w:after="0" w:line="240" w:lineRule="auto"/>
        <w:jc w:val="both"/>
        <w:rPr>
          <w:rFonts w:ascii="Arial" w:eastAsia="Arial" w:hAnsi="Arial" w:cs="Arial"/>
          <w:color w:val="222222"/>
          <w:sz w:val="24"/>
          <w:szCs w:val="24"/>
        </w:rPr>
      </w:pPr>
    </w:p>
    <w:p w:rsidR="009C7353" w:rsidRDefault="00091D63">
      <w:pPr>
        <w:pBdr>
          <w:top w:val="nil"/>
          <w:left w:val="nil"/>
          <w:bottom w:val="nil"/>
          <w:right w:val="nil"/>
          <w:between w:val="nil"/>
        </w:pBdr>
        <w:tabs>
          <w:tab w:val="left" w:pos="567"/>
        </w:tabs>
        <w:spacing w:after="0" w:line="240" w:lineRule="auto"/>
        <w:jc w:val="both"/>
        <w:rPr>
          <w:b/>
          <w:color w:val="000000"/>
        </w:rPr>
      </w:pPr>
      <w:r>
        <w:rPr>
          <w:noProof/>
        </w:rPr>
        <w:drawing>
          <wp:anchor distT="0" distB="0" distL="0" distR="0" simplePos="0" relativeHeight="251658240" behindDoc="0" locked="0" layoutInCell="1" hidden="0" allowOverlap="1">
            <wp:simplePos x="0" y="0"/>
            <wp:positionH relativeFrom="column">
              <wp:posOffset>1853565</wp:posOffset>
            </wp:positionH>
            <wp:positionV relativeFrom="paragraph">
              <wp:posOffset>3810</wp:posOffset>
            </wp:positionV>
            <wp:extent cx="2156050" cy="186753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156050" cy="1867535"/>
                    </a:xfrm>
                    <a:prstGeom prst="rect">
                      <a:avLst/>
                    </a:prstGeom>
                    <a:ln/>
                  </pic:spPr>
                </pic:pic>
              </a:graphicData>
            </a:graphic>
          </wp:anchor>
        </w:drawing>
      </w:r>
    </w:p>
    <w:p w:rsidR="009C7353" w:rsidRDefault="009C7353">
      <w:pPr>
        <w:pBdr>
          <w:top w:val="nil"/>
          <w:left w:val="nil"/>
          <w:bottom w:val="nil"/>
          <w:right w:val="nil"/>
          <w:between w:val="nil"/>
        </w:pBdr>
        <w:tabs>
          <w:tab w:val="left" w:pos="567"/>
        </w:tabs>
        <w:spacing w:after="0" w:line="240" w:lineRule="auto"/>
        <w:jc w:val="both"/>
        <w:rPr>
          <w:b/>
          <w:color w:val="000000"/>
        </w:rPr>
      </w:pPr>
    </w:p>
    <w:p w:rsidR="009C7353" w:rsidRDefault="009C7353">
      <w:pPr>
        <w:pBdr>
          <w:top w:val="nil"/>
          <w:left w:val="nil"/>
          <w:bottom w:val="nil"/>
          <w:right w:val="nil"/>
          <w:between w:val="nil"/>
        </w:pBdr>
        <w:tabs>
          <w:tab w:val="left" w:pos="567"/>
        </w:tabs>
        <w:spacing w:after="0" w:line="240" w:lineRule="auto"/>
        <w:jc w:val="both"/>
        <w:rPr>
          <w:b/>
          <w:color w:val="000000"/>
        </w:rPr>
      </w:pPr>
    </w:p>
    <w:p w:rsidR="009C7353" w:rsidRDefault="009C7353">
      <w:pPr>
        <w:pBdr>
          <w:top w:val="nil"/>
          <w:left w:val="nil"/>
          <w:bottom w:val="nil"/>
          <w:right w:val="nil"/>
          <w:between w:val="nil"/>
        </w:pBdr>
        <w:tabs>
          <w:tab w:val="left" w:pos="567"/>
        </w:tabs>
        <w:spacing w:after="0" w:line="240" w:lineRule="auto"/>
        <w:jc w:val="both"/>
        <w:rPr>
          <w:b/>
          <w:color w:val="000000"/>
        </w:rPr>
      </w:pPr>
    </w:p>
    <w:p w:rsidR="009C7353" w:rsidRDefault="009C7353">
      <w:pPr>
        <w:pBdr>
          <w:top w:val="nil"/>
          <w:left w:val="nil"/>
          <w:bottom w:val="nil"/>
          <w:right w:val="nil"/>
          <w:between w:val="nil"/>
        </w:pBdr>
        <w:tabs>
          <w:tab w:val="left" w:pos="567"/>
        </w:tabs>
        <w:spacing w:after="0" w:line="240" w:lineRule="auto"/>
        <w:jc w:val="both"/>
        <w:rPr>
          <w:b/>
          <w:color w:val="000000"/>
        </w:rPr>
      </w:pPr>
    </w:p>
    <w:p w:rsidR="009C7353" w:rsidRDefault="009C7353">
      <w:pPr>
        <w:pBdr>
          <w:top w:val="nil"/>
          <w:left w:val="nil"/>
          <w:bottom w:val="nil"/>
          <w:right w:val="nil"/>
          <w:between w:val="nil"/>
        </w:pBdr>
        <w:tabs>
          <w:tab w:val="left" w:pos="567"/>
        </w:tabs>
        <w:spacing w:after="0" w:line="240" w:lineRule="auto"/>
        <w:jc w:val="both"/>
        <w:rPr>
          <w:b/>
          <w:color w:val="000000"/>
        </w:rPr>
      </w:pPr>
    </w:p>
    <w:p w:rsidR="009C7353" w:rsidRDefault="009C7353">
      <w:pPr>
        <w:pBdr>
          <w:top w:val="nil"/>
          <w:left w:val="nil"/>
          <w:bottom w:val="nil"/>
          <w:right w:val="nil"/>
          <w:between w:val="nil"/>
        </w:pBdr>
        <w:tabs>
          <w:tab w:val="left" w:pos="567"/>
        </w:tabs>
        <w:spacing w:after="0" w:line="240" w:lineRule="auto"/>
        <w:jc w:val="both"/>
        <w:rPr>
          <w:b/>
          <w:color w:val="000000"/>
        </w:rPr>
      </w:pPr>
    </w:p>
    <w:p w:rsidR="009C7353" w:rsidRDefault="009C7353">
      <w:pPr>
        <w:pBdr>
          <w:top w:val="nil"/>
          <w:left w:val="nil"/>
          <w:bottom w:val="nil"/>
          <w:right w:val="nil"/>
          <w:between w:val="nil"/>
        </w:pBdr>
        <w:tabs>
          <w:tab w:val="left" w:pos="567"/>
        </w:tabs>
        <w:spacing w:after="0" w:line="240" w:lineRule="auto"/>
        <w:jc w:val="both"/>
        <w:rPr>
          <w:b/>
          <w:color w:val="000000"/>
        </w:rPr>
      </w:pPr>
    </w:p>
    <w:p w:rsidR="009C7353" w:rsidRDefault="009C7353">
      <w:pPr>
        <w:pBdr>
          <w:top w:val="nil"/>
          <w:left w:val="nil"/>
          <w:bottom w:val="nil"/>
          <w:right w:val="nil"/>
          <w:between w:val="nil"/>
        </w:pBdr>
        <w:tabs>
          <w:tab w:val="left" w:pos="567"/>
        </w:tabs>
        <w:spacing w:after="0" w:line="240" w:lineRule="auto"/>
        <w:jc w:val="both"/>
        <w:rPr>
          <w:b/>
          <w:color w:val="000000"/>
        </w:rPr>
      </w:pPr>
    </w:p>
    <w:p w:rsidR="009C7353" w:rsidRDefault="009C7353">
      <w:pPr>
        <w:pBdr>
          <w:top w:val="nil"/>
          <w:left w:val="nil"/>
          <w:bottom w:val="nil"/>
          <w:right w:val="nil"/>
          <w:between w:val="nil"/>
        </w:pBdr>
        <w:tabs>
          <w:tab w:val="left" w:pos="567"/>
        </w:tabs>
        <w:spacing w:after="0" w:line="240" w:lineRule="auto"/>
        <w:jc w:val="both"/>
        <w:rPr>
          <w:b/>
          <w:color w:val="000000"/>
        </w:rPr>
      </w:pPr>
    </w:p>
    <w:p w:rsidR="009C7353" w:rsidRDefault="009C7353">
      <w:pPr>
        <w:pBdr>
          <w:top w:val="nil"/>
          <w:left w:val="nil"/>
          <w:bottom w:val="nil"/>
          <w:right w:val="nil"/>
          <w:between w:val="nil"/>
        </w:pBdr>
        <w:tabs>
          <w:tab w:val="left" w:pos="567"/>
        </w:tabs>
        <w:spacing w:after="0" w:line="240" w:lineRule="auto"/>
        <w:jc w:val="both"/>
        <w:rPr>
          <w:b/>
          <w:color w:val="000000"/>
        </w:rPr>
      </w:pPr>
    </w:p>
    <w:p w:rsidR="009C7353" w:rsidRDefault="00091D63">
      <w:pPr>
        <w:pBdr>
          <w:top w:val="nil"/>
          <w:left w:val="nil"/>
          <w:bottom w:val="nil"/>
          <w:right w:val="nil"/>
          <w:between w:val="nil"/>
        </w:pBdr>
        <w:tabs>
          <w:tab w:val="left" w:pos="567"/>
        </w:tabs>
        <w:spacing w:after="0" w:line="240" w:lineRule="auto"/>
        <w:jc w:val="both"/>
        <w:rPr>
          <w:color w:val="000000"/>
        </w:rPr>
      </w:pPr>
      <w:r>
        <w:rPr>
          <w:b/>
          <w:color w:val="000000"/>
        </w:rPr>
        <w:t>Ceva Animal Health</w:t>
      </w:r>
      <w:r>
        <w:rPr>
          <w:color w:val="000000"/>
        </w:rPr>
        <w:t xml:space="preserve"> har netop modtaget markedsføringstilladelse fra Det Europæiske Lægemiddelagentur (EMA) for </w:t>
      </w:r>
      <w:proofErr w:type="spellStart"/>
      <w:r>
        <w:rPr>
          <w:b/>
          <w:color w:val="000000"/>
        </w:rPr>
        <w:t>Forceris</w:t>
      </w:r>
      <w:proofErr w:type="spellEnd"/>
      <w:r>
        <w:rPr>
          <w:b/>
          <w:color w:val="000000"/>
          <w:vertAlign w:val="superscript"/>
        </w:rPr>
        <w:t xml:space="preserve"> </w:t>
      </w:r>
      <w:r>
        <w:rPr>
          <w:color w:val="000000"/>
        </w:rPr>
        <w:t>(</w:t>
      </w:r>
      <w:proofErr w:type="spellStart"/>
      <w:r>
        <w:rPr>
          <w:color w:val="000000"/>
        </w:rPr>
        <w:t>gleptoferron</w:t>
      </w:r>
      <w:proofErr w:type="spellEnd"/>
      <w:r>
        <w:rPr>
          <w:color w:val="000000"/>
        </w:rPr>
        <w:t xml:space="preserve"> + </w:t>
      </w:r>
      <w:proofErr w:type="spellStart"/>
      <w:r>
        <w:rPr>
          <w:color w:val="000000"/>
        </w:rPr>
        <w:t>toltrazuril</w:t>
      </w:r>
      <w:proofErr w:type="spellEnd"/>
      <w:r>
        <w:rPr>
          <w:color w:val="000000"/>
        </w:rPr>
        <w:t xml:space="preserve">). Et innovativt injektionsprodukt, der kombinerer </w:t>
      </w:r>
      <w:proofErr w:type="spellStart"/>
      <w:r>
        <w:rPr>
          <w:color w:val="000000"/>
        </w:rPr>
        <w:t>gleptoferron</w:t>
      </w:r>
      <w:proofErr w:type="spellEnd"/>
      <w:r>
        <w:rPr>
          <w:color w:val="000000"/>
        </w:rPr>
        <w:t xml:space="preserve"> og </w:t>
      </w:r>
      <w:proofErr w:type="spellStart"/>
      <w:r>
        <w:rPr>
          <w:color w:val="000000"/>
        </w:rPr>
        <w:t>toltrazuril</w:t>
      </w:r>
      <w:proofErr w:type="spellEnd"/>
      <w:r>
        <w:rPr>
          <w:color w:val="000000"/>
        </w:rPr>
        <w:t xml:space="preserve"> til behandling af smågrise.</w:t>
      </w:r>
    </w:p>
    <w:p w:rsidR="009C7353" w:rsidRDefault="009C7353">
      <w:pPr>
        <w:pBdr>
          <w:top w:val="nil"/>
          <w:left w:val="nil"/>
          <w:bottom w:val="nil"/>
          <w:right w:val="nil"/>
          <w:between w:val="nil"/>
        </w:pBdr>
        <w:tabs>
          <w:tab w:val="left" w:pos="567"/>
        </w:tabs>
        <w:spacing w:after="0" w:line="240" w:lineRule="auto"/>
        <w:jc w:val="both"/>
        <w:rPr>
          <w:color w:val="000000"/>
        </w:rPr>
      </w:pPr>
    </w:p>
    <w:p w:rsidR="009C7353" w:rsidRDefault="00091D63">
      <w:pPr>
        <w:pBdr>
          <w:top w:val="nil"/>
          <w:left w:val="nil"/>
          <w:bottom w:val="nil"/>
          <w:right w:val="nil"/>
          <w:between w:val="nil"/>
        </w:pBdr>
        <w:tabs>
          <w:tab w:val="left" w:pos="567"/>
        </w:tabs>
        <w:spacing w:after="0" w:line="240" w:lineRule="auto"/>
        <w:jc w:val="both"/>
      </w:pPr>
      <w:proofErr w:type="spellStart"/>
      <w:r>
        <w:rPr>
          <w:b/>
          <w:color w:val="000000"/>
        </w:rPr>
        <w:t>Forceris</w:t>
      </w:r>
      <w:proofErr w:type="spellEnd"/>
      <w:r>
        <w:rPr>
          <w:color w:val="000000"/>
        </w:rPr>
        <w:t xml:space="preserve"> er godkendt til samtidig forebyggelse af jernmangel, til forebyggelse af coccidiose (diarré) samt til at reducere smitte-udskillelse i besætninger med en bekræftet historie af sygdommen, forårsaget af </w:t>
      </w:r>
      <w:proofErr w:type="spellStart"/>
      <w:r>
        <w:rPr>
          <w:color w:val="000000"/>
        </w:rPr>
        <w:t>Cystoisospora</w:t>
      </w:r>
      <w:proofErr w:type="spellEnd"/>
      <w:r>
        <w:rPr>
          <w:color w:val="000000"/>
        </w:rPr>
        <w:t xml:space="preserve"> </w:t>
      </w:r>
      <w:proofErr w:type="spellStart"/>
      <w:r>
        <w:rPr>
          <w:color w:val="000000"/>
        </w:rPr>
        <w:t>suis</w:t>
      </w:r>
      <w:proofErr w:type="spellEnd"/>
      <w:r>
        <w:rPr>
          <w:color w:val="000000"/>
        </w:rPr>
        <w:t xml:space="preserve">. Og dette blot med én enkelt </w:t>
      </w:r>
      <w:r>
        <w:t>injektion (IM) 24-96 timer efter faring. Dosen er fast (1,5ml), og Ceva Animal Health har fået fremstillet speciel-sprøjter, der sikrer indgivelse af korrekt dosering.</w:t>
      </w:r>
    </w:p>
    <w:p w:rsidR="009C7353" w:rsidRDefault="009C7353">
      <w:pPr>
        <w:pBdr>
          <w:top w:val="nil"/>
          <w:left w:val="nil"/>
          <w:bottom w:val="nil"/>
          <w:right w:val="nil"/>
          <w:between w:val="nil"/>
        </w:pBdr>
        <w:tabs>
          <w:tab w:val="left" w:pos="567"/>
        </w:tabs>
        <w:spacing w:after="0" w:line="240" w:lineRule="auto"/>
        <w:jc w:val="both"/>
      </w:pPr>
    </w:p>
    <w:p w:rsidR="009C7353" w:rsidRDefault="00091D63">
      <w:pPr>
        <w:pBdr>
          <w:top w:val="nil"/>
          <w:left w:val="nil"/>
          <w:bottom w:val="nil"/>
          <w:right w:val="nil"/>
          <w:between w:val="nil"/>
        </w:pBdr>
        <w:tabs>
          <w:tab w:val="left" w:pos="567"/>
        </w:tabs>
        <w:spacing w:after="0" w:line="240" w:lineRule="auto"/>
        <w:jc w:val="both"/>
      </w:pPr>
      <w:proofErr w:type="spellStart"/>
      <w:r>
        <w:rPr>
          <w:b/>
        </w:rPr>
        <w:t>Forceris</w:t>
      </w:r>
      <w:proofErr w:type="spellEnd"/>
      <w:r>
        <w:t xml:space="preserve"> fås i to forskellige pakninger på 100 ml og 250 ml. </w:t>
      </w:r>
      <w:r>
        <w:rPr>
          <w:noProof/>
        </w:rPr>
        <w:drawing>
          <wp:anchor distT="0" distB="0" distL="114300" distR="114300" simplePos="0" relativeHeight="251659264" behindDoc="0" locked="0" layoutInCell="1" hidden="0" allowOverlap="1">
            <wp:simplePos x="0" y="0"/>
            <wp:positionH relativeFrom="column">
              <wp:posOffset>3969384</wp:posOffset>
            </wp:positionH>
            <wp:positionV relativeFrom="paragraph">
              <wp:posOffset>0</wp:posOffset>
            </wp:positionV>
            <wp:extent cx="2086610" cy="15621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86610" cy="1562100"/>
                    </a:xfrm>
                    <a:prstGeom prst="rect">
                      <a:avLst/>
                    </a:prstGeom>
                    <a:ln/>
                  </pic:spPr>
                </pic:pic>
              </a:graphicData>
            </a:graphic>
          </wp:anchor>
        </w:drawing>
      </w:r>
    </w:p>
    <w:p w:rsidR="009C7353" w:rsidRDefault="009C7353">
      <w:pPr>
        <w:pBdr>
          <w:top w:val="nil"/>
          <w:left w:val="nil"/>
          <w:bottom w:val="nil"/>
          <w:right w:val="nil"/>
          <w:between w:val="nil"/>
        </w:pBdr>
        <w:tabs>
          <w:tab w:val="left" w:pos="567"/>
        </w:tabs>
        <w:spacing w:after="0" w:line="240" w:lineRule="auto"/>
        <w:jc w:val="both"/>
      </w:pPr>
    </w:p>
    <w:p w:rsidR="009C7353" w:rsidRDefault="00091D63">
      <w:pPr>
        <w:pBdr>
          <w:top w:val="nil"/>
          <w:left w:val="nil"/>
          <w:bottom w:val="nil"/>
          <w:right w:val="nil"/>
          <w:between w:val="nil"/>
        </w:pBdr>
        <w:tabs>
          <w:tab w:val="left" w:pos="567"/>
        </w:tabs>
        <w:spacing w:after="0" w:line="240" w:lineRule="auto"/>
        <w:jc w:val="both"/>
      </w:pPr>
      <w:r>
        <w:t xml:space="preserve">Coccidiose er en velkendt årsag til spædgrisediarré, som forårsager </w:t>
      </w:r>
      <w:proofErr w:type="spellStart"/>
      <w:r>
        <w:t>utrivelighed</w:t>
      </w:r>
      <w:proofErr w:type="spellEnd"/>
      <w:r>
        <w:t xml:space="preserve"> og nedsat tilvækst blandt smågrise, og hvis ubehandlet kan medføre øget dødelighed. Infektion kan forekomme i alle typer af farestalde og i alle besætninger.</w:t>
      </w:r>
    </w:p>
    <w:p w:rsidR="009C7353" w:rsidRDefault="00091D63">
      <w:pPr>
        <w:pBdr>
          <w:top w:val="nil"/>
          <w:left w:val="nil"/>
          <w:bottom w:val="nil"/>
          <w:right w:val="nil"/>
          <w:between w:val="nil"/>
        </w:pBdr>
        <w:tabs>
          <w:tab w:val="left" w:pos="567"/>
        </w:tabs>
        <w:spacing w:after="0" w:line="240" w:lineRule="auto"/>
        <w:jc w:val="both"/>
      </w:pPr>
      <w:r>
        <w:t>Jernmangel (og deraf følgende blodmangel) hos smågrise er ligeledes velkendt, og derfor er behandling med jerntilskud almindelig praksis i moderne griseproduktioner. Pattegrise fødes med et lille depot af jern. Råmælk og mælk fra soen bidrager kun til ca. 15 % af deres daglige behov. Yderligere tilskud er derfor afgørende.</w:t>
      </w:r>
    </w:p>
    <w:p w:rsidR="009C7353" w:rsidRDefault="009C7353">
      <w:pPr>
        <w:pBdr>
          <w:top w:val="nil"/>
          <w:left w:val="nil"/>
          <w:bottom w:val="nil"/>
          <w:right w:val="nil"/>
          <w:between w:val="nil"/>
        </w:pBdr>
        <w:tabs>
          <w:tab w:val="left" w:pos="567"/>
        </w:tabs>
        <w:spacing w:after="0" w:line="240" w:lineRule="auto"/>
        <w:jc w:val="both"/>
      </w:pPr>
    </w:p>
    <w:p w:rsidR="009C7353" w:rsidRDefault="00091D63">
      <w:pPr>
        <w:pBdr>
          <w:top w:val="nil"/>
          <w:left w:val="nil"/>
          <w:bottom w:val="nil"/>
          <w:right w:val="nil"/>
          <w:between w:val="nil"/>
        </w:pBdr>
        <w:tabs>
          <w:tab w:val="left" w:pos="567"/>
        </w:tabs>
        <w:spacing w:after="0" w:line="240" w:lineRule="auto"/>
        <w:jc w:val="both"/>
      </w:pPr>
      <w:proofErr w:type="spellStart"/>
      <w:r>
        <w:rPr>
          <w:b/>
        </w:rPr>
        <w:t>Forceris</w:t>
      </w:r>
      <w:proofErr w:type="spellEnd"/>
      <w:r>
        <w:t xml:space="preserve"> er det nye, brugervenlige kombinationsprodukt, der muliggør forebyggelse og behandling af disse to problemer hos smågrise fra første levedøgn.</w:t>
      </w:r>
    </w:p>
    <w:p w:rsidR="009C7353" w:rsidRDefault="009C7353">
      <w:pPr>
        <w:pBdr>
          <w:top w:val="nil"/>
          <w:left w:val="nil"/>
          <w:bottom w:val="nil"/>
          <w:right w:val="nil"/>
          <w:between w:val="nil"/>
        </w:pBdr>
        <w:tabs>
          <w:tab w:val="left" w:pos="567"/>
        </w:tabs>
        <w:spacing w:after="0" w:line="240" w:lineRule="auto"/>
        <w:jc w:val="both"/>
      </w:pPr>
    </w:p>
    <w:p w:rsidR="009C7353" w:rsidRDefault="00091D63">
      <w:pPr>
        <w:pBdr>
          <w:top w:val="nil"/>
          <w:left w:val="nil"/>
          <w:bottom w:val="nil"/>
          <w:right w:val="nil"/>
          <w:between w:val="nil"/>
        </w:pBdr>
        <w:tabs>
          <w:tab w:val="left" w:pos="567"/>
        </w:tabs>
        <w:spacing w:after="0" w:line="240" w:lineRule="auto"/>
        <w:jc w:val="both"/>
      </w:pPr>
      <w:r>
        <w:t xml:space="preserve">Anja Vallø Kibsgaard, produktchef, udtaler at hun har store forventninger </w:t>
      </w:r>
      <w:proofErr w:type="spellStart"/>
      <w:r>
        <w:t>Forceris</w:t>
      </w:r>
      <w:proofErr w:type="spellEnd"/>
      <w:r>
        <w:t xml:space="preserve">, da det er et produkt, der dels sparer landmanden for en arbejdsgang og dels reducerer håndteringen af smågrisene. Publicerede studier har derudover vist interessante resultater, når produktet sammenholdes med nuværende behandlingsstrategier. </w:t>
      </w:r>
    </w:p>
    <w:p w:rsidR="009C7353" w:rsidRDefault="00091D63">
      <w:pPr>
        <w:pBdr>
          <w:top w:val="nil"/>
          <w:left w:val="nil"/>
          <w:bottom w:val="nil"/>
          <w:right w:val="nil"/>
          <w:between w:val="nil"/>
        </w:pBdr>
        <w:tabs>
          <w:tab w:val="left" w:pos="567"/>
        </w:tabs>
        <w:spacing w:after="0" w:line="240" w:lineRule="auto"/>
        <w:jc w:val="both"/>
      </w:pPr>
      <w:bookmarkStart w:id="1" w:name="_gjdgxs" w:colFirst="0" w:colLast="0"/>
      <w:bookmarkEnd w:id="1"/>
      <w:r>
        <w:t xml:space="preserve">Michael Albin Larsen, som er teknisk ansvarlig hos Ceva, glæder sig til lanceringen og udtaler, at for Ceva er det vigtigt, dels at producere gode produkter og dels at sikre at de anvendes korrekt. Derfor vil Ceva, i samarbejde med besætningsdyrlægen, tilbyde opstartsbesøg. I Ceva lægger vi stor vægt på at gøre livet nemt for landmand og dyrlæger, hvilket lanceringen, af et produkt som </w:t>
      </w:r>
      <w:proofErr w:type="spellStart"/>
      <w:r>
        <w:t>Forceris</w:t>
      </w:r>
      <w:proofErr w:type="spellEnd"/>
      <w:r>
        <w:t>, understreger, udtaler Michael Albin Larsen.</w:t>
      </w:r>
    </w:p>
    <w:p w:rsidR="009C7353" w:rsidRDefault="009C7353">
      <w:pPr>
        <w:pBdr>
          <w:top w:val="nil"/>
          <w:left w:val="nil"/>
          <w:bottom w:val="nil"/>
          <w:right w:val="nil"/>
          <w:between w:val="nil"/>
        </w:pBdr>
        <w:tabs>
          <w:tab w:val="left" w:pos="567"/>
        </w:tabs>
        <w:spacing w:after="0" w:line="240" w:lineRule="auto"/>
        <w:jc w:val="both"/>
      </w:pPr>
      <w:bookmarkStart w:id="2" w:name="_viwn2yurfgxn" w:colFirst="0" w:colLast="0"/>
      <w:bookmarkEnd w:id="2"/>
    </w:p>
    <w:p w:rsidR="009C7353" w:rsidRDefault="00091D63">
      <w:pPr>
        <w:pBdr>
          <w:top w:val="nil"/>
          <w:left w:val="nil"/>
          <w:bottom w:val="nil"/>
          <w:right w:val="nil"/>
          <w:between w:val="nil"/>
        </w:pBdr>
        <w:tabs>
          <w:tab w:val="left" w:pos="567"/>
        </w:tabs>
        <w:spacing w:after="0" w:line="240" w:lineRule="auto"/>
        <w:jc w:val="both"/>
      </w:pPr>
      <w:bookmarkStart w:id="3" w:name="_5eclv5m3zq64" w:colFirst="0" w:colLast="0"/>
      <w:bookmarkEnd w:id="3"/>
      <w:r>
        <w:t xml:space="preserve">Ved yderligere spørgsmål, kontakt da dyrlæge og produktchef, Anja Vallø Kibsgaard på telefon 61289858 eller </w:t>
      </w:r>
      <w:proofErr w:type="spellStart"/>
      <w:r>
        <w:t>email</w:t>
      </w:r>
      <w:proofErr w:type="spellEnd"/>
      <w:r>
        <w:t xml:space="preserve">: </w:t>
      </w:r>
      <w:hyperlink r:id="rId6">
        <w:r>
          <w:rPr>
            <w:u w:val="single"/>
          </w:rPr>
          <w:t>anja.kibsgaard@ceva.com</w:t>
        </w:r>
      </w:hyperlink>
    </w:p>
    <w:p w:rsidR="009C7353" w:rsidRDefault="00091D63" w:rsidP="00091D63">
      <w:pPr>
        <w:tabs>
          <w:tab w:val="left" w:pos="567"/>
        </w:tabs>
        <w:spacing w:after="0" w:line="336" w:lineRule="auto"/>
        <w:jc w:val="both"/>
        <w:rPr>
          <w:color w:val="FF0000"/>
        </w:rPr>
      </w:pPr>
      <w:bookmarkStart w:id="4" w:name="_nqp5kmp33seg" w:colFirst="0" w:colLast="0"/>
      <w:bookmarkEnd w:id="4"/>
      <w:r>
        <w:rPr>
          <w:rFonts w:ascii="Arial" w:eastAsia="Arial" w:hAnsi="Arial" w:cs="Arial"/>
          <w:color w:val="FF0000"/>
          <w:sz w:val="19"/>
          <w:szCs w:val="19"/>
        </w:rPr>
        <w:t xml:space="preserve"> </w:t>
      </w:r>
      <w:r>
        <w:rPr>
          <w:rFonts w:ascii="Arial" w:eastAsia="Arial" w:hAnsi="Arial" w:cs="Arial"/>
          <w:b/>
          <w:i/>
          <w:color w:val="7F7F7F"/>
          <w:sz w:val="14"/>
          <w:szCs w:val="14"/>
        </w:rPr>
        <w:t>Ceva Animal Health A/S er</w:t>
      </w:r>
      <w:r>
        <w:rPr>
          <w:rFonts w:ascii="Arial" w:eastAsia="Arial" w:hAnsi="Arial" w:cs="Arial"/>
          <w:i/>
          <w:color w:val="7F7F7F"/>
          <w:sz w:val="14"/>
          <w:szCs w:val="14"/>
        </w:rPr>
        <w:t xml:space="preserve"> den danske afdeling af det franske medicinalfirma Ceva </w:t>
      </w:r>
      <w:proofErr w:type="spellStart"/>
      <w:r>
        <w:rPr>
          <w:rFonts w:ascii="Arial" w:eastAsia="Arial" w:hAnsi="Arial" w:cs="Arial"/>
          <w:i/>
          <w:color w:val="7F7F7F"/>
          <w:sz w:val="14"/>
          <w:szCs w:val="14"/>
        </w:rPr>
        <w:t>Sante</w:t>
      </w:r>
      <w:proofErr w:type="spellEnd"/>
      <w:r>
        <w:rPr>
          <w:rFonts w:ascii="Arial" w:eastAsia="Arial" w:hAnsi="Arial" w:cs="Arial"/>
          <w:i/>
          <w:color w:val="7F7F7F"/>
          <w:sz w:val="14"/>
          <w:szCs w:val="14"/>
        </w:rPr>
        <w:t xml:space="preserve"> </w:t>
      </w:r>
      <w:proofErr w:type="spellStart"/>
      <w:r>
        <w:rPr>
          <w:rFonts w:ascii="Arial" w:eastAsia="Arial" w:hAnsi="Arial" w:cs="Arial"/>
          <w:i/>
          <w:color w:val="7F7F7F"/>
          <w:sz w:val="14"/>
          <w:szCs w:val="14"/>
        </w:rPr>
        <w:t>Animale</w:t>
      </w:r>
      <w:proofErr w:type="spellEnd"/>
      <w:r>
        <w:rPr>
          <w:rFonts w:ascii="Arial" w:eastAsia="Arial" w:hAnsi="Arial" w:cs="Arial"/>
          <w:i/>
          <w:color w:val="7F7F7F"/>
          <w:sz w:val="14"/>
          <w:szCs w:val="14"/>
        </w:rPr>
        <w:t xml:space="preserve">. Firmaet har til huse i Vejle og producerer hovedsageligt på egne fabrikker i EU. Ceva leverer lægemidler, vacciner og frihandelsvarer til alle dyrearter. </w:t>
      </w:r>
      <w:hyperlink r:id="rId7" w:history="1">
        <w:r>
          <w:rPr>
            <w:rFonts w:ascii="Arial" w:eastAsia="Arial" w:hAnsi="Arial" w:cs="Arial"/>
            <w:i/>
            <w:color w:val="1155CC"/>
            <w:sz w:val="15"/>
            <w:szCs w:val="15"/>
            <w:u w:val="single"/>
          </w:rPr>
          <w:t>www.ceva.dk</w:t>
        </w:r>
        <w:bookmarkStart w:id="5" w:name="_8fewispmq2wy" w:colFirst="0" w:colLast="0"/>
        <w:bookmarkEnd w:id="5"/>
      </w:hyperlink>
    </w:p>
    <w:sectPr w:rsidR="009C7353">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53"/>
    <w:rsid w:val="00091D63"/>
    <w:rsid w:val="008259DB"/>
    <w:rsid w:val="009C73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1D815-FC92-46E1-8D84-2EBE45B2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va.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ja.kibsgaard@ceva.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2</cp:revision>
  <dcterms:created xsi:type="dcterms:W3CDTF">2019-04-29T10:04:00Z</dcterms:created>
  <dcterms:modified xsi:type="dcterms:W3CDTF">2019-04-29T10:04:00Z</dcterms:modified>
</cp:coreProperties>
</file>