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38" w:rsidRDefault="00664A38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150FC1" w:rsidRDefault="00150FC1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090FCE" w:rsidRPr="00C87CA6" w:rsidRDefault="00090FCE" w:rsidP="00090FCE">
      <w:pPr>
        <w:ind w:hanging="142"/>
        <w:rPr>
          <w:rFonts w:ascii="Verdana" w:hAnsi="Verdana"/>
          <w:b/>
          <w:color w:val="C00000"/>
          <w:sz w:val="30"/>
          <w:szCs w:val="30"/>
        </w:rPr>
      </w:pPr>
      <w:r w:rsidRPr="00C87CA6">
        <w:rPr>
          <w:rFonts w:ascii="Arial" w:hAnsi="Arial" w:cs="Arial"/>
          <w:b/>
          <w:color w:val="C00000"/>
          <w:sz w:val="30"/>
          <w:szCs w:val="30"/>
        </w:rPr>
        <w:t xml:space="preserve">10 största aktiebolagskonkurserna februari 2013 (omsättning) 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1123"/>
        <w:gridCol w:w="3942"/>
        <w:gridCol w:w="900"/>
        <w:gridCol w:w="1810"/>
      </w:tblGrid>
      <w:tr w:rsidR="00090FCE" w:rsidRPr="002B4FD0" w:rsidTr="003D54E1">
        <w:trPr>
          <w:trHeight w:val="113"/>
        </w:trPr>
        <w:tc>
          <w:tcPr>
            <w:tcW w:w="1432" w:type="dxa"/>
            <w:shd w:val="clear" w:color="auto" w:fill="D9D9D9"/>
            <w:noWrap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b/>
                <w:sz w:val="20"/>
                <w:szCs w:val="20"/>
              </w:rPr>
              <w:t>Omsättning Tkr</w:t>
            </w:r>
          </w:p>
        </w:tc>
        <w:tc>
          <w:tcPr>
            <w:tcW w:w="1123" w:type="dxa"/>
            <w:shd w:val="clear" w:color="auto" w:fill="D9D9D9"/>
            <w:noWrap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b/>
                <w:sz w:val="20"/>
                <w:szCs w:val="20"/>
              </w:rPr>
              <w:t>Antal anställda</w:t>
            </w:r>
          </w:p>
        </w:tc>
        <w:tc>
          <w:tcPr>
            <w:tcW w:w="3942" w:type="dxa"/>
            <w:shd w:val="clear" w:color="auto" w:fill="D9D9D9"/>
            <w:noWrap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Företag</w:t>
            </w:r>
          </w:p>
        </w:tc>
        <w:tc>
          <w:tcPr>
            <w:tcW w:w="900" w:type="dxa"/>
            <w:shd w:val="clear" w:color="auto" w:fill="D9D9D9"/>
            <w:noWrap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Postnr</w:t>
            </w:r>
          </w:p>
        </w:tc>
        <w:tc>
          <w:tcPr>
            <w:tcW w:w="1810" w:type="dxa"/>
            <w:shd w:val="clear" w:color="auto" w:fill="D9D9D9"/>
            <w:noWrap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Postadress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313 976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353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Regenersis Nordic AB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68122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KRISTINEHAMN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228 978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 Svenska Kontor AB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ind w:left="-282" w:firstLine="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11863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STOCKHOLM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141 449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Intercontainer (Scandinavia) Aktiebolag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41834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GÖTEBORG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87 732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Falköpings Fashion AB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50110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BORÅS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85 283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Plustjänster Bygg i Linköping AB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58254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LINKÖPING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83 075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Ekodoor AB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28343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OSBY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54 946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Svets o Produktion i Täby AB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18706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TÄBY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34 058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Lyse Plastprodukter Aktiebolag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45391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LYSEKIL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31 895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Patrik Köhn transport AB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28341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OSBY</w:t>
            </w:r>
          </w:p>
        </w:tc>
      </w:tr>
      <w:tr w:rsidR="00090FCE" w:rsidRPr="002B4FD0" w:rsidTr="003D54E1">
        <w:trPr>
          <w:trHeight w:val="113"/>
        </w:trPr>
        <w:tc>
          <w:tcPr>
            <w:tcW w:w="1432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29 184</w:t>
            </w:r>
          </w:p>
        </w:tc>
        <w:tc>
          <w:tcPr>
            <w:tcW w:w="1123" w:type="dxa"/>
            <w:noWrap/>
            <w:hideMark/>
          </w:tcPr>
          <w:p w:rsidR="00090FCE" w:rsidRPr="003D54E1" w:rsidRDefault="00090FCE" w:rsidP="003D54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942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Södertälje Kundtjänst Aktiebolag</w:t>
            </w:r>
          </w:p>
        </w:tc>
        <w:tc>
          <w:tcPr>
            <w:tcW w:w="900" w:type="dxa"/>
            <w:noWrap/>
            <w:hideMark/>
          </w:tcPr>
          <w:p w:rsidR="00090FCE" w:rsidRPr="003D54E1" w:rsidRDefault="00090FCE" w:rsidP="003D54E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15138</w:t>
            </w:r>
          </w:p>
        </w:tc>
        <w:tc>
          <w:tcPr>
            <w:tcW w:w="1810" w:type="dxa"/>
            <w:noWrap/>
            <w:hideMark/>
          </w:tcPr>
          <w:p w:rsidR="00090FCE" w:rsidRPr="003D54E1" w:rsidRDefault="00090FCE" w:rsidP="00090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54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SÖDERTÄLJE</w:t>
            </w:r>
          </w:p>
        </w:tc>
      </w:tr>
    </w:tbl>
    <w:p w:rsidR="00090FCE" w:rsidRDefault="00090FCE" w:rsidP="00090FCE"/>
    <w:p w:rsidR="00090FCE" w:rsidRPr="00C87CA6" w:rsidRDefault="00090FCE" w:rsidP="00090FCE">
      <w:pPr>
        <w:rPr>
          <w:color w:val="C00000"/>
          <w:sz w:val="30"/>
          <w:szCs w:val="30"/>
        </w:rPr>
      </w:pPr>
      <w:r w:rsidRPr="00C87CA6">
        <w:rPr>
          <w:rFonts w:ascii="Arial" w:hAnsi="Arial" w:cs="Arial"/>
          <w:b/>
          <w:color w:val="C00000"/>
          <w:sz w:val="30"/>
          <w:szCs w:val="30"/>
        </w:rPr>
        <w:t xml:space="preserve">Creditsafes konkursstatistik för svenska aktiebolag </w:t>
      </w:r>
      <w:r w:rsidRPr="00C87CA6">
        <w:rPr>
          <w:rFonts w:ascii="Arial" w:hAnsi="Arial" w:cs="Arial"/>
          <w:b/>
          <w:color w:val="C00000"/>
          <w:sz w:val="30"/>
          <w:szCs w:val="30"/>
        </w:rPr>
        <w:br/>
        <w:t>under februarimånader 2003-2013</w:t>
      </w:r>
    </w:p>
    <w:p w:rsidR="00090FCE" w:rsidRDefault="00B55CF8" w:rsidP="00090FCE">
      <w:r>
        <w:rPr>
          <w:noProof/>
          <w:lang w:eastAsia="sv-SE"/>
        </w:rPr>
        <w:drawing>
          <wp:anchor distT="0" distB="2032" distL="114300" distR="114300" simplePos="0" relativeHeight="251657728" behindDoc="1" locked="0" layoutInCell="1" allowOverlap="1">
            <wp:simplePos x="0" y="0"/>
            <wp:positionH relativeFrom="column">
              <wp:posOffset>571627</wp:posOffset>
            </wp:positionH>
            <wp:positionV relativeFrom="paragraph">
              <wp:posOffset>154686</wp:posOffset>
            </wp:positionV>
            <wp:extent cx="4600067" cy="2641346"/>
            <wp:effectExtent l="12192" t="6096" r="8636" b="0"/>
            <wp:wrapSquare wrapText="bothSides"/>
            <wp:docPr id="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C87CA6">
        <w:t xml:space="preserve"> </w:t>
      </w:r>
    </w:p>
    <w:p w:rsidR="00090FCE" w:rsidRDefault="00090FCE" w:rsidP="00C87CA6">
      <w:pPr>
        <w:jc w:val="center"/>
      </w:pPr>
    </w:p>
    <w:p w:rsidR="00090FCE" w:rsidRDefault="00090FCE" w:rsidP="00090FCE"/>
    <w:p w:rsidR="00090FCE" w:rsidRDefault="00090FCE" w:rsidP="00090FCE"/>
    <w:p w:rsidR="00090FCE" w:rsidRDefault="00090FCE" w:rsidP="00090FCE"/>
    <w:p w:rsidR="00090FCE" w:rsidRDefault="00090FCE" w:rsidP="00090FCE"/>
    <w:p w:rsidR="00090FCE" w:rsidRDefault="00090FCE" w:rsidP="00090FCE"/>
    <w:p w:rsidR="00090FCE" w:rsidRDefault="00090FCE" w:rsidP="00090FCE"/>
    <w:p w:rsidR="00150FC1" w:rsidRDefault="00150FC1" w:rsidP="00C87CA6">
      <w:pPr>
        <w:spacing w:after="0" w:line="240" w:lineRule="auto"/>
        <w:rPr>
          <w:rFonts w:ascii="Arial" w:hAnsi="Arial" w:cs="Arial"/>
          <w:b/>
          <w:color w:val="C00000"/>
          <w:sz w:val="32"/>
          <w:szCs w:val="32"/>
          <w:lang w:eastAsia="sv-SE"/>
        </w:rPr>
      </w:pPr>
      <w:bookmarkStart w:id="0" w:name="_GoBack"/>
      <w:bookmarkEnd w:id="0"/>
    </w:p>
    <w:sectPr w:rsidR="00150FC1" w:rsidSect="00150FC1">
      <w:headerReference w:type="default" r:id="rId7"/>
      <w:footerReference w:type="default" r:id="rId8"/>
      <w:pgSz w:w="11906" w:h="16838"/>
      <w:pgMar w:top="1985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B05" w:rsidRDefault="00BD3B05" w:rsidP="00361AA3">
      <w:pPr>
        <w:spacing w:after="0" w:line="240" w:lineRule="auto"/>
      </w:pPr>
      <w:r>
        <w:separator/>
      </w:r>
    </w:p>
  </w:endnote>
  <w:endnote w:type="continuationSeparator" w:id="1">
    <w:p w:rsidR="00BD3B05" w:rsidRDefault="00BD3B05" w:rsidP="0036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E" w:rsidRPr="00553C46" w:rsidRDefault="00090FCE" w:rsidP="009E1DC0">
    <w:pPr>
      <w:pStyle w:val="Normalwebb"/>
      <w:spacing w:before="2" w:after="2"/>
      <w:rPr>
        <w:rFonts w:ascii="Arial" w:hAnsi="Arial" w:cs="Arial"/>
        <w:sz w:val="19"/>
        <w:szCs w:val="19"/>
      </w:rPr>
    </w:pPr>
    <w:r w:rsidRPr="00553C46">
      <w:rPr>
        <w:rStyle w:val="Stark"/>
        <w:rFonts w:ascii="Arial" w:hAnsi="Arial" w:cs="Arial"/>
        <w:i/>
        <w:iCs/>
        <w:sz w:val="19"/>
        <w:szCs w:val="19"/>
      </w:rPr>
      <w:t>Creditsafe är ett av Sveriges ledande affärs- och kreditupplysningsföretag</w:t>
    </w:r>
    <w:r w:rsidRPr="00553C46">
      <w:rPr>
        <w:rStyle w:val="Betoning"/>
        <w:rFonts w:ascii="Arial" w:hAnsi="Arial" w:cs="Arial"/>
        <w:sz w:val="19"/>
        <w:szCs w:val="19"/>
      </w:rPr>
      <w:t>. Vi arbetar globalt och är idag den mest använda leverantören av kreditupplysningar i Europa. Creditsafe i Sverige AB levererar kreditinformation via webben eller via integrerade kundanpassade lösningar. Varje sekund hämtas fem Creditsaferapporter från någon av koncernens databaser.</w:t>
    </w:r>
  </w:p>
  <w:p w:rsidR="00090FCE" w:rsidRPr="009E1DC0" w:rsidRDefault="00090FCE" w:rsidP="009E1DC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B05" w:rsidRDefault="00BD3B05" w:rsidP="00361AA3">
      <w:pPr>
        <w:spacing w:after="0" w:line="240" w:lineRule="auto"/>
      </w:pPr>
      <w:r>
        <w:separator/>
      </w:r>
    </w:p>
  </w:footnote>
  <w:footnote w:type="continuationSeparator" w:id="1">
    <w:p w:rsidR="00BD3B05" w:rsidRDefault="00BD3B05" w:rsidP="0036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E" w:rsidRPr="0091025A" w:rsidRDefault="00B55CF8" w:rsidP="0091025A">
    <w:pPr>
      <w:pStyle w:val="Sidhuvud"/>
      <w:jc w:val="right"/>
      <w:rPr>
        <w:rFonts w:ascii="Arial" w:hAnsi="Arial"/>
        <w:sz w:val="24"/>
        <w:szCs w:val="24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-125730</wp:posOffset>
          </wp:positionV>
          <wp:extent cx="1790700" cy="590550"/>
          <wp:effectExtent l="19050" t="0" r="0" b="0"/>
          <wp:wrapTight wrapText="bothSides">
            <wp:wrapPolygon edited="0">
              <wp:start x="-230" y="0"/>
              <wp:lineTo x="-230" y="20903"/>
              <wp:lineTo x="21600" y="20903"/>
              <wp:lineTo x="21600" y="0"/>
              <wp:lineTo x="-230" y="0"/>
            </wp:wrapPolygon>
          </wp:wrapTight>
          <wp:docPr id="1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0FCE">
      <w:tab/>
    </w:r>
    <w:r w:rsidR="00090FCE" w:rsidRPr="0091025A">
      <w:rPr>
        <w:rFonts w:ascii="Arial" w:hAnsi="Arial"/>
        <w:sz w:val="24"/>
        <w:szCs w:val="24"/>
      </w:rPr>
      <w:t xml:space="preserve">Statistik per den 4 </w:t>
    </w:r>
    <w:r w:rsidR="003D54E1">
      <w:rPr>
        <w:rFonts w:ascii="Arial" w:hAnsi="Arial"/>
        <w:sz w:val="24"/>
        <w:szCs w:val="24"/>
      </w:rPr>
      <w:t>mars</w:t>
    </w:r>
    <w:r w:rsidR="00090FCE" w:rsidRPr="0091025A">
      <w:rPr>
        <w:rFonts w:ascii="Arial" w:hAnsi="Arial"/>
        <w:sz w:val="24"/>
        <w:szCs w:val="24"/>
      </w:rPr>
      <w:t xml:space="preserve"> 2013</w:t>
    </w:r>
  </w:p>
  <w:p w:rsidR="00090FCE" w:rsidRDefault="00090FCE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A39B0"/>
    <w:rsid w:val="0005370D"/>
    <w:rsid w:val="00090FCE"/>
    <w:rsid w:val="00096EDA"/>
    <w:rsid w:val="00103096"/>
    <w:rsid w:val="00115903"/>
    <w:rsid w:val="001179EB"/>
    <w:rsid w:val="00120CFD"/>
    <w:rsid w:val="00123C4D"/>
    <w:rsid w:val="00145B76"/>
    <w:rsid w:val="00150FC1"/>
    <w:rsid w:val="00152070"/>
    <w:rsid w:val="00167F46"/>
    <w:rsid w:val="00170FBA"/>
    <w:rsid w:val="00191823"/>
    <w:rsid w:val="001B5B03"/>
    <w:rsid w:val="001E40C8"/>
    <w:rsid w:val="001E6CF8"/>
    <w:rsid w:val="001F3F9F"/>
    <w:rsid w:val="00200F95"/>
    <w:rsid w:val="002023FC"/>
    <w:rsid w:val="002129E4"/>
    <w:rsid w:val="00216061"/>
    <w:rsid w:val="00247426"/>
    <w:rsid w:val="0026115F"/>
    <w:rsid w:val="002B1D1E"/>
    <w:rsid w:val="002C56E8"/>
    <w:rsid w:val="002D5034"/>
    <w:rsid w:val="002F093C"/>
    <w:rsid w:val="0033597B"/>
    <w:rsid w:val="003400D2"/>
    <w:rsid w:val="00361AA3"/>
    <w:rsid w:val="00367D2B"/>
    <w:rsid w:val="003A3E89"/>
    <w:rsid w:val="003A5908"/>
    <w:rsid w:val="003D54E1"/>
    <w:rsid w:val="003D56A5"/>
    <w:rsid w:val="00441A76"/>
    <w:rsid w:val="0049166A"/>
    <w:rsid w:val="004977E0"/>
    <w:rsid w:val="004B0D84"/>
    <w:rsid w:val="004D7B86"/>
    <w:rsid w:val="004E5FE5"/>
    <w:rsid w:val="004F73E3"/>
    <w:rsid w:val="00506E8C"/>
    <w:rsid w:val="00542AD8"/>
    <w:rsid w:val="00574093"/>
    <w:rsid w:val="00585248"/>
    <w:rsid w:val="00590BC9"/>
    <w:rsid w:val="00592E09"/>
    <w:rsid w:val="005A3F23"/>
    <w:rsid w:val="005C5DDF"/>
    <w:rsid w:val="005D3D35"/>
    <w:rsid w:val="005D6D24"/>
    <w:rsid w:val="005F370E"/>
    <w:rsid w:val="005F4367"/>
    <w:rsid w:val="006417C8"/>
    <w:rsid w:val="00645A1D"/>
    <w:rsid w:val="00664A38"/>
    <w:rsid w:val="00675237"/>
    <w:rsid w:val="0069196A"/>
    <w:rsid w:val="006A1A96"/>
    <w:rsid w:val="006A39B0"/>
    <w:rsid w:val="006D1E63"/>
    <w:rsid w:val="0070061C"/>
    <w:rsid w:val="007266CC"/>
    <w:rsid w:val="00730308"/>
    <w:rsid w:val="007556DB"/>
    <w:rsid w:val="00761034"/>
    <w:rsid w:val="00775FB2"/>
    <w:rsid w:val="007910FB"/>
    <w:rsid w:val="0079171F"/>
    <w:rsid w:val="007C0461"/>
    <w:rsid w:val="007D2DE7"/>
    <w:rsid w:val="007D5D87"/>
    <w:rsid w:val="007F201E"/>
    <w:rsid w:val="0082446B"/>
    <w:rsid w:val="008A3E42"/>
    <w:rsid w:val="0090340F"/>
    <w:rsid w:val="0091025A"/>
    <w:rsid w:val="00911B67"/>
    <w:rsid w:val="009248DD"/>
    <w:rsid w:val="00976A5A"/>
    <w:rsid w:val="0098628D"/>
    <w:rsid w:val="00986B78"/>
    <w:rsid w:val="009870DD"/>
    <w:rsid w:val="009B3110"/>
    <w:rsid w:val="009D20E3"/>
    <w:rsid w:val="009E1DC0"/>
    <w:rsid w:val="00A03FC7"/>
    <w:rsid w:val="00A07945"/>
    <w:rsid w:val="00A353FB"/>
    <w:rsid w:val="00A429B0"/>
    <w:rsid w:val="00A449F3"/>
    <w:rsid w:val="00A633E2"/>
    <w:rsid w:val="00AA1742"/>
    <w:rsid w:val="00AF2C67"/>
    <w:rsid w:val="00B010B3"/>
    <w:rsid w:val="00B55CF8"/>
    <w:rsid w:val="00B61FA3"/>
    <w:rsid w:val="00BA1873"/>
    <w:rsid w:val="00BD013D"/>
    <w:rsid w:val="00BD3B05"/>
    <w:rsid w:val="00BF1174"/>
    <w:rsid w:val="00BF27FE"/>
    <w:rsid w:val="00C02710"/>
    <w:rsid w:val="00C124CF"/>
    <w:rsid w:val="00C17907"/>
    <w:rsid w:val="00C42C07"/>
    <w:rsid w:val="00C50D0B"/>
    <w:rsid w:val="00C51D5A"/>
    <w:rsid w:val="00C87CA6"/>
    <w:rsid w:val="00CA4BDD"/>
    <w:rsid w:val="00CB540A"/>
    <w:rsid w:val="00CE1A99"/>
    <w:rsid w:val="00CF072F"/>
    <w:rsid w:val="00D12490"/>
    <w:rsid w:val="00D21D64"/>
    <w:rsid w:val="00D24F1E"/>
    <w:rsid w:val="00D33A04"/>
    <w:rsid w:val="00D4524E"/>
    <w:rsid w:val="00D65B69"/>
    <w:rsid w:val="00D670DE"/>
    <w:rsid w:val="00D732BC"/>
    <w:rsid w:val="00D7624A"/>
    <w:rsid w:val="00D96193"/>
    <w:rsid w:val="00D974AD"/>
    <w:rsid w:val="00DA7052"/>
    <w:rsid w:val="00DC57FF"/>
    <w:rsid w:val="00DD0D3B"/>
    <w:rsid w:val="00DE675F"/>
    <w:rsid w:val="00E35ED0"/>
    <w:rsid w:val="00E40099"/>
    <w:rsid w:val="00E64034"/>
    <w:rsid w:val="00EE3FC2"/>
    <w:rsid w:val="00F06BBE"/>
    <w:rsid w:val="00F32AB6"/>
    <w:rsid w:val="00F543FE"/>
    <w:rsid w:val="00F6315A"/>
    <w:rsid w:val="00F709E0"/>
    <w:rsid w:val="00F80864"/>
    <w:rsid w:val="00F80AFD"/>
    <w:rsid w:val="00FA629E"/>
    <w:rsid w:val="00FE5E9F"/>
    <w:rsid w:val="00FF278A"/>
    <w:rsid w:val="00FF4B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A39B0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="Calibri" w:eastAsia="Times New Roman" w:hAnsi="Calibri"/>
      <w:b/>
      <w:bCs/>
      <w:color w:val="345A8A"/>
      <w:sz w:val="32"/>
      <w:szCs w:val="32"/>
      <w:lang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E45C16"/>
  </w:style>
  <w:style w:type="paragraph" w:styleId="Ballongtext">
    <w:name w:val="Balloon Text"/>
    <w:basedOn w:val="Normal"/>
    <w:link w:val="Ballong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  <w:lang/>
    </w:rPr>
  </w:style>
  <w:style w:type="character" w:customStyle="1" w:styleId="BallongtextChar">
    <w:name w:val="Ballongtext Char"/>
    <w:link w:val="Ballong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link w:val="Rubrik1"/>
    <w:uiPriority w:val="9"/>
    <w:rsid w:val="001E6CF8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664A38"/>
    <w:pPr>
      <w:tabs>
        <w:tab w:val="center" w:pos="4703"/>
        <w:tab w:val="right" w:pos="9406"/>
      </w:tabs>
      <w:spacing w:after="0" w:line="240" w:lineRule="auto"/>
    </w:pPr>
    <w:rPr>
      <w:lang/>
    </w:rPr>
  </w:style>
  <w:style w:type="character" w:customStyle="1" w:styleId="SidhuvudChar">
    <w:name w:val="Sidhuvud Char"/>
    <w:link w:val="Sidhuvud"/>
    <w:rsid w:val="00664A38"/>
    <w:rPr>
      <w:rFonts w:ascii="Cambria" w:hAnsi="Cambria"/>
      <w:sz w:val="22"/>
      <w:szCs w:val="22"/>
    </w:rPr>
  </w:style>
  <w:style w:type="paragraph" w:styleId="Sidfot">
    <w:name w:val="footer"/>
    <w:basedOn w:val="Normal"/>
    <w:link w:val="SidfotChar"/>
    <w:rsid w:val="00664A38"/>
    <w:pPr>
      <w:tabs>
        <w:tab w:val="center" w:pos="4703"/>
        <w:tab w:val="right" w:pos="9406"/>
      </w:tabs>
      <w:spacing w:after="0" w:line="240" w:lineRule="auto"/>
    </w:pPr>
    <w:rPr>
      <w:lang/>
    </w:rPr>
  </w:style>
  <w:style w:type="character" w:customStyle="1" w:styleId="SidfotChar">
    <w:name w:val="Sidfot Char"/>
    <w:link w:val="Sidfot"/>
    <w:rsid w:val="00664A38"/>
    <w:rPr>
      <w:rFonts w:ascii="Cambria" w:hAnsi="Cambria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9E1DC0"/>
    <w:rPr>
      <w:b/>
      <w:bCs/>
    </w:rPr>
  </w:style>
  <w:style w:type="character" w:styleId="Betoning">
    <w:name w:val="Emphasis"/>
    <w:basedOn w:val="Standardstycketeckensnitt"/>
    <w:uiPriority w:val="20"/>
    <w:qFormat/>
    <w:rsid w:val="009E1DC0"/>
    <w:rPr>
      <w:i/>
      <w:iCs/>
    </w:rPr>
  </w:style>
  <w:style w:type="table" w:styleId="Tabellrutnt">
    <w:name w:val="Table Grid"/>
    <w:basedOn w:val="Normaltabell"/>
    <w:uiPriority w:val="59"/>
    <w:rsid w:val="00090FCE"/>
    <w:rPr>
      <w:rFonts w:ascii="Calibri" w:eastAsia="MS Mincho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linus.glanzelius:Downloads:Konkursstatistik%202013%20Grayl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style val="3"/>
  <c:chart>
    <c:title>
      <c:tx>
        <c:rich>
          <a:bodyPr/>
          <a:lstStyle/>
          <a:p>
            <a:pPr>
              <a:defRPr/>
            </a:pPr>
            <a:r>
              <a:rPr lang="sv-SE">
                <a:latin typeface="Arial"/>
                <a:cs typeface="Arial"/>
              </a:rPr>
              <a:t>Antalet bolagskonkurser </a:t>
            </a:r>
            <a:br>
              <a:rPr lang="sv-SE">
                <a:latin typeface="Arial"/>
                <a:cs typeface="Arial"/>
              </a:rPr>
            </a:br>
            <a:r>
              <a:rPr lang="sv-SE">
                <a:latin typeface="Arial"/>
                <a:cs typeface="Arial"/>
              </a:rPr>
              <a:t>februari 2003-2013</a:t>
            </a:r>
          </a:p>
        </c:rich>
      </c:tx>
      <c:layout>
        <c:manualLayout>
          <c:xMode val="edge"/>
          <c:yMode val="edge"/>
          <c:x val="0.24565174257368497"/>
          <c:y val="6.25136547466645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[2]Blad1!$A$1:$A$11</c:f>
              <c:strCache>
                <c:ptCount val="1"/>
                <c:pt idx="0">
                  <c:v>#REFERENS! #REFERENS! #REFERENS! #REFERENS! #REFERENS! #REFERENS! #REFERENS! #REFERENS! #REFERENS! #REFERENS! #REFERENS!</c:v>
                </c:pt>
              </c:strCache>
            </c:strRef>
          </c:tx>
          <c:spPr>
            <a:solidFill>
              <a:schemeClr val="tx2"/>
            </a:solidFill>
          </c:spPr>
          <c:dPt>
            <c:idx val="10"/>
            <c:spPr>
              <a:solidFill>
                <a:srgbClr val="C00000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</c:dPt>
          <c:dLbls>
            <c:txPr>
              <a:bodyPr/>
              <a:lstStyle/>
              <a:p>
                <a:pPr algn="ctr">
                  <a:defRPr>
                    <a:latin typeface="Arial"/>
                    <a:cs typeface="Arial"/>
                  </a:defRPr>
                </a:pPr>
                <a:endParaRPr lang="sv-SE"/>
              </a:p>
            </c:txPr>
            <c:showVal val="1"/>
          </c:dLbls>
          <c:cat>
            <c:numRef>
              <c:f>'Långsiktig trend'!$G$1:$Q$1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'Långsiktig trend'!$G$3:$Q$3</c:f>
              <c:numCache>
                <c:formatCode>General</c:formatCode>
                <c:ptCount val="11"/>
                <c:pt idx="0">
                  <c:v>594</c:v>
                </c:pt>
                <c:pt idx="1">
                  <c:v>538</c:v>
                </c:pt>
                <c:pt idx="2">
                  <c:v>388</c:v>
                </c:pt>
                <c:pt idx="3">
                  <c:v>388</c:v>
                </c:pt>
                <c:pt idx="4">
                  <c:v>327</c:v>
                </c:pt>
                <c:pt idx="5">
                  <c:v>371</c:v>
                </c:pt>
                <c:pt idx="6">
                  <c:v>566</c:v>
                </c:pt>
                <c:pt idx="7" formatCode="0">
                  <c:v>447</c:v>
                </c:pt>
                <c:pt idx="8" formatCode="0">
                  <c:v>462</c:v>
                </c:pt>
                <c:pt idx="9" formatCode="0">
                  <c:v>512</c:v>
                </c:pt>
                <c:pt idx="10">
                  <c:v>569</c:v>
                </c:pt>
              </c:numCache>
            </c:numRef>
          </c:val>
        </c:ser>
        <c:dLbls>
          <c:showVal val="1"/>
        </c:dLbls>
        <c:overlap val="-25"/>
        <c:axId val="225553792"/>
        <c:axId val="198198016"/>
      </c:barChart>
      <c:catAx>
        <c:axId val="2255537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>
                <a:latin typeface="Arial"/>
                <a:cs typeface="Arial"/>
              </a:defRPr>
            </a:pPr>
            <a:endParaRPr lang="sv-SE"/>
          </a:p>
        </c:txPr>
        <c:crossAx val="198198016"/>
        <c:crosses val="autoZero"/>
        <c:auto val="1"/>
        <c:lblAlgn val="ctr"/>
        <c:lblOffset val="100"/>
      </c:catAx>
      <c:valAx>
        <c:axId val="1981980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22555379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626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Newsroom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Simonsson</dc:creator>
  <cp:lastModifiedBy>CSSESAAN</cp:lastModifiedBy>
  <cp:revision>2</cp:revision>
  <cp:lastPrinted>2011-10-04T13:02:00Z</cp:lastPrinted>
  <dcterms:created xsi:type="dcterms:W3CDTF">2013-03-04T13:37:00Z</dcterms:created>
  <dcterms:modified xsi:type="dcterms:W3CDTF">2013-03-04T13:37:00Z</dcterms:modified>
</cp:coreProperties>
</file>