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18" w:rsidRPr="00135BE2" w:rsidRDefault="003E5918" w:rsidP="003E5918">
      <w:pPr>
        <w:pStyle w:val="VisaDocumentname"/>
        <w:rPr>
          <w:rFonts w:cs="Segoe UI"/>
          <w:color w:val="0023A0"/>
          <w:sz w:val="22"/>
          <w:szCs w:val="22"/>
          <w:lang w:val="pl-PL"/>
        </w:rPr>
      </w:pPr>
      <w:r w:rsidRPr="00135BE2">
        <w:rPr>
          <w:rFonts w:cs="Segoe UI"/>
          <w:noProof/>
          <w:color w:val="0023A0"/>
          <w:sz w:val="22"/>
          <w:szCs w:val="22"/>
          <w:lang w:val="pl-PL" w:eastAsia="pl-PL"/>
        </w:rPr>
        <w:drawing>
          <wp:anchor distT="0" distB="0" distL="114300" distR="114300" simplePos="0" relativeHeight="251661312" behindDoc="0" locked="0" layoutInCell="1" allowOverlap="1" wp14:anchorId="20990CAE" wp14:editId="2A882996">
            <wp:simplePos x="2057400" y="657225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2" name="Picture 2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B76" w:rsidRPr="00135BE2">
        <w:rPr>
          <w:rFonts w:cs="Segoe UI"/>
          <w:color w:val="0023A0"/>
          <w:sz w:val="22"/>
          <w:szCs w:val="22"/>
          <w:lang w:val="pl-PL"/>
        </w:rPr>
        <w:t>INFORMACJA PRASOWA</w:t>
      </w:r>
    </w:p>
    <w:p w:rsidR="00B058E3" w:rsidRPr="00E73966" w:rsidRDefault="002258FE" w:rsidP="00A86DA8">
      <w:pPr>
        <w:pStyle w:val="VisaHeadline"/>
        <w:jc w:val="center"/>
        <w:rPr>
          <w:rFonts w:cs="Segoe UI"/>
          <w:szCs w:val="40"/>
          <w:lang w:val="pl-PL"/>
        </w:rPr>
      </w:pPr>
      <w:r>
        <w:rPr>
          <w:rFonts w:cs="Segoe UI"/>
          <w:szCs w:val="40"/>
          <w:lang w:val="pl-PL"/>
        </w:rPr>
        <w:t xml:space="preserve">Do końca 2017 r. </w:t>
      </w:r>
      <w:proofErr w:type="spellStart"/>
      <w:r w:rsidRPr="002258FE">
        <w:rPr>
          <w:rFonts w:cs="Segoe UI"/>
          <w:szCs w:val="40"/>
          <w:lang w:val="pl-PL"/>
        </w:rPr>
        <w:t>tokenizacja</w:t>
      </w:r>
      <w:proofErr w:type="spellEnd"/>
      <w:r w:rsidR="00E8497B" w:rsidRPr="002258FE">
        <w:rPr>
          <w:rFonts w:cs="Segoe UI"/>
          <w:szCs w:val="40"/>
          <w:lang w:val="pl-PL"/>
        </w:rPr>
        <w:t xml:space="preserve"> </w:t>
      </w:r>
      <w:r w:rsidR="00E8497B" w:rsidRPr="00E8497B">
        <w:rPr>
          <w:rFonts w:cs="Segoe UI"/>
          <w:szCs w:val="40"/>
          <w:lang w:val="pl-PL"/>
        </w:rPr>
        <w:t>Visa umożliwi wdrożenie płatności mobilnych w 12 krajach Europy</w:t>
      </w:r>
    </w:p>
    <w:p w:rsidR="009E16F7" w:rsidRPr="00135BE2" w:rsidRDefault="009E16F7" w:rsidP="009E16F7">
      <w:pPr>
        <w:spacing w:after="0" w:line="240" w:lineRule="auto"/>
        <w:ind w:left="720"/>
        <w:rPr>
          <w:rFonts w:ascii="Segoe UI" w:hAnsi="Segoe UI" w:cs="Segoe UI"/>
          <w:b/>
          <w:bCs/>
          <w:iCs/>
          <w:lang w:val="pl-PL"/>
        </w:rPr>
      </w:pPr>
    </w:p>
    <w:p w:rsidR="00E8497B" w:rsidRPr="00E8497B" w:rsidRDefault="00E8497B" w:rsidP="00E8497B">
      <w:pPr>
        <w:numPr>
          <w:ilvl w:val="0"/>
          <w:numId w:val="2"/>
        </w:numPr>
        <w:spacing w:after="0" w:line="240" w:lineRule="auto"/>
        <w:rPr>
          <w:rFonts w:ascii="Segoe UI" w:hAnsi="Segoe UI" w:cs="Segoe UI"/>
          <w:b/>
          <w:i/>
          <w:sz w:val="20"/>
          <w:szCs w:val="20"/>
          <w:lang w:val="pl-PL"/>
        </w:rPr>
      </w:pPr>
      <w:r w:rsidRPr="00E8497B">
        <w:rPr>
          <w:rFonts w:ascii="Segoe UI" w:hAnsi="Segoe UI" w:cs="Segoe UI"/>
          <w:b/>
          <w:i/>
          <w:sz w:val="20"/>
          <w:szCs w:val="20"/>
          <w:lang w:val="pl-PL"/>
        </w:rPr>
        <w:t xml:space="preserve">Usługa </w:t>
      </w:r>
      <w:proofErr w:type="spellStart"/>
      <w:r w:rsidRPr="00E8497B">
        <w:rPr>
          <w:rFonts w:ascii="Segoe UI" w:hAnsi="Segoe UI" w:cs="Segoe UI"/>
          <w:b/>
          <w:i/>
          <w:sz w:val="20"/>
          <w:szCs w:val="20"/>
          <w:lang w:val="pl-PL"/>
        </w:rPr>
        <w:t>tokenizacyjna</w:t>
      </w:r>
      <w:proofErr w:type="spellEnd"/>
      <w:r w:rsidRPr="00E8497B">
        <w:rPr>
          <w:rFonts w:ascii="Segoe UI" w:hAnsi="Segoe UI" w:cs="Segoe UI"/>
          <w:b/>
          <w:i/>
          <w:sz w:val="20"/>
          <w:szCs w:val="20"/>
          <w:lang w:val="pl-PL"/>
        </w:rPr>
        <w:t xml:space="preserve"> Visa, umożliwiająca bezpieczne i wygodne płatności mobilne, działa obecnie w pięciu krajach Europy a wkrótce pojawi się w następnych siedmiu </w:t>
      </w:r>
    </w:p>
    <w:p w:rsidR="00B058E3" w:rsidRPr="00E8497B" w:rsidRDefault="00E8497B" w:rsidP="00E8497B">
      <w:pPr>
        <w:numPr>
          <w:ilvl w:val="0"/>
          <w:numId w:val="2"/>
        </w:numPr>
        <w:spacing w:after="0" w:line="240" w:lineRule="auto"/>
        <w:rPr>
          <w:rFonts w:ascii="Segoe UI" w:hAnsi="Segoe UI" w:cs="Segoe UI"/>
          <w:b/>
          <w:i/>
          <w:sz w:val="20"/>
          <w:szCs w:val="20"/>
          <w:lang w:val="pl-PL"/>
        </w:rPr>
      </w:pPr>
      <w:r w:rsidRPr="00E8497B">
        <w:rPr>
          <w:rFonts w:ascii="Segoe UI" w:hAnsi="Segoe UI" w:cs="Segoe UI"/>
          <w:b/>
          <w:i/>
          <w:sz w:val="20"/>
          <w:szCs w:val="20"/>
          <w:lang w:val="pl-PL"/>
        </w:rPr>
        <w:t>Upowszechnianiu płatności mobilnych w Europie sprzyja rozwój sieci akceptacji</w:t>
      </w:r>
      <w:r w:rsidR="00701840">
        <w:rPr>
          <w:rFonts w:ascii="Segoe UI" w:hAnsi="Segoe UI" w:cs="Segoe UI"/>
          <w:b/>
          <w:i/>
          <w:sz w:val="20"/>
          <w:szCs w:val="20"/>
          <w:lang w:val="pl-PL"/>
        </w:rPr>
        <w:t xml:space="preserve"> płatności zbliżeniowych</w:t>
      </w:r>
      <w:r w:rsidRPr="00E8497B">
        <w:rPr>
          <w:rFonts w:ascii="Segoe UI" w:hAnsi="Segoe UI" w:cs="Segoe UI"/>
          <w:b/>
          <w:i/>
          <w:sz w:val="20"/>
          <w:szCs w:val="20"/>
          <w:lang w:val="pl-PL"/>
        </w:rPr>
        <w:t>, która obejmuje już ponad 1,2 mln detalistów</w:t>
      </w:r>
      <w:r w:rsidR="00A76743" w:rsidRPr="00E8497B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br/>
      </w:r>
      <w:r w:rsidR="003E5918" w:rsidRPr="00D073ED">
        <w:rPr>
          <w:rFonts w:ascii="Segoe UI" w:hAnsi="Segoe UI" w:cs="Segoe UI"/>
          <w:b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5C02A38B" wp14:editId="6C49042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497B" w:rsidRPr="00E8497B" w:rsidRDefault="004C7C16" w:rsidP="00E8497B">
      <w:pPr>
        <w:pStyle w:val="Tekstkomentarza"/>
        <w:rPr>
          <w:rFonts w:ascii="Segoe UI" w:hAnsi="Segoe UI" w:cs="Segoe UI"/>
          <w:lang w:val="pl-PL"/>
        </w:rPr>
      </w:pPr>
      <w:r w:rsidRPr="00422ADB">
        <w:rPr>
          <w:rFonts w:ascii="Segoe UI" w:hAnsi="Segoe UI" w:cs="Segoe UI"/>
          <w:b/>
          <w:noProof/>
          <w:lang w:val="pl-PL" w:eastAsia="pl-PL"/>
        </w:rPr>
        <w:t xml:space="preserve">Warszawa, </w:t>
      </w:r>
      <w:r w:rsidR="00E8497B">
        <w:rPr>
          <w:rFonts w:ascii="Segoe UI" w:hAnsi="Segoe UI" w:cs="Segoe UI"/>
          <w:b/>
          <w:noProof/>
          <w:lang w:val="pl-PL" w:eastAsia="pl-PL"/>
        </w:rPr>
        <w:t>23</w:t>
      </w:r>
      <w:r w:rsidR="00931EC8">
        <w:rPr>
          <w:rFonts w:ascii="Segoe UI" w:hAnsi="Segoe UI" w:cs="Segoe UI"/>
          <w:b/>
          <w:noProof/>
          <w:lang w:val="pl-PL" w:eastAsia="pl-PL"/>
        </w:rPr>
        <w:t xml:space="preserve"> </w:t>
      </w:r>
      <w:r w:rsidR="00E8497B">
        <w:rPr>
          <w:rFonts w:ascii="Segoe UI" w:hAnsi="Segoe UI" w:cs="Segoe UI"/>
          <w:b/>
          <w:noProof/>
          <w:lang w:val="pl-PL" w:eastAsia="pl-PL"/>
        </w:rPr>
        <w:t>lutego</w:t>
      </w:r>
      <w:r w:rsidR="00735D8F" w:rsidRPr="00422ADB">
        <w:rPr>
          <w:rFonts w:ascii="Segoe UI" w:hAnsi="Segoe UI" w:cs="Segoe UI"/>
          <w:b/>
          <w:noProof/>
          <w:lang w:val="pl-PL" w:eastAsia="pl-PL"/>
        </w:rPr>
        <w:t xml:space="preserve"> 2017 </w:t>
      </w:r>
      <w:r w:rsidR="00D444CA" w:rsidRPr="00422ADB">
        <w:rPr>
          <w:rFonts w:ascii="Segoe UI" w:hAnsi="Segoe UI" w:cs="Segoe UI"/>
          <w:b/>
          <w:noProof/>
          <w:lang w:val="pl-PL" w:eastAsia="pl-PL"/>
        </w:rPr>
        <w:t>r.</w:t>
      </w:r>
      <w:r w:rsidR="003E5918" w:rsidRPr="00422ADB">
        <w:rPr>
          <w:rFonts w:ascii="Segoe UI" w:hAnsi="Segoe UI" w:cs="Segoe UI"/>
          <w:lang w:val="pl-PL"/>
        </w:rPr>
        <w:t xml:space="preserve"> </w:t>
      </w:r>
      <w:r w:rsidR="009E16F7" w:rsidRPr="00422ADB">
        <w:rPr>
          <w:rFonts w:ascii="Segoe UI" w:hAnsi="Segoe UI" w:cs="Segoe UI"/>
          <w:lang w:val="pl-PL"/>
        </w:rPr>
        <w:t xml:space="preserve">– </w:t>
      </w:r>
      <w:r w:rsidR="00E8497B" w:rsidRPr="00E8497B">
        <w:rPr>
          <w:rFonts w:ascii="Segoe UI" w:hAnsi="Segoe UI" w:cs="Segoe UI"/>
          <w:lang w:val="pl-PL"/>
        </w:rPr>
        <w:t xml:space="preserve">Przy okazji niedawnego otwarcia nowego Centrum Innowacji w Londynie, Visa poinformowała, że </w:t>
      </w:r>
      <w:proofErr w:type="spellStart"/>
      <w:r w:rsidR="00E8497B" w:rsidRPr="00E8497B">
        <w:rPr>
          <w:rFonts w:ascii="Segoe UI" w:hAnsi="Segoe UI" w:cs="Segoe UI"/>
          <w:lang w:val="pl-PL"/>
        </w:rPr>
        <w:t>tokenizacja</w:t>
      </w:r>
      <w:proofErr w:type="spellEnd"/>
      <w:r w:rsidR="00E8497B" w:rsidRPr="00E8497B">
        <w:rPr>
          <w:rFonts w:ascii="Segoe UI" w:hAnsi="Segoe UI" w:cs="Segoe UI"/>
          <w:lang w:val="pl-PL"/>
        </w:rPr>
        <w:t xml:space="preserve"> Visa (Visa </w:t>
      </w:r>
      <w:proofErr w:type="spellStart"/>
      <w:r w:rsidR="00E8497B" w:rsidRPr="00E8497B">
        <w:rPr>
          <w:rFonts w:ascii="Segoe UI" w:hAnsi="Segoe UI" w:cs="Segoe UI"/>
          <w:lang w:val="pl-PL"/>
        </w:rPr>
        <w:t>Token</w:t>
      </w:r>
      <w:proofErr w:type="spellEnd"/>
      <w:r w:rsidR="00E8497B" w:rsidRPr="00E8497B">
        <w:rPr>
          <w:rFonts w:ascii="Segoe UI" w:hAnsi="Segoe UI" w:cs="Segoe UI"/>
          <w:lang w:val="pl-PL"/>
        </w:rPr>
        <w:t xml:space="preserve"> Service, VTS) – nowa technologia zwiększająca bezpieczeństwo i wygodę płatności mobilnych</w:t>
      </w:r>
      <w:r w:rsidR="002258FE">
        <w:rPr>
          <w:rFonts w:ascii="Segoe UI" w:hAnsi="Segoe UI" w:cs="Segoe UI"/>
          <w:lang w:val="pl-PL"/>
        </w:rPr>
        <w:t>, jak</w:t>
      </w:r>
      <w:r w:rsidR="00E8497B" w:rsidRPr="00E8497B">
        <w:rPr>
          <w:rFonts w:ascii="Segoe UI" w:hAnsi="Segoe UI" w:cs="Segoe UI"/>
          <w:lang w:val="pl-PL"/>
        </w:rPr>
        <w:t xml:space="preserve"> i online dzięki zastępowaniu danych karty identyfikatorem cyfrowym – wdrażana jest w 12 krajach Europy.</w:t>
      </w:r>
    </w:p>
    <w:p w:rsidR="00E8497B" w:rsidRPr="00E8497B" w:rsidRDefault="00E8497B" w:rsidP="00E8497B">
      <w:pPr>
        <w:pStyle w:val="Tekstkomentarza"/>
        <w:rPr>
          <w:rFonts w:ascii="Segoe UI" w:hAnsi="Segoe UI" w:cs="Segoe UI"/>
          <w:lang w:val="pl-PL"/>
        </w:rPr>
      </w:pPr>
      <w:r w:rsidRPr="00E8497B">
        <w:rPr>
          <w:rFonts w:ascii="Segoe UI" w:hAnsi="Segoe UI" w:cs="Segoe UI"/>
          <w:lang w:val="pl-PL"/>
        </w:rPr>
        <w:t xml:space="preserve">Na całym świecie </w:t>
      </w:r>
      <w:proofErr w:type="spellStart"/>
      <w:r w:rsidRPr="00E8497B">
        <w:rPr>
          <w:rFonts w:ascii="Segoe UI" w:hAnsi="Segoe UI" w:cs="Segoe UI"/>
          <w:lang w:val="pl-PL"/>
        </w:rPr>
        <w:t>tokenizacja</w:t>
      </w:r>
      <w:proofErr w:type="spellEnd"/>
      <w:r w:rsidRPr="00E8497B">
        <w:rPr>
          <w:rFonts w:ascii="Segoe UI" w:hAnsi="Segoe UI" w:cs="Segoe UI"/>
          <w:lang w:val="pl-PL"/>
        </w:rPr>
        <w:t xml:space="preserve"> Visa wykorzystywana jest już przy płatnościach mobilnych w 27 krajach – m.in. </w:t>
      </w:r>
      <w:r w:rsidR="006D7B4F">
        <w:rPr>
          <w:rFonts w:ascii="Segoe UI" w:hAnsi="Segoe UI" w:cs="Segoe UI"/>
          <w:lang w:val="pl-PL"/>
        </w:rPr>
        <w:t xml:space="preserve">w </w:t>
      </w:r>
      <w:r w:rsidR="006D7B4F" w:rsidRPr="00E8497B">
        <w:rPr>
          <w:rFonts w:ascii="Segoe UI" w:hAnsi="Segoe UI" w:cs="Segoe UI"/>
          <w:lang w:val="pl-PL"/>
        </w:rPr>
        <w:t>Polsce,</w:t>
      </w:r>
      <w:r w:rsidR="006D7B4F">
        <w:rPr>
          <w:rFonts w:ascii="Segoe UI" w:hAnsi="Segoe UI" w:cs="Segoe UI"/>
          <w:lang w:val="pl-PL"/>
        </w:rPr>
        <w:t xml:space="preserve"> </w:t>
      </w:r>
      <w:r w:rsidRPr="00E8497B">
        <w:rPr>
          <w:rFonts w:ascii="Segoe UI" w:hAnsi="Segoe UI" w:cs="Segoe UI"/>
          <w:lang w:val="pl-PL"/>
        </w:rPr>
        <w:t xml:space="preserve">Francji, Irlandii, Szwajcarii i Wielkiej Brytanii – oferowanych przez ponad 1,3 tys. instytucji finansowych. Visa we współpracy z partnerami dąży do wdrożenia </w:t>
      </w:r>
      <w:proofErr w:type="spellStart"/>
      <w:r w:rsidRPr="00E8497B">
        <w:rPr>
          <w:rFonts w:ascii="Segoe UI" w:hAnsi="Segoe UI" w:cs="Segoe UI"/>
          <w:lang w:val="pl-PL"/>
        </w:rPr>
        <w:t>tokenizacji</w:t>
      </w:r>
      <w:proofErr w:type="spellEnd"/>
      <w:r w:rsidRPr="00E8497B">
        <w:rPr>
          <w:rFonts w:ascii="Segoe UI" w:hAnsi="Segoe UI" w:cs="Segoe UI"/>
          <w:lang w:val="pl-PL"/>
        </w:rPr>
        <w:t xml:space="preserve"> na kolejnych rynkach oraz wykorzystania jej przy płatnościach </w:t>
      </w:r>
      <w:r w:rsidR="004633D6">
        <w:rPr>
          <w:rFonts w:ascii="Segoe UI" w:hAnsi="Segoe UI" w:cs="Segoe UI"/>
          <w:lang w:val="pl-PL"/>
        </w:rPr>
        <w:t>internetowych</w:t>
      </w:r>
      <w:r w:rsidR="00A43476">
        <w:rPr>
          <w:rFonts w:ascii="Segoe UI" w:hAnsi="Segoe UI" w:cs="Segoe UI"/>
          <w:lang w:val="pl-PL"/>
        </w:rPr>
        <w:t>.</w:t>
      </w:r>
    </w:p>
    <w:p w:rsidR="00E8497B" w:rsidRPr="00E8497B" w:rsidRDefault="00E8497B" w:rsidP="00E8497B">
      <w:pPr>
        <w:pStyle w:val="Tekstkomentarza"/>
        <w:rPr>
          <w:rFonts w:ascii="Segoe UI" w:hAnsi="Segoe UI" w:cs="Segoe UI"/>
          <w:lang w:val="pl-PL"/>
        </w:rPr>
      </w:pPr>
      <w:r w:rsidRPr="00E8497B">
        <w:rPr>
          <w:rFonts w:ascii="Segoe UI" w:hAnsi="Segoe UI" w:cs="Segoe UI"/>
          <w:lang w:val="pl-PL"/>
        </w:rPr>
        <w:t xml:space="preserve">Usługa </w:t>
      </w:r>
      <w:proofErr w:type="spellStart"/>
      <w:r w:rsidRPr="00E8497B">
        <w:rPr>
          <w:rFonts w:ascii="Segoe UI" w:hAnsi="Segoe UI" w:cs="Segoe UI"/>
          <w:lang w:val="pl-PL"/>
        </w:rPr>
        <w:t>tokenizacyjna</w:t>
      </w:r>
      <w:proofErr w:type="spellEnd"/>
      <w:r w:rsidRPr="00E8497B">
        <w:rPr>
          <w:rFonts w:ascii="Segoe UI" w:hAnsi="Segoe UI" w:cs="Segoe UI"/>
          <w:lang w:val="pl-PL"/>
        </w:rPr>
        <w:t xml:space="preserve"> Visa, udostępniona w 2014 r., jest wykorzystywana przez popularne systemy płatności jak Apple </w:t>
      </w:r>
      <w:proofErr w:type="spellStart"/>
      <w:r w:rsidRPr="00E8497B">
        <w:rPr>
          <w:rFonts w:ascii="Segoe UI" w:hAnsi="Segoe UI" w:cs="Segoe UI"/>
          <w:lang w:val="pl-PL"/>
        </w:rPr>
        <w:t>Pay</w:t>
      </w:r>
      <w:proofErr w:type="spellEnd"/>
      <w:r w:rsidRPr="00E8497B">
        <w:rPr>
          <w:rFonts w:ascii="Segoe UI" w:hAnsi="Segoe UI" w:cs="Segoe UI"/>
          <w:lang w:val="pl-PL"/>
        </w:rPr>
        <w:t xml:space="preserve"> czy Android </w:t>
      </w:r>
      <w:proofErr w:type="spellStart"/>
      <w:r w:rsidRPr="00E8497B">
        <w:rPr>
          <w:rFonts w:ascii="Segoe UI" w:hAnsi="Segoe UI" w:cs="Segoe UI"/>
          <w:lang w:val="pl-PL"/>
        </w:rPr>
        <w:t>Pay</w:t>
      </w:r>
      <w:proofErr w:type="spellEnd"/>
      <w:r w:rsidRPr="00E8497B">
        <w:rPr>
          <w:rFonts w:ascii="Segoe UI" w:hAnsi="Segoe UI" w:cs="Segoe UI"/>
          <w:lang w:val="pl-PL"/>
        </w:rPr>
        <w:t xml:space="preserve">, pozwalając konsumentom na bezpieczne korzystanie ze swojego rachunku płatniczego za pośrednictwem urządzenia mobilnego. </w:t>
      </w:r>
      <w:proofErr w:type="spellStart"/>
      <w:r w:rsidRPr="00E8497B">
        <w:rPr>
          <w:rFonts w:ascii="Segoe UI" w:hAnsi="Segoe UI" w:cs="Segoe UI"/>
          <w:lang w:val="pl-PL"/>
        </w:rPr>
        <w:t>Tokenizacja</w:t>
      </w:r>
      <w:proofErr w:type="spellEnd"/>
      <w:r w:rsidRPr="00E8497B">
        <w:rPr>
          <w:rFonts w:ascii="Segoe UI" w:hAnsi="Segoe UI" w:cs="Segoe UI"/>
          <w:lang w:val="pl-PL"/>
        </w:rPr>
        <w:t xml:space="preserve"> zajmuje centralne miejsce w wizji </w:t>
      </w:r>
      <w:proofErr w:type="spellStart"/>
      <w:r w:rsidRPr="00E8497B">
        <w:rPr>
          <w:rFonts w:ascii="Segoe UI" w:hAnsi="Segoe UI" w:cs="Segoe UI"/>
          <w:lang w:val="pl-PL"/>
        </w:rPr>
        <w:t>internetu</w:t>
      </w:r>
      <w:proofErr w:type="spellEnd"/>
      <w:r w:rsidRPr="00E8497B">
        <w:rPr>
          <w:rFonts w:ascii="Segoe UI" w:hAnsi="Segoe UI" w:cs="Segoe UI"/>
          <w:lang w:val="pl-PL"/>
        </w:rPr>
        <w:t xml:space="preserve"> rzeczy wg organizacji Visa, umożliwiając bezpieczne i wygodne zakupy z użyciem dowolnego urządzenia połączonego z </w:t>
      </w:r>
      <w:proofErr w:type="spellStart"/>
      <w:r w:rsidRPr="00E8497B">
        <w:rPr>
          <w:rFonts w:ascii="Segoe UI" w:hAnsi="Segoe UI" w:cs="Segoe UI"/>
          <w:lang w:val="pl-PL"/>
        </w:rPr>
        <w:t>internetem</w:t>
      </w:r>
      <w:proofErr w:type="spellEnd"/>
      <w:r w:rsidRPr="00E8497B">
        <w:rPr>
          <w:rFonts w:ascii="Segoe UI" w:hAnsi="Segoe UI" w:cs="Segoe UI"/>
          <w:lang w:val="pl-PL"/>
        </w:rPr>
        <w:t xml:space="preserve"> – telefonu, tabletu, urządzenia ubieralnego, a nawet </w:t>
      </w:r>
      <w:r w:rsidR="00A43476">
        <w:rPr>
          <w:rFonts w:ascii="Segoe UI" w:hAnsi="Segoe UI" w:cs="Segoe UI"/>
          <w:lang w:val="pl-PL"/>
        </w:rPr>
        <w:t>samochodu czy sprzętu domowego.</w:t>
      </w:r>
      <w:r w:rsidRPr="00E8497B">
        <w:rPr>
          <w:rFonts w:ascii="Segoe UI" w:hAnsi="Segoe UI" w:cs="Segoe UI"/>
          <w:lang w:val="pl-PL"/>
        </w:rPr>
        <w:t xml:space="preserve"> </w:t>
      </w:r>
    </w:p>
    <w:p w:rsidR="00E8497B" w:rsidRPr="00E8497B" w:rsidRDefault="00E8497B" w:rsidP="00E8497B">
      <w:pPr>
        <w:pStyle w:val="Tekstkomentarza"/>
        <w:rPr>
          <w:rFonts w:ascii="Segoe UI" w:hAnsi="Segoe UI" w:cs="Segoe UI"/>
          <w:b/>
          <w:lang w:val="pl-PL"/>
        </w:rPr>
      </w:pPr>
      <w:r w:rsidRPr="00E8497B">
        <w:rPr>
          <w:rFonts w:ascii="Segoe UI" w:hAnsi="Segoe UI" w:cs="Segoe UI"/>
          <w:b/>
          <w:lang w:val="pl-PL"/>
        </w:rPr>
        <w:t xml:space="preserve">Sandra </w:t>
      </w:r>
      <w:proofErr w:type="spellStart"/>
      <w:r w:rsidRPr="00E8497B">
        <w:rPr>
          <w:rFonts w:ascii="Segoe UI" w:hAnsi="Segoe UI" w:cs="Segoe UI"/>
          <w:b/>
          <w:lang w:val="pl-PL"/>
        </w:rPr>
        <w:t>Alzetta</w:t>
      </w:r>
      <w:proofErr w:type="spellEnd"/>
      <w:r w:rsidRPr="00E8497B">
        <w:rPr>
          <w:rFonts w:ascii="Segoe UI" w:hAnsi="Segoe UI" w:cs="Segoe UI"/>
          <w:b/>
          <w:lang w:val="pl-PL"/>
        </w:rPr>
        <w:t xml:space="preserve">, dyrektor ds. produktów cyfrowych w Visa, powiedziała: </w:t>
      </w:r>
    </w:p>
    <w:p w:rsidR="00E8497B" w:rsidRPr="00E8497B" w:rsidRDefault="00E8497B" w:rsidP="00E8497B">
      <w:pPr>
        <w:pStyle w:val="Tekstkomentarza"/>
        <w:rPr>
          <w:rFonts w:ascii="Segoe UI" w:hAnsi="Segoe UI" w:cs="Segoe UI"/>
          <w:lang w:val="pl-PL"/>
        </w:rPr>
      </w:pPr>
      <w:r w:rsidRPr="00E8497B">
        <w:rPr>
          <w:rFonts w:ascii="Segoe UI" w:hAnsi="Segoe UI" w:cs="Segoe UI"/>
          <w:lang w:val="pl-PL"/>
        </w:rPr>
        <w:t xml:space="preserve">„Od 2015 r. jesteśmy świadkami dynamicznego rozwoju płatności mobilnych w całej Europie. Kolejny cel Visa to upowszechnienie naszej usługi </w:t>
      </w:r>
      <w:proofErr w:type="spellStart"/>
      <w:r w:rsidRPr="00E8497B">
        <w:rPr>
          <w:rFonts w:ascii="Segoe UI" w:hAnsi="Segoe UI" w:cs="Segoe UI"/>
          <w:lang w:val="pl-PL"/>
        </w:rPr>
        <w:t>tokenizacyjnej</w:t>
      </w:r>
      <w:proofErr w:type="spellEnd"/>
      <w:r w:rsidRPr="00E8497B">
        <w:rPr>
          <w:rFonts w:ascii="Segoe UI" w:hAnsi="Segoe UI" w:cs="Segoe UI"/>
          <w:lang w:val="pl-PL"/>
        </w:rPr>
        <w:t xml:space="preserve"> – dzięki której detaliści mogą łatwo i w bezpiecznej formie przechowywać dane kart klientów – oraz umożliwienie bezpiecznego handlu za pośrednictwem całej gamy urządzeń połączonych z </w:t>
      </w:r>
      <w:proofErr w:type="spellStart"/>
      <w:r w:rsidRPr="00E8497B">
        <w:rPr>
          <w:rFonts w:ascii="Segoe UI" w:hAnsi="Segoe UI" w:cs="Segoe UI"/>
          <w:lang w:val="pl-PL"/>
        </w:rPr>
        <w:t>internetem</w:t>
      </w:r>
      <w:proofErr w:type="spellEnd"/>
      <w:r w:rsidRPr="00E8497B">
        <w:rPr>
          <w:rFonts w:ascii="Segoe UI" w:hAnsi="Segoe UI" w:cs="Segoe UI"/>
          <w:lang w:val="pl-PL"/>
        </w:rPr>
        <w:t>”.</w:t>
      </w:r>
    </w:p>
    <w:p w:rsidR="00E8497B" w:rsidRPr="00E8497B" w:rsidRDefault="00E8497B" w:rsidP="00E8497B">
      <w:pPr>
        <w:pStyle w:val="Tekstkomentarza"/>
        <w:rPr>
          <w:rFonts w:ascii="Segoe UI" w:hAnsi="Segoe UI" w:cs="Segoe UI"/>
          <w:lang w:val="pl-PL"/>
        </w:rPr>
      </w:pPr>
      <w:r w:rsidRPr="00E8497B">
        <w:rPr>
          <w:rFonts w:ascii="Segoe UI" w:hAnsi="Segoe UI" w:cs="Segoe UI"/>
          <w:lang w:val="pl-PL"/>
        </w:rPr>
        <w:t xml:space="preserve">Co wpływa na upowszechnianie płatności mobilnych w Europie? </w:t>
      </w:r>
    </w:p>
    <w:p w:rsidR="00E8497B" w:rsidRPr="00E8497B" w:rsidRDefault="00E8497B" w:rsidP="00E8497B">
      <w:pPr>
        <w:pStyle w:val="Tekstkomentarza"/>
        <w:numPr>
          <w:ilvl w:val="0"/>
          <w:numId w:val="7"/>
        </w:numPr>
        <w:rPr>
          <w:rFonts w:ascii="Segoe UI" w:hAnsi="Segoe UI" w:cs="Segoe UI"/>
          <w:lang w:val="pl-PL"/>
        </w:rPr>
      </w:pPr>
      <w:r w:rsidRPr="00E8497B">
        <w:rPr>
          <w:rFonts w:ascii="Segoe UI" w:hAnsi="Segoe UI" w:cs="Segoe UI"/>
          <w:lang w:val="pl-PL"/>
        </w:rPr>
        <w:t xml:space="preserve">Bezpieczeństwo, wygoda oraz rosnąca sieć placówek handlowo-usługowych wyposażonych w terminale zbliżeniowe to główne czynniki sprzyjające popularyzacji płatności mobilnych w całej Europie. Technologia </w:t>
      </w:r>
      <w:proofErr w:type="spellStart"/>
      <w:r w:rsidRPr="00E8497B">
        <w:rPr>
          <w:rFonts w:ascii="Segoe UI" w:hAnsi="Segoe UI" w:cs="Segoe UI"/>
          <w:lang w:val="pl-PL"/>
        </w:rPr>
        <w:t>tokenizacji</w:t>
      </w:r>
      <w:proofErr w:type="spellEnd"/>
      <w:r w:rsidRPr="00E8497B">
        <w:rPr>
          <w:rFonts w:ascii="Segoe UI" w:hAnsi="Segoe UI" w:cs="Segoe UI"/>
          <w:lang w:val="pl-PL"/>
        </w:rPr>
        <w:t xml:space="preserve"> Visa pozwala konsumentom bez obaw korzystać z urządzeń mobilnych w celu łatwego i wygodnego dokonywania codziennych płatności – wydatków na transport, kawę czy rozrywkę. Równolegle coraz więcej detalistów w Europie instaluje nowe terminale pozwalające na płatności zarówno z użyciem kart, jak i urządzeń mobilnych (zbliżeniowo, w standardzie NFC).</w:t>
      </w:r>
    </w:p>
    <w:p w:rsidR="00E8497B" w:rsidRPr="00E8497B" w:rsidRDefault="00E8497B" w:rsidP="00E8497B">
      <w:pPr>
        <w:pStyle w:val="Tekstkomentarza"/>
        <w:numPr>
          <w:ilvl w:val="0"/>
          <w:numId w:val="7"/>
        </w:numPr>
        <w:rPr>
          <w:rFonts w:ascii="Segoe UI" w:hAnsi="Segoe UI" w:cs="Segoe UI"/>
          <w:lang w:val="pl-PL"/>
        </w:rPr>
      </w:pPr>
      <w:r w:rsidRPr="00E8497B">
        <w:rPr>
          <w:rFonts w:ascii="Segoe UI" w:hAnsi="Segoe UI" w:cs="Segoe UI"/>
          <w:lang w:val="pl-PL"/>
        </w:rPr>
        <w:t>Pięć najważniejszych segmentów płatności mobilnych w Europie to: bary i restauracje, supermarkety, transport publiczny, jedzenie typu fast-fo</w:t>
      </w:r>
      <w:r w:rsidR="00A43476">
        <w:rPr>
          <w:rFonts w:ascii="Segoe UI" w:hAnsi="Segoe UI" w:cs="Segoe UI"/>
          <w:lang w:val="pl-PL"/>
        </w:rPr>
        <w:t>od oraz rozrywka i wypoczynek.</w:t>
      </w:r>
    </w:p>
    <w:p w:rsidR="00E8497B" w:rsidRPr="00E8497B" w:rsidRDefault="00E8497B" w:rsidP="00E8497B">
      <w:pPr>
        <w:pStyle w:val="Tekstkomentarza"/>
        <w:numPr>
          <w:ilvl w:val="0"/>
          <w:numId w:val="7"/>
        </w:numPr>
        <w:rPr>
          <w:rFonts w:ascii="Segoe UI" w:hAnsi="Segoe UI" w:cs="Segoe UI"/>
          <w:lang w:val="pl-PL"/>
        </w:rPr>
      </w:pPr>
      <w:r w:rsidRPr="00E8497B">
        <w:rPr>
          <w:rFonts w:ascii="Segoe UI" w:hAnsi="Segoe UI" w:cs="Segoe UI"/>
          <w:lang w:val="pl-PL"/>
        </w:rPr>
        <w:t>Płacąc za pomocą urządzenia mobilnego, Europejczycy wydają średnio 9 euro przy zakupach w sklepie fizycznym i 41 euro przy zakupach online</w:t>
      </w:r>
      <w:r w:rsidR="004633D6">
        <w:rPr>
          <w:rFonts w:ascii="Segoe UI" w:hAnsi="Segoe UI" w:cs="Segoe UI"/>
          <w:lang w:val="pl-PL"/>
        </w:rPr>
        <w:t>.</w:t>
      </w:r>
    </w:p>
    <w:p w:rsidR="00E8497B" w:rsidRPr="00E8497B" w:rsidRDefault="00E8497B" w:rsidP="00E8497B">
      <w:pPr>
        <w:pStyle w:val="Tekstkomentarza"/>
        <w:numPr>
          <w:ilvl w:val="0"/>
          <w:numId w:val="7"/>
        </w:numPr>
        <w:rPr>
          <w:rFonts w:ascii="Segoe UI" w:hAnsi="Segoe UI" w:cs="Segoe UI"/>
          <w:lang w:val="pl-PL"/>
        </w:rPr>
      </w:pPr>
      <w:r w:rsidRPr="00E8497B">
        <w:rPr>
          <w:rFonts w:ascii="Segoe UI" w:hAnsi="Segoe UI" w:cs="Segoe UI"/>
          <w:lang w:val="pl-PL"/>
        </w:rPr>
        <w:lastRenderedPageBreak/>
        <w:t>Podczas podróży, Europejczycy robili zakupy z wykorzystaniem urządzeń mobilnych w 91 krajach świata, co wskazuje na ich poczucie bezpieczeństwa przy tego rodzaju transakcjach – również za granicą.</w:t>
      </w:r>
    </w:p>
    <w:p w:rsidR="00E8497B" w:rsidRPr="00E8497B" w:rsidRDefault="00E8497B" w:rsidP="00E8497B">
      <w:pPr>
        <w:pStyle w:val="Tekstkomentarza"/>
        <w:numPr>
          <w:ilvl w:val="0"/>
          <w:numId w:val="7"/>
        </w:numPr>
        <w:rPr>
          <w:rFonts w:ascii="Segoe UI" w:hAnsi="Segoe UI" w:cs="Segoe UI"/>
          <w:lang w:val="pl-PL"/>
        </w:rPr>
      </w:pPr>
      <w:r w:rsidRPr="00E8497B">
        <w:rPr>
          <w:rFonts w:ascii="Segoe UI" w:hAnsi="Segoe UI" w:cs="Segoe UI"/>
          <w:lang w:val="pl-PL"/>
        </w:rPr>
        <w:t xml:space="preserve">W Europie jest obecnie ponad 1,2 mln </w:t>
      </w:r>
      <w:r w:rsidR="003A5CE5">
        <w:rPr>
          <w:rFonts w:ascii="Segoe UI" w:hAnsi="Segoe UI" w:cs="Segoe UI"/>
          <w:lang w:val="pl-PL"/>
        </w:rPr>
        <w:t>detalistów</w:t>
      </w:r>
      <w:r w:rsidRPr="00E8497B">
        <w:rPr>
          <w:rFonts w:ascii="Segoe UI" w:hAnsi="Segoe UI" w:cs="Segoe UI"/>
          <w:lang w:val="pl-PL"/>
        </w:rPr>
        <w:t xml:space="preserve"> akceptujących płatności zbliżeniowe z wykorzyst</w:t>
      </w:r>
      <w:r>
        <w:rPr>
          <w:rFonts w:ascii="Segoe UI" w:hAnsi="Segoe UI" w:cs="Segoe UI"/>
          <w:lang w:val="pl-PL"/>
        </w:rPr>
        <w:t>aniem kart i urządzeń mobilnych</w:t>
      </w:r>
      <w:r>
        <w:rPr>
          <w:rStyle w:val="Odwoanieprzypisukocowego"/>
          <w:rFonts w:ascii="Segoe UI" w:hAnsi="Segoe UI" w:cs="Segoe UI"/>
          <w:lang w:val="pl-PL"/>
        </w:rPr>
        <w:endnoteReference w:id="1"/>
      </w:r>
      <w:r w:rsidRPr="00E8497B">
        <w:rPr>
          <w:rFonts w:ascii="Segoe UI" w:hAnsi="Segoe UI" w:cs="Segoe UI"/>
          <w:lang w:val="pl-PL"/>
        </w:rPr>
        <w:t xml:space="preserve">, </w:t>
      </w:r>
      <w:r w:rsidR="003A5CE5">
        <w:rPr>
          <w:rFonts w:ascii="Segoe UI" w:hAnsi="Segoe UI" w:cs="Segoe UI"/>
          <w:lang w:val="pl-PL"/>
        </w:rPr>
        <w:t>u</w:t>
      </w:r>
      <w:r w:rsidRPr="00E8497B">
        <w:rPr>
          <w:rFonts w:ascii="Segoe UI" w:hAnsi="Segoe UI" w:cs="Segoe UI"/>
          <w:lang w:val="pl-PL"/>
        </w:rPr>
        <w:t xml:space="preserve"> których europejscy użytkownicy kart Visa dokonali w zeszłym rok</w:t>
      </w:r>
      <w:r>
        <w:rPr>
          <w:rFonts w:ascii="Segoe UI" w:hAnsi="Segoe UI" w:cs="Segoe UI"/>
          <w:lang w:val="pl-PL"/>
        </w:rPr>
        <w:t>u 5 mld płatności zbliżeniowych</w:t>
      </w:r>
      <w:r>
        <w:rPr>
          <w:rStyle w:val="Odwoanieprzypisukocowego"/>
          <w:rFonts w:ascii="Segoe UI" w:hAnsi="Segoe UI" w:cs="Segoe UI"/>
          <w:lang w:val="pl-PL"/>
        </w:rPr>
        <w:endnoteReference w:id="2"/>
      </w:r>
      <w:r w:rsidRPr="00E8497B">
        <w:rPr>
          <w:rFonts w:ascii="Segoe UI" w:hAnsi="Segoe UI" w:cs="Segoe UI"/>
          <w:lang w:val="pl-PL"/>
        </w:rPr>
        <w:t>. To 32% wszystkich transakcji w tradycyjnych punktach handlowo-usług</w:t>
      </w:r>
      <w:r>
        <w:rPr>
          <w:rFonts w:ascii="Segoe UI" w:hAnsi="Segoe UI" w:cs="Segoe UI"/>
          <w:lang w:val="pl-PL"/>
        </w:rPr>
        <w:t>owych</w:t>
      </w:r>
      <w:r w:rsidR="002258FE">
        <w:rPr>
          <w:rFonts w:ascii="Segoe UI" w:hAnsi="Segoe UI" w:cs="Segoe UI"/>
          <w:lang w:val="pl-PL"/>
        </w:rPr>
        <w:t>, które zostały przetworzone</w:t>
      </w:r>
      <w:r>
        <w:rPr>
          <w:rFonts w:ascii="Segoe UI" w:hAnsi="Segoe UI" w:cs="Segoe UI"/>
          <w:lang w:val="pl-PL"/>
        </w:rPr>
        <w:t xml:space="preserve"> przez Visa</w:t>
      </w:r>
      <w:r>
        <w:rPr>
          <w:rStyle w:val="Odwoanieprzypisukocowego"/>
          <w:rFonts w:ascii="Segoe UI" w:hAnsi="Segoe UI" w:cs="Segoe UI"/>
          <w:lang w:val="pl-PL"/>
        </w:rPr>
        <w:endnoteReference w:id="3"/>
      </w:r>
      <w:r w:rsidR="002258FE">
        <w:rPr>
          <w:rFonts w:ascii="Segoe UI" w:hAnsi="Segoe UI" w:cs="Segoe UI"/>
          <w:lang w:val="pl-PL"/>
        </w:rPr>
        <w:t>.</w:t>
      </w:r>
    </w:p>
    <w:p w:rsidR="00E8497B" w:rsidRPr="00E8497B" w:rsidRDefault="00E8497B" w:rsidP="00E8497B">
      <w:pPr>
        <w:pStyle w:val="Tekstkomentarza"/>
        <w:rPr>
          <w:rFonts w:ascii="Segoe UI" w:hAnsi="Segoe UI" w:cs="Segoe UI"/>
          <w:b/>
          <w:lang w:val="pl-PL"/>
        </w:rPr>
      </w:pPr>
      <w:r w:rsidRPr="00E8497B">
        <w:rPr>
          <w:rFonts w:ascii="Segoe UI" w:hAnsi="Segoe UI" w:cs="Segoe UI"/>
          <w:b/>
          <w:lang w:val="pl-PL"/>
        </w:rPr>
        <w:t>Internet rzeczy</w:t>
      </w:r>
    </w:p>
    <w:p w:rsidR="00E8497B" w:rsidRPr="00E8497B" w:rsidRDefault="00E8497B" w:rsidP="00E8497B">
      <w:pPr>
        <w:pStyle w:val="Tekstkomentarza"/>
        <w:rPr>
          <w:rFonts w:ascii="Segoe UI" w:hAnsi="Segoe UI" w:cs="Segoe UI"/>
          <w:lang w:val="pl-PL"/>
        </w:rPr>
      </w:pPr>
      <w:r w:rsidRPr="00E8497B">
        <w:rPr>
          <w:rFonts w:ascii="Segoe UI" w:hAnsi="Segoe UI" w:cs="Segoe UI"/>
          <w:lang w:val="pl-PL"/>
        </w:rPr>
        <w:t xml:space="preserve">Wyeliminowanie wrażliwych danych karty konsumenta z transakcji zakupu w kanale cyfrowym – możliwe dzięki usłudze </w:t>
      </w:r>
      <w:proofErr w:type="spellStart"/>
      <w:r w:rsidRPr="00E8497B">
        <w:rPr>
          <w:rFonts w:ascii="Segoe UI" w:hAnsi="Segoe UI" w:cs="Segoe UI"/>
          <w:lang w:val="pl-PL"/>
        </w:rPr>
        <w:t>tokenizacyjnej</w:t>
      </w:r>
      <w:proofErr w:type="spellEnd"/>
      <w:r w:rsidRPr="00E8497B">
        <w:rPr>
          <w:rFonts w:ascii="Segoe UI" w:hAnsi="Segoe UI" w:cs="Segoe UI"/>
          <w:lang w:val="pl-PL"/>
        </w:rPr>
        <w:t xml:space="preserve"> Visa – to kwestia o fundamentalnym znaczeniu dla bezpieczeństwa handlu wykorzystującego różne urządzenia połączone z </w:t>
      </w:r>
      <w:proofErr w:type="spellStart"/>
      <w:r w:rsidRPr="00E8497B">
        <w:rPr>
          <w:rFonts w:ascii="Segoe UI" w:hAnsi="Segoe UI" w:cs="Segoe UI"/>
          <w:lang w:val="pl-PL"/>
        </w:rPr>
        <w:t>internetem</w:t>
      </w:r>
      <w:proofErr w:type="spellEnd"/>
      <w:r w:rsidRPr="00E8497B">
        <w:rPr>
          <w:rFonts w:ascii="Segoe UI" w:hAnsi="Segoe UI" w:cs="Segoe UI"/>
          <w:lang w:val="pl-PL"/>
        </w:rPr>
        <w:t xml:space="preserve"> rzeczy, od zegarków czy pierścieni</w:t>
      </w:r>
      <w:r w:rsidR="006D7B4F">
        <w:rPr>
          <w:rFonts w:ascii="Segoe UI" w:hAnsi="Segoe UI" w:cs="Segoe UI"/>
          <w:lang w:val="pl-PL"/>
        </w:rPr>
        <w:t xml:space="preserve"> </w:t>
      </w:r>
      <w:r w:rsidR="006D7B4F" w:rsidRPr="006D7B4F">
        <w:rPr>
          <w:rFonts w:ascii="Segoe UI" w:hAnsi="Segoe UI" w:cs="Segoe UI"/>
          <w:lang w:val="pl-PL"/>
        </w:rPr>
        <w:t xml:space="preserve"> wyposażon</w:t>
      </w:r>
      <w:r w:rsidR="006D7B4F">
        <w:rPr>
          <w:rFonts w:ascii="Segoe UI" w:hAnsi="Segoe UI" w:cs="Segoe UI"/>
          <w:lang w:val="pl-PL"/>
        </w:rPr>
        <w:t>ych</w:t>
      </w:r>
      <w:r w:rsidR="006D7B4F" w:rsidRPr="006D7B4F">
        <w:rPr>
          <w:rFonts w:ascii="Segoe UI" w:hAnsi="Segoe UI" w:cs="Segoe UI"/>
          <w:lang w:val="pl-PL"/>
        </w:rPr>
        <w:t xml:space="preserve"> w funkcj</w:t>
      </w:r>
      <w:r w:rsidR="006D7B4F">
        <w:rPr>
          <w:rFonts w:ascii="Segoe UI" w:hAnsi="Segoe UI" w:cs="Segoe UI"/>
          <w:lang w:val="pl-PL"/>
        </w:rPr>
        <w:t>ę</w:t>
      </w:r>
      <w:r w:rsidR="006D7B4F" w:rsidRPr="006D7B4F">
        <w:rPr>
          <w:rFonts w:ascii="Segoe UI" w:hAnsi="Segoe UI" w:cs="Segoe UI"/>
          <w:lang w:val="pl-PL"/>
        </w:rPr>
        <w:t xml:space="preserve"> płatnicz</w:t>
      </w:r>
      <w:r w:rsidR="006D7B4F">
        <w:rPr>
          <w:rFonts w:ascii="Segoe UI" w:hAnsi="Segoe UI" w:cs="Segoe UI"/>
          <w:lang w:val="pl-PL"/>
        </w:rPr>
        <w:t>ą</w:t>
      </w:r>
      <w:r w:rsidRPr="00E8497B">
        <w:rPr>
          <w:rFonts w:ascii="Segoe UI" w:hAnsi="Segoe UI" w:cs="Segoe UI"/>
          <w:lang w:val="pl-PL"/>
        </w:rPr>
        <w:t xml:space="preserve">, po samochody </w:t>
      </w:r>
      <w:r w:rsidR="00F7158B">
        <w:rPr>
          <w:rFonts w:ascii="Segoe UI" w:hAnsi="Segoe UI" w:cs="Segoe UI"/>
          <w:lang w:val="pl-PL"/>
        </w:rPr>
        <w:t>i</w:t>
      </w:r>
      <w:r w:rsidRPr="00E8497B">
        <w:rPr>
          <w:rFonts w:ascii="Segoe UI" w:hAnsi="Segoe UI" w:cs="Segoe UI"/>
          <w:lang w:val="pl-PL"/>
        </w:rPr>
        <w:t xml:space="preserve"> urz</w:t>
      </w:r>
      <w:r w:rsidR="00A43476">
        <w:rPr>
          <w:rFonts w:ascii="Segoe UI" w:hAnsi="Segoe UI" w:cs="Segoe UI"/>
          <w:lang w:val="pl-PL"/>
        </w:rPr>
        <w:t>ądzenia gospodarstwa domowego.</w:t>
      </w:r>
    </w:p>
    <w:p w:rsidR="00E8497B" w:rsidRPr="00E8497B" w:rsidRDefault="00E8497B" w:rsidP="00E8497B">
      <w:pPr>
        <w:pStyle w:val="Tekstkomentarza"/>
        <w:rPr>
          <w:rFonts w:ascii="Segoe UI" w:hAnsi="Segoe UI" w:cs="Segoe UI"/>
          <w:lang w:val="pl-PL"/>
        </w:rPr>
      </w:pPr>
      <w:r w:rsidRPr="00E8497B">
        <w:rPr>
          <w:rFonts w:ascii="Segoe UI" w:hAnsi="Segoe UI" w:cs="Segoe UI"/>
          <w:lang w:val="pl-PL"/>
        </w:rPr>
        <w:t>W tym celu, podczas zeszłotygodniowego otwarcia nowego centrum IBM w Monachium (</w:t>
      </w:r>
      <w:proofErr w:type="spellStart"/>
      <w:r w:rsidRPr="00E8497B">
        <w:rPr>
          <w:rFonts w:ascii="Segoe UI" w:hAnsi="Segoe UI" w:cs="Segoe UI"/>
          <w:lang w:val="pl-PL"/>
        </w:rPr>
        <w:t>IoT</w:t>
      </w:r>
      <w:proofErr w:type="spellEnd"/>
      <w:r w:rsidRPr="00E8497B">
        <w:rPr>
          <w:rFonts w:ascii="Segoe UI" w:hAnsi="Segoe UI" w:cs="Segoe UI"/>
          <w:lang w:val="pl-PL"/>
        </w:rPr>
        <w:t xml:space="preserve"> Watson </w:t>
      </w:r>
      <w:proofErr w:type="spellStart"/>
      <w:r w:rsidRPr="00E8497B">
        <w:rPr>
          <w:rFonts w:ascii="Segoe UI" w:hAnsi="Segoe UI" w:cs="Segoe UI"/>
          <w:lang w:val="pl-PL"/>
        </w:rPr>
        <w:t>Research</w:t>
      </w:r>
      <w:proofErr w:type="spellEnd"/>
      <w:r w:rsidRPr="00E8497B">
        <w:rPr>
          <w:rFonts w:ascii="Segoe UI" w:hAnsi="Segoe UI" w:cs="Segoe UI"/>
          <w:lang w:val="pl-PL"/>
        </w:rPr>
        <w:t xml:space="preserve"> Center), </w:t>
      </w:r>
      <w:hyperlink r:id="rId10" w:history="1">
        <w:r w:rsidRPr="004633D6">
          <w:rPr>
            <w:rStyle w:val="Hipercze"/>
            <w:rFonts w:ascii="Segoe UI" w:hAnsi="Segoe UI" w:cs="Segoe UI"/>
            <w:lang w:val="pl-PL"/>
          </w:rPr>
          <w:t>Visa i IBM ogłosiły porozumienie o globalnej współpracy</w:t>
        </w:r>
      </w:hyperlink>
      <w:r w:rsidRPr="00E8497B">
        <w:rPr>
          <w:rFonts w:ascii="Segoe UI" w:hAnsi="Segoe UI" w:cs="Segoe UI"/>
          <w:lang w:val="pl-PL"/>
        </w:rPr>
        <w:t xml:space="preserve">. Jest ona oparta na wspólnej wizji i wspólnym przekonaniu, że jesteśmy w stanie umożliwić bezpieczne płatności i handel za pośrednictwem wielu urządzeń połączonych z </w:t>
      </w:r>
      <w:proofErr w:type="spellStart"/>
      <w:r w:rsidRPr="00E8497B">
        <w:rPr>
          <w:rFonts w:ascii="Segoe UI" w:hAnsi="Segoe UI" w:cs="Segoe UI"/>
          <w:lang w:val="pl-PL"/>
        </w:rPr>
        <w:t>internetem</w:t>
      </w:r>
      <w:proofErr w:type="spellEnd"/>
      <w:r w:rsidRPr="00E8497B">
        <w:rPr>
          <w:rFonts w:ascii="Segoe UI" w:hAnsi="Segoe UI" w:cs="Segoe UI"/>
          <w:lang w:val="pl-PL"/>
        </w:rPr>
        <w:t>, których liczba na całym świec</w:t>
      </w:r>
      <w:r>
        <w:rPr>
          <w:rFonts w:ascii="Segoe UI" w:hAnsi="Segoe UI" w:cs="Segoe UI"/>
          <w:lang w:val="pl-PL"/>
        </w:rPr>
        <w:t>ie ma do 2020 r. osiągnąć 5 mld</w:t>
      </w:r>
      <w:r>
        <w:rPr>
          <w:rStyle w:val="Odwoanieprzypisukocowego"/>
          <w:rFonts w:ascii="Segoe UI" w:hAnsi="Segoe UI" w:cs="Segoe UI"/>
          <w:lang w:val="pl-PL"/>
        </w:rPr>
        <w:endnoteReference w:id="4"/>
      </w:r>
      <w:r w:rsidRPr="00E8497B">
        <w:rPr>
          <w:rFonts w:ascii="Segoe UI" w:hAnsi="Segoe UI" w:cs="Segoe UI"/>
          <w:lang w:val="pl-PL"/>
        </w:rPr>
        <w:t>.</w:t>
      </w:r>
    </w:p>
    <w:p w:rsidR="00E8497B" w:rsidRDefault="00E8497B" w:rsidP="00E8497B">
      <w:pPr>
        <w:pStyle w:val="Tekstkomentarza"/>
        <w:rPr>
          <w:rFonts w:ascii="Segoe UI" w:hAnsi="Segoe UI" w:cs="Segoe UI"/>
          <w:lang w:val="pl-PL"/>
        </w:rPr>
      </w:pPr>
      <w:r w:rsidRPr="00E8497B">
        <w:rPr>
          <w:rFonts w:ascii="Segoe UI" w:hAnsi="Segoe UI" w:cs="Segoe UI"/>
          <w:lang w:val="pl-PL"/>
        </w:rPr>
        <w:t xml:space="preserve">W ramach tej współpracy usługa </w:t>
      </w:r>
      <w:proofErr w:type="spellStart"/>
      <w:r w:rsidRPr="00E8497B">
        <w:rPr>
          <w:rFonts w:ascii="Segoe UI" w:hAnsi="Segoe UI" w:cs="Segoe UI"/>
          <w:lang w:val="pl-PL"/>
        </w:rPr>
        <w:t>tokenizacyjna</w:t>
      </w:r>
      <w:proofErr w:type="spellEnd"/>
      <w:r w:rsidRPr="00E8497B">
        <w:rPr>
          <w:rFonts w:ascii="Segoe UI" w:hAnsi="Segoe UI" w:cs="Segoe UI"/>
          <w:lang w:val="pl-PL"/>
        </w:rPr>
        <w:t xml:space="preserve"> Visa zostanie udostępniona klientom </w:t>
      </w:r>
      <w:r w:rsidR="00A43476">
        <w:rPr>
          <w:rFonts w:ascii="Segoe UI" w:hAnsi="Segoe UI" w:cs="Segoe UI"/>
          <w:lang w:val="pl-PL"/>
        </w:rPr>
        <w:t xml:space="preserve">platformy </w:t>
      </w:r>
      <w:r w:rsidRPr="00E8497B">
        <w:rPr>
          <w:rFonts w:ascii="Segoe UI" w:hAnsi="Segoe UI" w:cs="Segoe UI"/>
          <w:lang w:val="pl-PL"/>
        </w:rPr>
        <w:t xml:space="preserve">Watson </w:t>
      </w:r>
      <w:proofErr w:type="spellStart"/>
      <w:r w:rsidRPr="00E8497B">
        <w:rPr>
          <w:rFonts w:ascii="Segoe UI" w:hAnsi="Segoe UI" w:cs="Segoe UI"/>
          <w:lang w:val="pl-PL"/>
        </w:rPr>
        <w:t>IoT</w:t>
      </w:r>
      <w:proofErr w:type="spellEnd"/>
      <w:r w:rsidRPr="00E8497B">
        <w:rPr>
          <w:rFonts w:ascii="Segoe UI" w:hAnsi="Segoe UI" w:cs="Segoe UI"/>
          <w:lang w:val="pl-PL"/>
        </w:rPr>
        <w:t xml:space="preserve"> firmy IBM za pośrednictwem sieci dostawców usług </w:t>
      </w:r>
      <w:proofErr w:type="spellStart"/>
      <w:r w:rsidRPr="00E8497B">
        <w:rPr>
          <w:rFonts w:ascii="Segoe UI" w:hAnsi="Segoe UI" w:cs="Segoe UI"/>
          <w:lang w:val="pl-PL"/>
        </w:rPr>
        <w:t>tokenizacyjnych</w:t>
      </w:r>
      <w:proofErr w:type="spellEnd"/>
      <w:r w:rsidRPr="00E8497B">
        <w:rPr>
          <w:rFonts w:ascii="Segoe UI" w:hAnsi="Segoe UI" w:cs="Segoe UI"/>
          <w:lang w:val="pl-PL"/>
        </w:rPr>
        <w:t xml:space="preserve"> dzięki programowi partnerskiemu Visa </w:t>
      </w:r>
      <w:proofErr w:type="spellStart"/>
      <w:r w:rsidRPr="00E8497B">
        <w:rPr>
          <w:rFonts w:ascii="Segoe UI" w:hAnsi="Segoe UI" w:cs="Segoe UI"/>
          <w:lang w:val="pl-PL"/>
        </w:rPr>
        <w:t>Ready</w:t>
      </w:r>
      <w:proofErr w:type="spellEnd"/>
      <w:r w:rsidRPr="00E8497B">
        <w:rPr>
          <w:rFonts w:ascii="Segoe UI" w:hAnsi="Segoe UI" w:cs="Segoe UI"/>
          <w:lang w:val="pl-PL"/>
        </w:rPr>
        <w:t>.</w:t>
      </w:r>
    </w:p>
    <w:p w:rsidR="00207924" w:rsidRPr="00192280" w:rsidRDefault="00207924" w:rsidP="00BD4D5D">
      <w:pPr>
        <w:pStyle w:val="Tekstkomentarza"/>
        <w:rPr>
          <w:rFonts w:ascii="Segoe UI" w:hAnsi="Segoe UI" w:cs="Segoe UI"/>
          <w:lang w:val="pl-PL"/>
        </w:rPr>
      </w:pPr>
    </w:p>
    <w:p w:rsidR="00C4240E" w:rsidRPr="00135BE2" w:rsidRDefault="00C4240E" w:rsidP="00C4240E">
      <w:pPr>
        <w:spacing w:line="247" w:lineRule="auto"/>
        <w:jc w:val="center"/>
        <w:rPr>
          <w:rFonts w:ascii="Segoe UI" w:hAnsi="Segoe UI" w:cs="Segoe UI"/>
          <w:lang w:val="pt-PT"/>
        </w:rPr>
      </w:pPr>
      <w:r w:rsidRPr="00135BE2">
        <w:rPr>
          <w:rFonts w:ascii="Segoe UI" w:hAnsi="Segoe UI" w:cs="Segoe UI"/>
          <w:lang w:val="pt-PT"/>
        </w:rPr>
        <w:t>###</w:t>
      </w:r>
    </w:p>
    <w:p w:rsidR="00C4240E" w:rsidRPr="00135BE2" w:rsidRDefault="00C4240E" w:rsidP="00327B4D">
      <w:pPr>
        <w:pStyle w:val="Tekstkomentarza"/>
        <w:rPr>
          <w:rFonts w:ascii="Segoe UI" w:hAnsi="Segoe UI" w:cs="Segoe UI"/>
          <w:sz w:val="22"/>
          <w:szCs w:val="22"/>
          <w:lang w:val="pt-PT"/>
        </w:rPr>
      </w:pPr>
    </w:p>
    <w:p w:rsidR="00757B76" w:rsidRPr="00A76743" w:rsidRDefault="00757B76" w:rsidP="00355B89">
      <w:pPr>
        <w:rPr>
          <w:rFonts w:ascii="Segoe UI" w:hAnsi="Segoe UI" w:cs="Segoe UI"/>
          <w:b/>
          <w:bCs/>
          <w:i/>
          <w:color w:val="000000"/>
          <w:sz w:val="20"/>
          <w:szCs w:val="20"/>
          <w:lang w:val="pt-PT" w:eastAsia="ko-KR"/>
        </w:rPr>
      </w:pPr>
      <w:r w:rsidRPr="00A76743">
        <w:rPr>
          <w:rFonts w:ascii="Segoe UI" w:hAnsi="Segoe UI" w:cs="Segoe UI"/>
          <w:b/>
          <w:bCs/>
          <w:color w:val="000000"/>
          <w:sz w:val="20"/>
          <w:szCs w:val="20"/>
          <w:lang w:val="pt-PT" w:eastAsia="ko-KR"/>
        </w:rPr>
        <w:t>O Visa Inc.</w:t>
      </w:r>
    </w:p>
    <w:p w:rsidR="00762295" w:rsidRPr="00A76743" w:rsidRDefault="00762295" w:rsidP="00762295">
      <w:pPr>
        <w:rPr>
          <w:rFonts w:ascii="Segoe UI" w:hAnsi="Segoe UI" w:cs="Segoe UI"/>
          <w:sz w:val="20"/>
          <w:szCs w:val="20"/>
          <w:lang w:val="pl-PL"/>
        </w:rPr>
      </w:pPr>
      <w:r w:rsidRPr="00C535DF">
        <w:rPr>
          <w:rFonts w:ascii="Segoe UI" w:hAnsi="Segoe UI" w:cs="Segoe UI"/>
          <w:sz w:val="20"/>
          <w:szCs w:val="20"/>
          <w:lang w:val="pt-PT"/>
        </w:rPr>
        <w:t xml:space="preserve">Visa Inc. </w:t>
      </w:r>
      <w:r w:rsidRPr="00A76743">
        <w:rPr>
          <w:rFonts w:ascii="Segoe UI" w:hAnsi="Segoe UI" w:cs="Segoe UI"/>
          <w:sz w:val="20"/>
          <w:szCs w:val="20"/>
          <w:lang w:val="pl-PL"/>
        </w:rPr>
        <w:t xml:space="preserve">(NYSE: V) to globalna firma zajmująca się technologiami płatniczymi i świadcząca szybkie, bezpieczne oraz niezawodne usługi płatności elektronicznych na rzecz konsumentów, firm, instytucji finansowych oraz jednostek sektora publicznego w ponad 200 krajach i terytoriach zależnych. Firma obsługuje sieć przetwarzania danych transakcji </w:t>
      </w:r>
      <w:proofErr w:type="spellStart"/>
      <w:r w:rsidRPr="00A76743">
        <w:rPr>
          <w:rFonts w:ascii="Segoe UI" w:hAnsi="Segoe UI" w:cs="Segoe UI"/>
          <w:sz w:val="20"/>
          <w:szCs w:val="20"/>
          <w:lang w:val="pl-PL"/>
        </w:rPr>
        <w:t>VisaNet</w:t>
      </w:r>
      <w:proofErr w:type="spellEnd"/>
      <w:r w:rsidRPr="00A76743">
        <w:rPr>
          <w:rFonts w:ascii="Segoe UI" w:hAnsi="Segoe UI" w:cs="Segoe UI"/>
          <w:sz w:val="20"/>
          <w:szCs w:val="20"/>
          <w:lang w:val="pl-PL"/>
        </w:rPr>
        <w:t xml:space="preserve"> – jedną z najbardziej zaawansowanych na świecie – która może przetwarzać w ciągu sekundy ponad 65 tys. operacji, zapewniając konsumentom ochronę przed oszustwami, a detalistom – gwarancję płatności. Visa nie jest bankiem, nie wydaje kart płatniczych, nie udziela kredytów ani nie ustala opłat pobieranych od konsumentów. Jednak dzięki wprowadzanym przez Visa innowacjom jej klienci z grona instytucji finansowych mogą oferować konsumentom większy wybór – możliwość płacenia w danej chwili przy pomocy kart debetowych, z wyprzedzeniem przy użyciu kart przedpłaconych lub z odroczeniem przy wykorzystaniu kart kredytowyc</w:t>
      </w:r>
      <w:bookmarkStart w:id="0" w:name="_GoBack"/>
      <w:bookmarkEnd w:id="0"/>
      <w:r w:rsidRPr="00A76743">
        <w:rPr>
          <w:rFonts w:ascii="Segoe UI" w:hAnsi="Segoe UI" w:cs="Segoe UI"/>
          <w:sz w:val="20"/>
          <w:szCs w:val="20"/>
          <w:lang w:val="pl-PL"/>
        </w:rPr>
        <w:t xml:space="preserve">h. Więcej informacji znajduje się na stronach </w:t>
      </w:r>
      <w:hyperlink r:id="rId11" w:history="1">
        <w:r w:rsidRPr="00A76743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www.visaeurope.com</w:t>
        </w:r>
      </w:hyperlink>
      <w:r w:rsidRPr="00A76743">
        <w:rPr>
          <w:rFonts w:ascii="Segoe UI" w:hAnsi="Segoe UI" w:cs="Segoe UI"/>
          <w:sz w:val="20"/>
          <w:szCs w:val="20"/>
          <w:lang w:val="pl-PL"/>
        </w:rPr>
        <w:t xml:space="preserve"> i </w:t>
      </w:r>
      <w:r w:rsidRPr="00A76743">
        <w:rPr>
          <w:rStyle w:val="Hipercze"/>
          <w:rFonts w:ascii="Segoe UI" w:hAnsi="Segoe UI" w:cs="Segoe UI"/>
          <w:sz w:val="20"/>
          <w:szCs w:val="20"/>
          <w:lang w:val="pl-PL"/>
        </w:rPr>
        <w:t>www.visa.pl</w:t>
      </w:r>
      <w:r w:rsidRPr="00A76743">
        <w:rPr>
          <w:rFonts w:ascii="Segoe UI" w:hAnsi="Segoe UI" w:cs="Segoe UI"/>
          <w:sz w:val="20"/>
          <w:szCs w:val="20"/>
          <w:lang w:val="pl-PL"/>
        </w:rPr>
        <w:t xml:space="preserve">, na blogu </w:t>
      </w:r>
      <w:hyperlink r:id="rId12" w:anchor="_blank" w:history="1">
        <w:r w:rsidRPr="00A76743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www.vision.visaeurope.com</w:t>
        </w:r>
      </w:hyperlink>
      <w:r w:rsidRPr="00A76743">
        <w:rPr>
          <w:rFonts w:ascii="Segoe UI" w:hAnsi="Segoe UI" w:cs="Segoe UI"/>
          <w:sz w:val="20"/>
          <w:szCs w:val="20"/>
          <w:lang w:val="pl-PL"/>
        </w:rPr>
        <w:t xml:space="preserve"> oraz na </w:t>
      </w:r>
      <w:proofErr w:type="spellStart"/>
      <w:r w:rsidRPr="00A76743">
        <w:rPr>
          <w:rFonts w:ascii="Segoe UI" w:hAnsi="Segoe UI" w:cs="Segoe UI"/>
          <w:sz w:val="20"/>
          <w:szCs w:val="20"/>
          <w:lang w:val="pl-PL"/>
        </w:rPr>
        <w:t>Twitterze</w:t>
      </w:r>
      <w:proofErr w:type="spellEnd"/>
      <w:r w:rsidRPr="00A76743">
        <w:rPr>
          <w:rFonts w:ascii="Segoe UI" w:hAnsi="Segoe UI" w:cs="Segoe UI"/>
          <w:sz w:val="20"/>
          <w:szCs w:val="20"/>
          <w:lang w:val="pl-PL"/>
        </w:rPr>
        <w:t xml:space="preserve"> @</w:t>
      </w:r>
      <w:proofErr w:type="spellStart"/>
      <w:r w:rsidRPr="00A76743">
        <w:rPr>
          <w:rFonts w:ascii="Segoe UI" w:hAnsi="Segoe UI" w:cs="Segoe UI"/>
          <w:sz w:val="20"/>
          <w:szCs w:val="20"/>
          <w:lang w:val="pl-PL"/>
        </w:rPr>
        <w:t>VisaEuropeNews</w:t>
      </w:r>
      <w:proofErr w:type="spellEnd"/>
      <w:r w:rsidRPr="00A76743">
        <w:rPr>
          <w:rFonts w:ascii="Segoe UI" w:hAnsi="Segoe UI" w:cs="Segoe UI"/>
          <w:sz w:val="20"/>
          <w:szCs w:val="20"/>
          <w:lang w:val="pl-PL"/>
        </w:rPr>
        <w:t xml:space="preserve"> i @</w:t>
      </w:r>
      <w:proofErr w:type="spellStart"/>
      <w:r w:rsidRPr="00A76743">
        <w:rPr>
          <w:rFonts w:ascii="Segoe UI" w:hAnsi="Segoe UI" w:cs="Segoe UI"/>
          <w:sz w:val="20"/>
          <w:szCs w:val="20"/>
          <w:lang w:val="pl-PL"/>
        </w:rPr>
        <w:t>Visa_PL</w:t>
      </w:r>
      <w:proofErr w:type="spellEnd"/>
      <w:r w:rsidRPr="00A76743">
        <w:rPr>
          <w:rFonts w:ascii="Segoe UI" w:hAnsi="Segoe UI" w:cs="Segoe UI"/>
          <w:sz w:val="20"/>
          <w:szCs w:val="20"/>
          <w:lang w:val="pl-PL"/>
        </w:rPr>
        <w:t>.</w:t>
      </w:r>
    </w:p>
    <w:p w:rsidR="009D05DE" w:rsidRPr="00A76743" w:rsidRDefault="009D05DE" w:rsidP="00355B89">
      <w:pPr>
        <w:rPr>
          <w:rFonts w:ascii="Segoe UI" w:hAnsi="Segoe UI" w:cs="Segoe UI"/>
          <w:b/>
          <w:sz w:val="20"/>
          <w:szCs w:val="20"/>
          <w:lang w:val="pl-PL"/>
        </w:rPr>
      </w:pPr>
    </w:p>
    <w:p w:rsidR="003E5918" w:rsidRPr="00A76743" w:rsidRDefault="00757B76" w:rsidP="00355B89">
      <w:pPr>
        <w:rPr>
          <w:rFonts w:ascii="Segoe UI" w:hAnsi="Segoe UI" w:cs="Segoe UI"/>
          <w:b/>
          <w:sz w:val="20"/>
          <w:szCs w:val="20"/>
          <w:lang w:val="pl-PL"/>
        </w:rPr>
      </w:pPr>
      <w:r w:rsidRPr="00A76743">
        <w:rPr>
          <w:rFonts w:ascii="Segoe UI" w:hAnsi="Segoe UI" w:cs="Segoe UI"/>
          <w:b/>
          <w:sz w:val="20"/>
          <w:szCs w:val="20"/>
          <w:lang w:val="pl-PL"/>
        </w:rPr>
        <w:t>Kontakt</w:t>
      </w:r>
      <w:r w:rsidR="003E5918" w:rsidRPr="00A76743">
        <w:rPr>
          <w:rFonts w:ascii="Segoe UI" w:hAnsi="Segoe UI" w:cs="Segoe UI"/>
          <w:b/>
          <w:sz w:val="20"/>
          <w:szCs w:val="20"/>
          <w:lang w:val="pl-PL"/>
        </w:rPr>
        <w:t xml:space="preserve">: </w:t>
      </w:r>
    </w:p>
    <w:p w:rsidR="00757B76" w:rsidRPr="00A76743" w:rsidRDefault="00757B76" w:rsidP="00355B89">
      <w:pPr>
        <w:rPr>
          <w:rFonts w:ascii="Segoe UI" w:hAnsi="Segoe UI" w:cs="Segoe UI"/>
          <w:sz w:val="20"/>
          <w:szCs w:val="20"/>
          <w:lang w:val="pl-PL"/>
        </w:rPr>
      </w:pPr>
      <w:r w:rsidRPr="00A76743">
        <w:rPr>
          <w:rFonts w:ascii="Segoe UI" w:hAnsi="Segoe UI" w:cs="Segoe UI"/>
          <w:sz w:val="20"/>
          <w:szCs w:val="20"/>
          <w:lang w:val="pl-PL"/>
        </w:rPr>
        <w:t>Maciej Gajewski, Message House Agencja PR</w:t>
      </w:r>
    </w:p>
    <w:p w:rsidR="00757B76" w:rsidRPr="00A76743" w:rsidRDefault="00757B76" w:rsidP="00355B89">
      <w:pPr>
        <w:rPr>
          <w:rFonts w:ascii="Segoe UI" w:hAnsi="Segoe UI" w:cs="Segoe UI"/>
          <w:sz w:val="20"/>
          <w:szCs w:val="20"/>
          <w:lang w:val="pt-PT"/>
        </w:rPr>
      </w:pPr>
      <w:r w:rsidRPr="00A76743">
        <w:rPr>
          <w:rFonts w:ascii="Segoe UI" w:hAnsi="Segoe UI" w:cs="Segoe UI"/>
          <w:sz w:val="20"/>
          <w:szCs w:val="20"/>
          <w:lang w:val="pt-PT"/>
        </w:rPr>
        <w:lastRenderedPageBreak/>
        <w:t>tel. 22 119 78 45</w:t>
      </w:r>
    </w:p>
    <w:p w:rsidR="003E5918" w:rsidRDefault="00757B76" w:rsidP="00355B89">
      <w:pPr>
        <w:spacing w:after="0"/>
        <w:rPr>
          <w:rFonts w:ascii="Segoe UI" w:hAnsi="Segoe UI" w:cs="Segoe UI"/>
          <w:sz w:val="20"/>
          <w:szCs w:val="20"/>
          <w:lang w:val="pt-PT"/>
        </w:rPr>
      </w:pPr>
      <w:r w:rsidRPr="00A76743">
        <w:rPr>
          <w:rFonts w:ascii="Segoe UI" w:hAnsi="Segoe UI" w:cs="Segoe UI"/>
          <w:sz w:val="20"/>
          <w:szCs w:val="20"/>
          <w:lang w:val="pt-PT"/>
        </w:rPr>
        <w:t xml:space="preserve">e-mail: </w:t>
      </w:r>
      <w:hyperlink r:id="rId13" w:history="1">
        <w:r w:rsidRPr="00A76743">
          <w:rPr>
            <w:rStyle w:val="Hipercze"/>
            <w:rFonts w:ascii="Segoe UI" w:hAnsi="Segoe UI" w:cs="Segoe UI"/>
            <w:sz w:val="20"/>
            <w:szCs w:val="20"/>
            <w:lang w:val="pt-PT"/>
          </w:rPr>
          <w:t>maciej.gajewski@messagehouse.pl</w:t>
        </w:r>
      </w:hyperlink>
      <w:r w:rsidRPr="00A76743">
        <w:rPr>
          <w:rFonts w:ascii="Segoe UI" w:hAnsi="Segoe UI" w:cs="Segoe UI"/>
          <w:sz w:val="20"/>
          <w:szCs w:val="20"/>
          <w:lang w:val="pt-PT"/>
        </w:rPr>
        <w:t xml:space="preserve">, </w:t>
      </w:r>
      <w:hyperlink r:id="rId14" w:history="1">
        <w:r w:rsidRPr="00A76743">
          <w:rPr>
            <w:rStyle w:val="Hipercze"/>
            <w:rFonts w:ascii="Segoe UI" w:hAnsi="Segoe UI" w:cs="Segoe UI"/>
            <w:sz w:val="20"/>
            <w:szCs w:val="20"/>
            <w:lang w:val="pt-PT"/>
          </w:rPr>
          <w:t>biuro@messagehouse.pl</w:t>
        </w:r>
      </w:hyperlink>
      <w:r w:rsidRPr="00A76743">
        <w:rPr>
          <w:rFonts w:ascii="Segoe UI" w:hAnsi="Segoe UI" w:cs="Segoe UI"/>
          <w:sz w:val="20"/>
          <w:szCs w:val="20"/>
          <w:lang w:val="pt-PT"/>
        </w:rPr>
        <w:t xml:space="preserve"> </w:t>
      </w:r>
    </w:p>
    <w:p w:rsidR="00E8497B" w:rsidRPr="00A76743" w:rsidRDefault="00E8497B" w:rsidP="00355B89">
      <w:pPr>
        <w:spacing w:after="0"/>
        <w:rPr>
          <w:rFonts w:ascii="Segoe UI" w:hAnsi="Segoe UI" w:cs="Segoe UI"/>
          <w:sz w:val="20"/>
          <w:szCs w:val="20"/>
          <w:lang w:val="pt-PT"/>
        </w:rPr>
      </w:pPr>
    </w:p>
    <w:sectPr w:rsidR="00E8497B" w:rsidRPr="00A76743" w:rsidSect="00C535D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99" w:rsidRDefault="00096A99" w:rsidP="00FA49B3">
      <w:pPr>
        <w:spacing w:after="0" w:line="240" w:lineRule="auto"/>
      </w:pPr>
      <w:r>
        <w:separator/>
      </w:r>
    </w:p>
  </w:endnote>
  <w:endnote w:type="continuationSeparator" w:id="0">
    <w:p w:rsidR="00096A99" w:rsidRDefault="00096A99" w:rsidP="00FA49B3">
      <w:pPr>
        <w:spacing w:after="0" w:line="240" w:lineRule="auto"/>
      </w:pPr>
      <w:r>
        <w:continuationSeparator/>
      </w:r>
    </w:p>
  </w:endnote>
  <w:endnote w:id="1">
    <w:p w:rsidR="00E8497B" w:rsidRPr="00E8497B" w:rsidRDefault="00E8497B">
      <w:pPr>
        <w:pStyle w:val="Tekstprzypisukocowego"/>
        <w:rPr>
          <w:lang w:val="pl-PL"/>
        </w:rPr>
      </w:pPr>
      <w:r>
        <w:rPr>
          <w:rStyle w:val="Odwoanieprzypisukocowego"/>
        </w:rPr>
        <w:endnoteRef/>
      </w:r>
      <w:r w:rsidRPr="00E8497B">
        <w:rPr>
          <w:lang w:val="pl-PL"/>
        </w:rPr>
        <w:t xml:space="preserve"> </w:t>
      </w:r>
      <w:r w:rsidRPr="00E8497B">
        <w:rPr>
          <w:rFonts w:ascii="Segoe UI" w:hAnsi="Segoe UI" w:cs="Segoe UI"/>
          <w:sz w:val="18"/>
          <w:lang w:val="pl-PL"/>
        </w:rPr>
        <w:t>Źródło: dane transakcji przetworzonych przez Visa Europe, styczeń 2017 r.</w:t>
      </w:r>
    </w:p>
  </w:endnote>
  <w:endnote w:id="2">
    <w:p w:rsidR="00E8497B" w:rsidRPr="00E8497B" w:rsidRDefault="00E8497B">
      <w:pPr>
        <w:pStyle w:val="Tekstprzypisukocowego"/>
        <w:rPr>
          <w:lang w:val="pl-PL"/>
        </w:rPr>
      </w:pPr>
      <w:r>
        <w:rPr>
          <w:rStyle w:val="Odwoanieprzypisukocowego"/>
        </w:rPr>
        <w:endnoteRef/>
      </w:r>
      <w:r w:rsidRPr="00E8497B">
        <w:rPr>
          <w:lang w:val="pl-PL"/>
        </w:rPr>
        <w:t xml:space="preserve"> </w:t>
      </w:r>
      <w:r w:rsidRPr="00E8497B">
        <w:rPr>
          <w:rFonts w:ascii="Segoe UI" w:hAnsi="Segoe UI" w:cs="Segoe UI"/>
          <w:sz w:val="18"/>
          <w:lang w:val="pl-PL"/>
        </w:rPr>
        <w:t>Źródło: dane transakcji przetworzonych przez Visa Europe, grudzień 2016 r.</w:t>
      </w:r>
    </w:p>
  </w:endnote>
  <w:endnote w:id="3">
    <w:p w:rsidR="00E8497B" w:rsidRPr="00E8497B" w:rsidRDefault="00E8497B">
      <w:pPr>
        <w:pStyle w:val="Tekstprzypisukocowego"/>
        <w:rPr>
          <w:lang w:val="pl-PL"/>
        </w:rPr>
      </w:pPr>
      <w:r>
        <w:rPr>
          <w:rStyle w:val="Odwoanieprzypisukocowego"/>
        </w:rPr>
        <w:endnoteRef/>
      </w:r>
      <w:r w:rsidRPr="00E8497B">
        <w:rPr>
          <w:lang w:val="pl-PL"/>
        </w:rPr>
        <w:t xml:space="preserve"> </w:t>
      </w:r>
      <w:r w:rsidRPr="00E8497B">
        <w:rPr>
          <w:rFonts w:ascii="Segoe UI" w:hAnsi="Segoe UI" w:cs="Segoe UI"/>
          <w:sz w:val="18"/>
          <w:lang w:val="pl-PL"/>
        </w:rPr>
        <w:t>Źródło: dane transakcji przetworzonych przez Visa Europe, grudzień 2016 r.</w:t>
      </w:r>
    </w:p>
  </w:endnote>
  <w:endnote w:id="4">
    <w:p w:rsidR="00E8497B" w:rsidRPr="00E8497B" w:rsidRDefault="00E8497B">
      <w:pPr>
        <w:pStyle w:val="Tekstprzypisukocowego"/>
        <w:rPr>
          <w:lang w:val="en-GB"/>
        </w:rPr>
      </w:pPr>
      <w:r>
        <w:rPr>
          <w:rStyle w:val="Odwoanieprzypisukocowego"/>
        </w:rPr>
        <w:endnoteRef/>
      </w:r>
      <w:r>
        <w:t xml:space="preserve"> </w:t>
      </w:r>
      <w:r w:rsidRPr="00E8497B">
        <w:rPr>
          <w:rFonts w:ascii="Segoe UI" w:hAnsi="Segoe UI" w:cs="Segoe UI"/>
          <w:sz w:val="18"/>
        </w:rPr>
        <w:t xml:space="preserve">Gartner, </w:t>
      </w:r>
      <w:proofErr w:type="spellStart"/>
      <w:r w:rsidRPr="00E8497B">
        <w:rPr>
          <w:rFonts w:ascii="Segoe UI" w:hAnsi="Segoe UI" w:cs="Segoe UI"/>
          <w:sz w:val="18"/>
        </w:rPr>
        <w:t>IoT</w:t>
      </w:r>
      <w:proofErr w:type="spellEnd"/>
      <w:r w:rsidRPr="00E8497B">
        <w:rPr>
          <w:rFonts w:ascii="Segoe UI" w:hAnsi="Segoe UI" w:cs="Segoe UI"/>
          <w:sz w:val="18"/>
        </w:rPr>
        <w:t xml:space="preserve"> report, </w:t>
      </w:r>
      <w:proofErr w:type="spellStart"/>
      <w:r w:rsidRPr="00E8497B">
        <w:rPr>
          <w:rFonts w:ascii="Segoe UI" w:hAnsi="Segoe UI" w:cs="Segoe UI"/>
          <w:sz w:val="18"/>
        </w:rPr>
        <w:t>listopad</w:t>
      </w:r>
      <w:proofErr w:type="spellEnd"/>
      <w:r w:rsidRPr="00E8497B">
        <w:rPr>
          <w:rFonts w:ascii="Segoe UI" w:hAnsi="Segoe UI" w:cs="Segoe UI"/>
          <w:sz w:val="18"/>
        </w:rPr>
        <w:t xml:space="preserve"> 2015 r., </w:t>
      </w:r>
      <w:hyperlink r:id="rId1" w:history="1">
        <w:r w:rsidRPr="00E8497B">
          <w:rPr>
            <w:rStyle w:val="Hipercze"/>
            <w:rFonts w:ascii="Segoe UI" w:hAnsi="Segoe UI" w:cs="Segoe UI"/>
            <w:sz w:val="18"/>
          </w:rPr>
          <w:t>http://www.gartner.com/newsroom/id/3165317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99" w:rsidRDefault="00096A99" w:rsidP="00FA49B3">
      <w:pPr>
        <w:spacing w:after="0" w:line="240" w:lineRule="auto"/>
      </w:pPr>
      <w:r>
        <w:separator/>
      </w:r>
    </w:p>
  </w:footnote>
  <w:footnote w:type="continuationSeparator" w:id="0">
    <w:p w:rsidR="00096A99" w:rsidRDefault="00096A99" w:rsidP="00FA4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1024"/>
    <w:multiLevelType w:val="hybridMultilevel"/>
    <w:tmpl w:val="BDBA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15F46"/>
    <w:multiLevelType w:val="hybridMultilevel"/>
    <w:tmpl w:val="837A4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0D065A"/>
    <w:multiLevelType w:val="hybridMultilevel"/>
    <w:tmpl w:val="AA5E7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261FD"/>
    <w:multiLevelType w:val="hybridMultilevel"/>
    <w:tmpl w:val="D766D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2109E"/>
    <w:multiLevelType w:val="hybridMultilevel"/>
    <w:tmpl w:val="C9044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A7A13"/>
    <w:multiLevelType w:val="hybridMultilevel"/>
    <w:tmpl w:val="21A2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D5F63"/>
    <w:multiLevelType w:val="hybridMultilevel"/>
    <w:tmpl w:val="3E827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nga Szniak">
    <w15:presenceInfo w15:providerId="AD" w15:userId="S-1-5-21-4110143654-1180802158-387023424-11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AF"/>
    <w:rsid w:val="000045F5"/>
    <w:rsid w:val="00005EB0"/>
    <w:rsid w:val="000064E9"/>
    <w:rsid w:val="00007098"/>
    <w:rsid w:val="00015C0E"/>
    <w:rsid w:val="00016750"/>
    <w:rsid w:val="00016EBA"/>
    <w:rsid w:val="000227B5"/>
    <w:rsid w:val="000252CE"/>
    <w:rsid w:val="000255C1"/>
    <w:rsid w:val="00027A51"/>
    <w:rsid w:val="0003369E"/>
    <w:rsid w:val="00036726"/>
    <w:rsid w:val="0003743A"/>
    <w:rsid w:val="0004035F"/>
    <w:rsid w:val="0004732F"/>
    <w:rsid w:val="00047B9D"/>
    <w:rsid w:val="00047E40"/>
    <w:rsid w:val="00050D3C"/>
    <w:rsid w:val="00051E96"/>
    <w:rsid w:val="00054746"/>
    <w:rsid w:val="000550A0"/>
    <w:rsid w:val="00056BE8"/>
    <w:rsid w:val="00056DFE"/>
    <w:rsid w:val="00060691"/>
    <w:rsid w:val="00061699"/>
    <w:rsid w:val="0006352D"/>
    <w:rsid w:val="00072587"/>
    <w:rsid w:val="00073052"/>
    <w:rsid w:val="00074E2F"/>
    <w:rsid w:val="00077C66"/>
    <w:rsid w:val="00082B98"/>
    <w:rsid w:val="00083814"/>
    <w:rsid w:val="00086C10"/>
    <w:rsid w:val="0009192F"/>
    <w:rsid w:val="00091B47"/>
    <w:rsid w:val="0009597C"/>
    <w:rsid w:val="00096A99"/>
    <w:rsid w:val="000A06D7"/>
    <w:rsid w:val="000A248E"/>
    <w:rsid w:val="000A29DF"/>
    <w:rsid w:val="000A7323"/>
    <w:rsid w:val="000B0BFC"/>
    <w:rsid w:val="000B24CD"/>
    <w:rsid w:val="000B2F9C"/>
    <w:rsid w:val="000B516A"/>
    <w:rsid w:val="000C0F4F"/>
    <w:rsid w:val="000C182C"/>
    <w:rsid w:val="000C2D7B"/>
    <w:rsid w:val="000C3E9C"/>
    <w:rsid w:val="000C4AC4"/>
    <w:rsid w:val="000C76FA"/>
    <w:rsid w:val="000D2725"/>
    <w:rsid w:val="000D28D5"/>
    <w:rsid w:val="000D58AE"/>
    <w:rsid w:val="000D7D12"/>
    <w:rsid w:val="000E2064"/>
    <w:rsid w:val="000E32AB"/>
    <w:rsid w:val="000E3FC0"/>
    <w:rsid w:val="000E6C0E"/>
    <w:rsid w:val="000F1C90"/>
    <w:rsid w:val="00102435"/>
    <w:rsid w:val="00102D2F"/>
    <w:rsid w:val="001058B0"/>
    <w:rsid w:val="001063D1"/>
    <w:rsid w:val="001164A7"/>
    <w:rsid w:val="00116EBF"/>
    <w:rsid w:val="001228DA"/>
    <w:rsid w:val="00123392"/>
    <w:rsid w:val="00127B5D"/>
    <w:rsid w:val="00132D6D"/>
    <w:rsid w:val="00135BE2"/>
    <w:rsid w:val="00141F5E"/>
    <w:rsid w:val="00147B7F"/>
    <w:rsid w:val="0015048D"/>
    <w:rsid w:val="001525FA"/>
    <w:rsid w:val="00152675"/>
    <w:rsid w:val="00154330"/>
    <w:rsid w:val="0015639E"/>
    <w:rsid w:val="001575AC"/>
    <w:rsid w:val="00157B66"/>
    <w:rsid w:val="00163669"/>
    <w:rsid w:val="00164B99"/>
    <w:rsid w:val="001748AA"/>
    <w:rsid w:val="001757C9"/>
    <w:rsid w:val="00183D76"/>
    <w:rsid w:val="00184363"/>
    <w:rsid w:val="001870CD"/>
    <w:rsid w:val="00192280"/>
    <w:rsid w:val="001A3583"/>
    <w:rsid w:val="001A3A32"/>
    <w:rsid w:val="001A5A2D"/>
    <w:rsid w:val="001A604E"/>
    <w:rsid w:val="001B6F61"/>
    <w:rsid w:val="001C2C03"/>
    <w:rsid w:val="001C4FCC"/>
    <w:rsid w:val="001C5CD3"/>
    <w:rsid w:val="001C61C9"/>
    <w:rsid w:val="001D2865"/>
    <w:rsid w:val="001D3BB8"/>
    <w:rsid w:val="001E3FBB"/>
    <w:rsid w:val="001E4C24"/>
    <w:rsid w:val="001E721F"/>
    <w:rsid w:val="001E7275"/>
    <w:rsid w:val="001F6C21"/>
    <w:rsid w:val="001F7B5D"/>
    <w:rsid w:val="00207924"/>
    <w:rsid w:val="00210141"/>
    <w:rsid w:val="00212F33"/>
    <w:rsid w:val="00213285"/>
    <w:rsid w:val="002258FE"/>
    <w:rsid w:val="00230C7D"/>
    <w:rsid w:val="002325E6"/>
    <w:rsid w:val="00233F73"/>
    <w:rsid w:val="00237A72"/>
    <w:rsid w:val="00240799"/>
    <w:rsid w:val="0024211C"/>
    <w:rsid w:val="002515E7"/>
    <w:rsid w:val="00260E29"/>
    <w:rsid w:val="00264C32"/>
    <w:rsid w:val="002663D9"/>
    <w:rsid w:val="002809F7"/>
    <w:rsid w:val="00281CF0"/>
    <w:rsid w:val="00283D07"/>
    <w:rsid w:val="00291865"/>
    <w:rsid w:val="00292D56"/>
    <w:rsid w:val="002953B2"/>
    <w:rsid w:val="00295642"/>
    <w:rsid w:val="002A387D"/>
    <w:rsid w:val="002A6643"/>
    <w:rsid w:val="002B41CB"/>
    <w:rsid w:val="002B5B78"/>
    <w:rsid w:val="002B5E9D"/>
    <w:rsid w:val="002B6196"/>
    <w:rsid w:val="002C1685"/>
    <w:rsid w:val="002C7477"/>
    <w:rsid w:val="002D595F"/>
    <w:rsid w:val="002E5B5C"/>
    <w:rsid w:val="002E79F8"/>
    <w:rsid w:val="002F225D"/>
    <w:rsid w:val="002F482B"/>
    <w:rsid w:val="00304FA7"/>
    <w:rsid w:val="003062C6"/>
    <w:rsid w:val="00307787"/>
    <w:rsid w:val="00317F05"/>
    <w:rsid w:val="00323D4D"/>
    <w:rsid w:val="00325DF5"/>
    <w:rsid w:val="00327B4D"/>
    <w:rsid w:val="0033005D"/>
    <w:rsid w:val="00332D30"/>
    <w:rsid w:val="00332F72"/>
    <w:rsid w:val="0033400C"/>
    <w:rsid w:val="00342444"/>
    <w:rsid w:val="00342B33"/>
    <w:rsid w:val="00354444"/>
    <w:rsid w:val="00355B89"/>
    <w:rsid w:val="00357737"/>
    <w:rsid w:val="0036208A"/>
    <w:rsid w:val="00363161"/>
    <w:rsid w:val="0036766D"/>
    <w:rsid w:val="00370E80"/>
    <w:rsid w:val="003817A7"/>
    <w:rsid w:val="003827ED"/>
    <w:rsid w:val="003834A5"/>
    <w:rsid w:val="00383FD0"/>
    <w:rsid w:val="0038523E"/>
    <w:rsid w:val="003929E7"/>
    <w:rsid w:val="00397672"/>
    <w:rsid w:val="003A2E4B"/>
    <w:rsid w:val="003A5CE5"/>
    <w:rsid w:val="003C2024"/>
    <w:rsid w:val="003C34C7"/>
    <w:rsid w:val="003C3EBC"/>
    <w:rsid w:val="003C5089"/>
    <w:rsid w:val="003C5281"/>
    <w:rsid w:val="003C59FA"/>
    <w:rsid w:val="003C6A72"/>
    <w:rsid w:val="003C6EBF"/>
    <w:rsid w:val="003D1B24"/>
    <w:rsid w:val="003D59C8"/>
    <w:rsid w:val="003D5C39"/>
    <w:rsid w:val="003D63AF"/>
    <w:rsid w:val="003D76BE"/>
    <w:rsid w:val="003E0351"/>
    <w:rsid w:val="003E21DD"/>
    <w:rsid w:val="003E5918"/>
    <w:rsid w:val="003F107C"/>
    <w:rsid w:val="003F243B"/>
    <w:rsid w:val="003F6DC1"/>
    <w:rsid w:val="003F7FE6"/>
    <w:rsid w:val="004003AD"/>
    <w:rsid w:val="0040117C"/>
    <w:rsid w:val="00404B85"/>
    <w:rsid w:val="004074D2"/>
    <w:rsid w:val="00410B4B"/>
    <w:rsid w:val="004153C0"/>
    <w:rsid w:val="00415401"/>
    <w:rsid w:val="00416BD8"/>
    <w:rsid w:val="00421737"/>
    <w:rsid w:val="00422ADB"/>
    <w:rsid w:val="00425B62"/>
    <w:rsid w:val="00425C42"/>
    <w:rsid w:val="00442D12"/>
    <w:rsid w:val="00447F43"/>
    <w:rsid w:val="00456C42"/>
    <w:rsid w:val="00457B07"/>
    <w:rsid w:val="00457BCC"/>
    <w:rsid w:val="004621FC"/>
    <w:rsid w:val="004633D6"/>
    <w:rsid w:val="0046345F"/>
    <w:rsid w:val="004837C2"/>
    <w:rsid w:val="00484F40"/>
    <w:rsid w:val="00487591"/>
    <w:rsid w:val="00490A84"/>
    <w:rsid w:val="004916D3"/>
    <w:rsid w:val="00491C96"/>
    <w:rsid w:val="00491FFA"/>
    <w:rsid w:val="00492E80"/>
    <w:rsid w:val="004940AB"/>
    <w:rsid w:val="004975B6"/>
    <w:rsid w:val="004A3AA4"/>
    <w:rsid w:val="004A540C"/>
    <w:rsid w:val="004B01C6"/>
    <w:rsid w:val="004B0C02"/>
    <w:rsid w:val="004B3859"/>
    <w:rsid w:val="004B457A"/>
    <w:rsid w:val="004B61C0"/>
    <w:rsid w:val="004B6BCC"/>
    <w:rsid w:val="004C4E19"/>
    <w:rsid w:val="004C7A69"/>
    <w:rsid w:val="004C7C16"/>
    <w:rsid w:val="004D339A"/>
    <w:rsid w:val="004D5ED1"/>
    <w:rsid w:val="004E2126"/>
    <w:rsid w:val="004E22BC"/>
    <w:rsid w:val="004F2EB6"/>
    <w:rsid w:val="004F5AD0"/>
    <w:rsid w:val="004F6E0B"/>
    <w:rsid w:val="00502570"/>
    <w:rsid w:val="00502862"/>
    <w:rsid w:val="00507F18"/>
    <w:rsid w:val="005100A1"/>
    <w:rsid w:val="00513100"/>
    <w:rsid w:val="00516AA5"/>
    <w:rsid w:val="00517747"/>
    <w:rsid w:val="005200FB"/>
    <w:rsid w:val="0052554A"/>
    <w:rsid w:val="005259C3"/>
    <w:rsid w:val="00527194"/>
    <w:rsid w:val="00531613"/>
    <w:rsid w:val="00532785"/>
    <w:rsid w:val="00534345"/>
    <w:rsid w:val="00542A1C"/>
    <w:rsid w:val="005434BB"/>
    <w:rsid w:val="00551B8E"/>
    <w:rsid w:val="00556660"/>
    <w:rsid w:val="005639AB"/>
    <w:rsid w:val="005650C1"/>
    <w:rsid w:val="00566008"/>
    <w:rsid w:val="00573BD6"/>
    <w:rsid w:val="0057427A"/>
    <w:rsid w:val="00574CC3"/>
    <w:rsid w:val="00575B9C"/>
    <w:rsid w:val="00576EF7"/>
    <w:rsid w:val="00580297"/>
    <w:rsid w:val="005822F5"/>
    <w:rsid w:val="00582FA6"/>
    <w:rsid w:val="00583E45"/>
    <w:rsid w:val="0058430A"/>
    <w:rsid w:val="0058513F"/>
    <w:rsid w:val="00586643"/>
    <w:rsid w:val="00587728"/>
    <w:rsid w:val="005879EB"/>
    <w:rsid w:val="005938D4"/>
    <w:rsid w:val="00594F90"/>
    <w:rsid w:val="005954AF"/>
    <w:rsid w:val="0059748D"/>
    <w:rsid w:val="005974E6"/>
    <w:rsid w:val="005A292A"/>
    <w:rsid w:val="005A7002"/>
    <w:rsid w:val="005B4043"/>
    <w:rsid w:val="005B5560"/>
    <w:rsid w:val="005B5E48"/>
    <w:rsid w:val="005C1741"/>
    <w:rsid w:val="005C1965"/>
    <w:rsid w:val="005C38F7"/>
    <w:rsid w:val="005C6B14"/>
    <w:rsid w:val="005C70ED"/>
    <w:rsid w:val="005D0A23"/>
    <w:rsid w:val="005D36C6"/>
    <w:rsid w:val="005D530D"/>
    <w:rsid w:val="005D59D2"/>
    <w:rsid w:val="005D650D"/>
    <w:rsid w:val="005D79F0"/>
    <w:rsid w:val="005E3F28"/>
    <w:rsid w:val="005E43C4"/>
    <w:rsid w:val="005E4555"/>
    <w:rsid w:val="005E6684"/>
    <w:rsid w:val="005E7826"/>
    <w:rsid w:val="0060019A"/>
    <w:rsid w:val="0060626D"/>
    <w:rsid w:val="00611792"/>
    <w:rsid w:val="00611A54"/>
    <w:rsid w:val="00620056"/>
    <w:rsid w:val="006203BB"/>
    <w:rsid w:val="00622B88"/>
    <w:rsid w:val="00624F4A"/>
    <w:rsid w:val="006252B9"/>
    <w:rsid w:val="006301C0"/>
    <w:rsid w:val="006319C9"/>
    <w:rsid w:val="006570FE"/>
    <w:rsid w:val="00660166"/>
    <w:rsid w:val="0066017F"/>
    <w:rsid w:val="00663066"/>
    <w:rsid w:val="006634A0"/>
    <w:rsid w:val="006678E3"/>
    <w:rsid w:val="0068097E"/>
    <w:rsid w:val="00681454"/>
    <w:rsid w:val="00681DB6"/>
    <w:rsid w:val="006822A5"/>
    <w:rsid w:val="0069256D"/>
    <w:rsid w:val="006971F7"/>
    <w:rsid w:val="006A0489"/>
    <w:rsid w:val="006A1DA2"/>
    <w:rsid w:val="006A369A"/>
    <w:rsid w:val="006A3A14"/>
    <w:rsid w:val="006A7AD7"/>
    <w:rsid w:val="006B1291"/>
    <w:rsid w:val="006C00AC"/>
    <w:rsid w:val="006C15FD"/>
    <w:rsid w:val="006D2F5C"/>
    <w:rsid w:val="006D3EC0"/>
    <w:rsid w:val="006D7B4F"/>
    <w:rsid w:val="006E2FC8"/>
    <w:rsid w:val="006F05AD"/>
    <w:rsid w:val="006F221F"/>
    <w:rsid w:val="00701840"/>
    <w:rsid w:val="00703D3E"/>
    <w:rsid w:val="00703E2F"/>
    <w:rsid w:val="00704E70"/>
    <w:rsid w:val="007065FC"/>
    <w:rsid w:val="00707B8A"/>
    <w:rsid w:val="00710CBE"/>
    <w:rsid w:val="0071171C"/>
    <w:rsid w:val="007314C2"/>
    <w:rsid w:val="00735D8F"/>
    <w:rsid w:val="00741BC2"/>
    <w:rsid w:val="00741D06"/>
    <w:rsid w:val="00742863"/>
    <w:rsid w:val="00757B76"/>
    <w:rsid w:val="007601D8"/>
    <w:rsid w:val="0076193F"/>
    <w:rsid w:val="00762295"/>
    <w:rsid w:val="00762A59"/>
    <w:rsid w:val="007665B0"/>
    <w:rsid w:val="007714E9"/>
    <w:rsid w:val="007731D2"/>
    <w:rsid w:val="00773B67"/>
    <w:rsid w:val="00774B14"/>
    <w:rsid w:val="00787A25"/>
    <w:rsid w:val="00791AD8"/>
    <w:rsid w:val="00792953"/>
    <w:rsid w:val="007933F1"/>
    <w:rsid w:val="007971FA"/>
    <w:rsid w:val="00797C14"/>
    <w:rsid w:val="007A0E06"/>
    <w:rsid w:val="007A362C"/>
    <w:rsid w:val="007A482F"/>
    <w:rsid w:val="007A7250"/>
    <w:rsid w:val="007B2E81"/>
    <w:rsid w:val="007B36E9"/>
    <w:rsid w:val="007B4553"/>
    <w:rsid w:val="007B58F9"/>
    <w:rsid w:val="007B7732"/>
    <w:rsid w:val="007C3EFF"/>
    <w:rsid w:val="007C49A9"/>
    <w:rsid w:val="007C57D4"/>
    <w:rsid w:val="007C5BA9"/>
    <w:rsid w:val="007D0E37"/>
    <w:rsid w:val="007D2EE7"/>
    <w:rsid w:val="007D3C96"/>
    <w:rsid w:val="007D42EB"/>
    <w:rsid w:val="007D7400"/>
    <w:rsid w:val="007E3352"/>
    <w:rsid w:val="007E3F86"/>
    <w:rsid w:val="007F0B4F"/>
    <w:rsid w:val="007F2239"/>
    <w:rsid w:val="007F3C08"/>
    <w:rsid w:val="007F6FA8"/>
    <w:rsid w:val="008007DE"/>
    <w:rsid w:val="0080283D"/>
    <w:rsid w:val="008042C6"/>
    <w:rsid w:val="0080450E"/>
    <w:rsid w:val="00806319"/>
    <w:rsid w:val="00806547"/>
    <w:rsid w:val="00806EBC"/>
    <w:rsid w:val="00811B68"/>
    <w:rsid w:val="00812790"/>
    <w:rsid w:val="00813EED"/>
    <w:rsid w:val="00814678"/>
    <w:rsid w:val="00817444"/>
    <w:rsid w:val="00820AFA"/>
    <w:rsid w:val="00822EBA"/>
    <w:rsid w:val="0082460C"/>
    <w:rsid w:val="0082653E"/>
    <w:rsid w:val="008315FC"/>
    <w:rsid w:val="0083425E"/>
    <w:rsid w:val="00834F48"/>
    <w:rsid w:val="00840605"/>
    <w:rsid w:val="0084207D"/>
    <w:rsid w:val="0084553C"/>
    <w:rsid w:val="00850650"/>
    <w:rsid w:val="008629C6"/>
    <w:rsid w:val="00870944"/>
    <w:rsid w:val="00876F40"/>
    <w:rsid w:val="00886007"/>
    <w:rsid w:val="008863F6"/>
    <w:rsid w:val="00886D9B"/>
    <w:rsid w:val="00887B08"/>
    <w:rsid w:val="00890B42"/>
    <w:rsid w:val="00892B9D"/>
    <w:rsid w:val="0089477D"/>
    <w:rsid w:val="008A1FE6"/>
    <w:rsid w:val="008B4A23"/>
    <w:rsid w:val="008C0D10"/>
    <w:rsid w:val="008C3EB6"/>
    <w:rsid w:val="008D0756"/>
    <w:rsid w:val="008D0815"/>
    <w:rsid w:val="008D1422"/>
    <w:rsid w:val="008D2265"/>
    <w:rsid w:val="008D3370"/>
    <w:rsid w:val="008D641A"/>
    <w:rsid w:val="008E06EA"/>
    <w:rsid w:val="008E19AA"/>
    <w:rsid w:val="008E6469"/>
    <w:rsid w:val="008F476E"/>
    <w:rsid w:val="0090241A"/>
    <w:rsid w:val="009027D3"/>
    <w:rsid w:val="009046ED"/>
    <w:rsid w:val="00913F3C"/>
    <w:rsid w:val="00914A1D"/>
    <w:rsid w:val="00917794"/>
    <w:rsid w:val="009211AD"/>
    <w:rsid w:val="00931EC8"/>
    <w:rsid w:val="009354FF"/>
    <w:rsid w:val="0093786B"/>
    <w:rsid w:val="009412CF"/>
    <w:rsid w:val="009425FF"/>
    <w:rsid w:val="00942D7F"/>
    <w:rsid w:val="00944675"/>
    <w:rsid w:val="00944E4D"/>
    <w:rsid w:val="00947524"/>
    <w:rsid w:val="00950CA2"/>
    <w:rsid w:val="00951838"/>
    <w:rsid w:val="00967791"/>
    <w:rsid w:val="00973C5D"/>
    <w:rsid w:val="00973E44"/>
    <w:rsid w:val="00984FC5"/>
    <w:rsid w:val="00985622"/>
    <w:rsid w:val="00985A4E"/>
    <w:rsid w:val="009866DF"/>
    <w:rsid w:val="009A1175"/>
    <w:rsid w:val="009A1AE2"/>
    <w:rsid w:val="009A3D1E"/>
    <w:rsid w:val="009A5C62"/>
    <w:rsid w:val="009B0A9B"/>
    <w:rsid w:val="009B0CAF"/>
    <w:rsid w:val="009B27FC"/>
    <w:rsid w:val="009B34E9"/>
    <w:rsid w:val="009B4F51"/>
    <w:rsid w:val="009B73A0"/>
    <w:rsid w:val="009C160E"/>
    <w:rsid w:val="009C1CB2"/>
    <w:rsid w:val="009D05DE"/>
    <w:rsid w:val="009E033F"/>
    <w:rsid w:val="009E16F7"/>
    <w:rsid w:val="009E20A8"/>
    <w:rsid w:val="009E2C12"/>
    <w:rsid w:val="009E2DD8"/>
    <w:rsid w:val="009E65EE"/>
    <w:rsid w:val="009E7885"/>
    <w:rsid w:val="009F13D7"/>
    <w:rsid w:val="009F175C"/>
    <w:rsid w:val="009F1FA9"/>
    <w:rsid w:val="009F2B0A"/>
    <w:rsid w:val="009F3E01"/>
    <w:rsid w:val="00A1491C"/>
    <w:rsid w:val="00A17895"/>
    <w:rsid w:val="00A25651"/>
    <w:rsid w:val="00A25780"/>
    <w:rsid w:val="00A26935"/>
    <w:rsid w:val="00A3303B"/>
    <w:rsid w:val="00A333A5"/>
    <w:rsid w:val="00A366ED"/>
    <w:rsid w:val="00A37029"/>
    <w:rsid w:val="00A43154"/>
    <w:rsid w:val="00A43476"/>
    <w:rsid w:val="00A46783"/>
    <w:rsid w:val="00A46BA9"/>
    <w:rsid w:val="00A47547"/>
    <w:rsid w:val="00A50733"/>
    <w:rsid w:val="00A51068"/>
    <w:rsid w:val="00A52D38"/>
    <w:rsid w:val="00A552C8"/>
    <w:rsid w:val="00A567F1"/>
    <w:rsid w:val="00A602F1"/>
    <w:rsid w:val="00A64D08"/>
    <w:rsid w:val="00A6767C"/>
    <w:rsid w:val="00A70953"/>
    <w:rsid w:val="00A70B41"/>
    <w:rsid w:val="00A70E6E"/>
    <w:rsid w:val="00A727EA"/>
    <w:rsid w:val="00A73287"/>
    <w:rsid w:val="00A7436F"/>
    <w:rsid w:val="00A760C1"/>
    <w:rsid w:val="00A76743"/>
    <w:rsid w:val="00A8299E"/>
    <w:rsid w:val="00A84510"/>
    <w:rsid w:val="00A86DA8"/>
    <w:rsid w:val="00A87288"/>
    <w:rsid w:val="00A90CC0"/>
    <w:rsid w:val="00A96C35"/>
    <w:rsid w:val="00AA5C90"/>
    <w:rsid w:val="00AB2492"/>
    <w:rsid w:val="00AB4401"/>
    <w:rsid w:val="00AB4BFE"/>
    <w:rsid w:val="00AB5AE0"/>
    <w:rsid w:val="00AC12F0"/>
    <w:rsid w:val="00AC2320"/>
    <w:rsid w:val="00AC44F4"/>
    <w:rsid w:val="00AD038F"/>
    <w:rsid w:val="00AD2413"/>
    <w:rsid w:val="00AD468E"/>
    <w:rsid w:val="00AD73A6"/>
    <w:rsid w:val="00AF53CF"/>
    <w:rsid w:val="00AF5BA3"/>
    <w:rsid w:val="00B03F5F"/>
    <w:rsid w:val="00B058E3"/>
    <w:rsid w:val="00B062C4"/>
    <w:rsid w:val="00B06DB1"/>
    <w:rsid w:val="00B06E68"/>
    <w:rsid w:val="00B07B55"/>
    <w:rsid w:val="00B10DB6"/>
    <w:rsid w:val="00B14FAC"/>
    <w:rsid w:val="00B1764B"/>
    <w:rsid w:val="00B17A78"/>
    <w:rsid w:val="00B2055C"/>
    <w:rsid w:val="00B21C23"/>
    <w:rsid w:val="00B23620"/>
    <w:rsid w:val="00B26182"/>
    <w:rsid w:val="00B27F19"/>
    <w:rsid w:val="00B3037E"/>
    <w:rsid w:val="00B316E0"/>
    <w:rsid w:val="00B32439"/>
    <w:rsid w:val="00B338A9"/>
    <w:rsid w:val="00B340F6"/>
    <w:rsid w:val="00B3722C"/>
    <w:rsid w:val="00B44FA6"/>
    <w:rsid w:val="00B45665"/>
    <w:rsid w:val="00B50FAB"/>
    <w:rsid w:val="00B554BF"/>
    <w:rsid w:val="00B60DD3"/>
    <w:rsid w:val="00B62263"/>
    <w:rsid w:val="00B70A74"/>
    <w:rsid w:val="00B712BD"/>
    <w:rsid w:val="00B7347B"/>
    <w:rsid w:val="00B7458F"/>
    <w:rsid w:val="00B81C62"/>
    <w:rsid w:val="00B81F60"/>
    <w:rsid w:val="00B83341"/>
    <w:rsid w:val="00B83BD7"/>
    <w:rsid w:val="00B86F65"/>
    <w:rsid w:val="00B91DE6"/>
    <w:rsid w:val="00B957D7"/>
    <w:rsid w:val="00BA1803"/>
    <w:rsid w:val="00BA3ED9"/>
    <w:rsid w:val="00BB04B1"/>
    <w:rsid w:val="00BB19A8"/>
    <w:rsid w:val="00BB1DE0"/>
    <w:rsid w:val="00BB28FC"/>
    <w:rsid w:val="00BB2EF8"/>
    <w:rsid w:val="00BB3AC5"/>
    <w:rsid w:val="00BB47D0"/>
    <w:rsid w:val="00BB78A8"/>
    <w:rsid w:val="00BC5AE6"/>
    <w:rsid w:val="00BC67C1"/>
    <w:rsid w:val="00BD175E"/>
    <w:rsid w:val="00BD278C"/>
    <w:rsid w:val="00BD31D2"/>
    <w:rsid w:val="00BD4D5D"/>
    <w:rsid w:val="00BE10C5"/>
    <w:rsid w:val="00BE4596"/>
    <w:rsid w:val="00BE4842"/>
    <w:rsid w:val="00BF2F2C"/>
    <w:rsid w:val="00BF3977"/>
    <w:rsid w:val="00BF687C"/>
    <w:rsid w:val="00BF7805"/>
    <w:rsid w:val="00C0169B"/>
    <w:rsid w:val="00C02B67"/>
    <w:rsid w:val="00C03A15"/>
    <w:rsid w:val="00C03FA7"/>
    <w:rsid w:val="00C07E4B"/>
    <w:rsid w:val="00C10E39"/>
    <w:rsid w:val="00C1125D"/>
    <w:rsid w:val="00C113FA"/>
    <w:rsid w:val="00C120AD"/>
    <w:rsid w:val="00C12675"/>
    <w:rsid w:val="00C134C9"/>
    <w:rsid w:val="00C20C03"/>
    <w:rsid w:val="00C25B95"/>
    <w:rsid w:val="00C2686E"/>
    <w:rsid w:val="00C275B3"/>
    <w:rsid w:val="00C334C6"/>
    <w:rsid w:val="00C3785A"/>
    <w:rsid w:val="00C40F6C"/>
    <w:rsid w:val="00C4240E"/>
    <w:rsid w:val="00C426BF"/>
    <w:rsid w:val="00C45098"/>
    <w:rsid w:val="00C45A33"/>
    <w:rsid w:val="00C47797"/>
    <w:rsid w:val="00C47860"/>
    <w:rsid w:val="00C4790D"/>
    <w:rsid w:val="00C47C9D"/>
    <w:rsid w:val="00C535DF"/>
    <w:rsid w:val="00C55A92"/>
    <w:rsid w:val="00C64789"/>
    <w:rsid w:val="00C6482C"/>
    <w:rsid w:val="00C77C40"/>
    <w:rsid w:val="00C80452"/>
    <w:rsid w:val="00C80A39"/>
    <w:rsid w:val="00C837A2"/>
    <w:rsid w:val="00C851E5"/>
    <w:rsid w:val="00C876CE"/>
    <w:rsid w:val="00C93874"/>
    <w:rsid w:val="00CA5BA0"/>
    <w:rsid w:val="00CA5C2A"/>
    <w:rsid w:val="00CB004D"/>
    <w:rsid w:val="00CB3128"/>
    <w:rsid w:val="00CB5BCA"/>
    <w:rsid w:val="00CB7BAE"/>
    <w:rsid w:val="00CC0204"/>
    <w:rsid w:val="00CC07EF"/>
    <w:rsid w:val="00CC5170"/>
    <w:rsid w:val="00CC589E"/>
    <w:rsid w:val="00CD201F"/>
    <w:rsid w:val="00CD7237"/>
    <w:rsid w:val="00CE0540"/>
    <w:rsid w:val="00CE3B66"/>
    <w:rsid w:val="00CE6763"/>
    <w:rsid w:val="00CE699D"/>
    <w:rsid w:val="00CF0BF6"/>
    <w:rsid w:val="00CF3B15"/>
    <w:rsid w:val="00CF6A6C"/>
    <w:rsid w:val="00D002B8"/>
    <w:rsid w:val="00D073ED"/>
    <w:rsid w:val="00D11A88"/>
    <w:rsid w:val="00D13BA0"/>
    <w:rsid w:val="00D142E9"/>
    <w:rsid w:val="00D15589"/>
    <w:rsid w:val="00D3519C"/>
    <w:rsid w:val="00D3767A"/>
    <w:rsid w:val="00D43F3A"/>
    <w:rsid w:val="00D4433B"/>
    <w:rsid w:val="00D444CA"/>
    <w:rsid w:val="00D45596"/>
    <w:rsid w:val="00D56C92"/>
    <w:rsid w:val="00D57477"/>
    <w:rsid w:val="00D60B93"/>
    <w:rsid w:val="00D60E3B"/>
    <w:rsid w:val="00D80FED"/>
    <w:rsid w:val="00D816F5"/>
    <w:rsid w:val="00D81BE1"/>
    <w:rsid w:val="00D821FC"/>
    <w:rsid w:val="00D85AC5"/>
    <w:rsid w:val="00D90370"/>
    <w:rsid w:val="00D92AD4"/>
    <w:rsid w:val="00D93482"/>
    <w:rsid w:val="00D9423B"/>
    <w:rsid w:val="00D976B7"/>
    <w:rsid w:val="00DA13CE"/>
    <w:rsid w:val="00DA3AA3"/>
    <w:rsid w:val="00DA4BF4"/>
    <w:rsid w:val="00DB2078"/>
    <w:rsid w:val="00DB2335"/>
    <w:rsid w:val="00DB6570"/>
    <w:rsid w:val="00DB670C"/>
    <w:rsid w:val="00DB769F"/>
    <w:rsid w:val="00DC664C"/>
    <w:rsid w:val="00DD111D"/>
    <w:rsid w:val="00DE0266"/>
    <w:rsid w:val="00DE30E3"/>
    <w:rsid w:val="00DE374A"/>
    <w:rsid w:val="00DE5526"/>
    <w:rsid w:val="00DF2AA5"/>
    <w:rsid w:val="00DF48C1"/>
    <w:rsid w:val="00DF5A4A"/>
    <w:rsid w:val="00DF656E"/>
    <w:rsid w:val="00DF759F"/>
    <w:rsid w:val="00E024A0"/>
    <w:rsid w:val="00E033C6"/>
    <w:rsid w:val="00E07823"/>
    <w:rsid w:val="00E07B6F"/>
    <w:rsid w:val="00E1001B"/>
    <w:rsid w:val="00E14856"/>
    <w:rsid w:val="00E148AB"/>
    <w:rsid w:val="00E155C5"/>
    <w:rsid w:val="00E221CA"/>
    <w:rsid w:val="00E26BAF"/>
    <w:rsid w:val="00E279C7"/>
    <w:rsid w:val="00E27A2A"/>
    <w:rsid w:val="00E3281B"/>
    <w:rsid w:val="00E3309F"/>
    <w:rsid w:val="00E35215"/>
    <w:rsid w:val="00E43230"/>
    <w:rsid w:val="00E43DBA"/>
    <w:rsid w:val="00E4619D"/>
    <w:rsid w:val="00E57E3F"/>
    <w:rsid w:val="00E64110"/>
    <w:rsid w:val="00E64A20"/>
    <w:rsid w:val="00E6739A"/>
    <w:rsid w:val="00E674A6"/>
    <w:rsid w:val="00E71239"/>
    <w:rsid w:val="00E72D77"/>
    <w:rsid w:val="00E73966"/>
    <w:rsid w:val="00E74968"/>
    <w:rsid w:val="00E763BB"/>
    <w:rsid w:val="00E8497B"/>
    <w:rsid w:val="00E91C74"/>
    <w:rsid w:val="00E927BB"/>
    <w:rsid w:val="00E94BF6"/>
    <w:rsid w:val="00E95C66"/>
    <w:rsid w:val="00E97523"/>
    <w:rsid w:val="00EA366F"/>
    <w:rsid w:val="00EA37F7"/>
    <w:rsid w:val="00EA4896"/>
    <w:rsid w:val="00EA5763"/>
    <w:rsid w:val="00EA6237"/>
    <w:rsid w:val="00EB2BC7"/>
    <w:rsid w:val="00EC0C0C"/>
    <w:rsid w:val="00EC1799"/>
    <w:rsid w:val="00EC2892"/>
    <w:rsid w:val="00EC2A14"/>
    <w:rsid w:val="00EC5B03"/>
    <w:rsid w:val="00EC7E21"/>
    <w:rsid w:val="00ED142F"/>
    <w:rsid w:val="00ED2FE1"/>
    <w:rsid w:val="00EF11A8"/>
    <w:rsid w:val="00EF1C0D"/>
    <w:rsid w:val="00EF227C"/>
    <w:rsid w:val="00EF2A8D"/>
    <w:rsid w:val="00EF6950"/>
    <w:rsid w:val="00EF7227"/>
    <w:rsid w:val="00F01521"/>
    <w:rsid w:val="00F1174A"/>
    <w:rsid w:val="00F11E1C"/>
    <w:rsid w:val="00F16F95"/>
    <w:rsid w:val="00F202E2"/>
    <w:rsid w:val="00F30137"/>
    <w:rsid w:val="00F308C9"/>
    <w:rsid w:val="00F34A9C"/>
    <w:rsid w:val="00F35EC3"/>
    <w:rsid w:val="00F40A80"/>
    <w:rsid w:val="00F4245D"/>
    <w:rsid w:val="00F4525D"/>
    <w:rsid w:val="00F4727B"/>
    <w:rsid w:val="00F50A07"/>
    <w:rsid w:val="00F519B1"/>
    <w:rsid w:val="00F66935"/>
    <w:rsid w:val="00F70FBA"/>
    <w:rsid w:val="00F7158B"/>
    <w:rsid w:val="00F746D8"/>
    <w:rsid w:val="00F749A3"/>
    <w:rsid w:val="00F8187D"/>
    <w:rsid w:val="00F8596A"/>
    <w:rsid w:val="00F936CF"/>
    <w:rsid w:val="00FA264D"/>
    <w:rsid w:val="00FA29BB"/>
    <w:rsid w:val="00FA3D88"/>
    <w:rsid w:val="00FA49B3"/>
    <w:rsid w:val="00FA5C8E"/>
    <w:rsid w:val="00FA5EE5"/>
    <w:rsid w:val="00FA67DF"/>
    <w:rsid w:val="00FA698B"/>
    <w:rsid w:val="00FB0A01"/>
    <w:rsid w:val="00FB4A8E"/>
    <w:rsid w:val="00FB775A"/>
    <w:rsid w:val="00FC01D1"/>
    <w:rsid w:val="00FC1DA2"/>
    <w:rsid w:val="00FD1677"/>
    <w:rsid w:val="00FD2547"/>
    <w:rsid w:val="00FD263F"/>
    <w:rsid w:val="00FD3ADF"/>
    <w:rsid w:val="00FD405C"/>
    <w:rsid w:val="00FE166F"/>
    <w:rsid w:val="00FE3FD2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3E5918"/>
    <w:pPr>
      <w:spacing w:before="120"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FD3A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25C4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99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913F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3F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F3C"/>
    <w:rPr>
      <w:b/>
      <w:bCs/>
      <w:sz w:val="20"/>
      <w:szCs w:val="20"/>
    </w:rPr>
  </w:style>
  <w:style w:type="paragraph" w:customStyle="1" w:styleId="VisaBody">
    <w:name w:val="Visa Body"/>
    <w:link w:val="VisaBodyCharChar"/>
    <w:rsid w:val="00CC589E"/>
    <w:pPr>
      <w:spacing w:line="360" w:lineRule="auto"/>
    </w:pPr>
    <w:rPr>
      <w:rFonts w:ascii="Arial" w:eastAsia="MS Mincho" w:hAnsi="Arial" w:cs="Arial"/>
      <w:bCs/>
      <w:szCs w:val="20"/>
      <w:lang w:val="en-GB"/>
    </w:rPr>
  </w:style>
  <w:style w:type="character" w:customStyle="1" w:styleId="VisaBodyCharChar">
    <w:name w:val="Visa Body Char Char"/>
    <w:link w:val="VisaBody"/>
    <w:rsid w:val="00CC589E"/>
    <w:rPr>
      <w:rFonts w:ascii="Arial" w:eastAsia="MS Mincho" w:hAnsi="Arial" w:cs="Arial"/>
      <w:bCs/>
      <w:szCs w:val="20"/>
      <w:lang w:val="en-GB"/>
    </w:rPr>
  </w:style>
  <w:style w:type="paragraph" w:styleId="Poprawka">
    <w:name w:val="Revision"/>
    <w:hidden/>
    <w:uiPriority w:val="99"/>
    <w:semiHidden/>
    <w:rsid w:val="00323D4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9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9B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D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14">
    <w:name w:val="s14"/>
    <w:basedOn w:val="Domylnaczcionkaakapitu"/>
    <w:rsid w:val="00C851E5"/>
  </w:style>
  <w:style w:type="paragraph" w:customStyle="1" w:styleId="s15">
    <w:name w:val="s15"/>
    <w:basedOn w:val="Normalny"/>
    <w:uiPriority w:val="99"/>
    <w:semiHidden/>
    <w:rsid w:val="00C851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s21">
    <w:name w:val="s21"/>
    <w:basedOn w:val="Domylnaczcionkaakapitu"/>
    <w:rsid w:val="003E21D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9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9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49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3E5918"/>
    <w:pPr>
      <w:spacing w:before="120"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FD3A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25C4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99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913F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3F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F3C"/>
    <w:rPr>
      <w:b/>
      <w:bCs/>
      <w:sz w:val="20"/>
      <w:szCs w:val="20"/>
    </w:rPr>
  </w:style>
  <w:style w:type="paragraph" w:customStyle="1" w:styleId="VisaBody">
    <w:name w:val="Visa Body"/>
    <w:link w:val="VisaBodyCharChar"/>
    <w:rsid w:val="00CC589E"/>
    <w:pPr>
      <w:spacing w:line="360" w:lineRule="auto"/>
    </w:pPr>
    <w:rPr>
      <w:rFonts w:ascii="Arial" w:eastAsia="MS Mincho" w:hAnsi="Arial" w:cs="Arial"/>
      <w:bCs/>
      <w:szCs w:val="20"/>
      <w:lang w:val="en-GB"/>
    </w:rPr>
  </w:style>
  <w:style w:type="character" w:customStyle="1" w:styleId="VisaBodyCharChar">
    <w:name w:val="Visa Body Char Char"/>
    <w:link w:val="VisaBody"/>
    <w:rsid w:val="00CC589E"/>
    <w:rPr>
      <w:rFonts w:ascii="Arial" w:eastAsia="MS Mincho" w:hAnsi="Arial" w:cs="Arial"/>
      <w:bCs/>
      <w:szCs w:val="20"/>
      <w:lang w:val="en-GB"/>
    </w:rPr>
  </w:style>
  <w:style w:type="paragraph" w:styleId="Poprawka">
    <w:name w:val="Revision"/>
    <w:hidden/>
    <w:uiPriority w:val="99"/>
    <w:semiHidden/>
    <w:rsid w:val="00323D4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9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9B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D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14">
    <w:name w:val="s14"/>
    <w:basedOn w:val="Domylnaczcionkaakapitu"/>
    <w:rsid w:val="00C851E5"/>
  </w:style>
  <w:style w:type="paragraph" w:customStyle="1" w:styleId="s15">
    <w:name w:val="s15"/>
    <w:basedOn w:val="Normalny"/>
    <w:uiPriority w:val="99"/>
    <w:semiHidden/>
    <w:rsid w:val="00C851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s21">
    <w:name w:val="s21"/>
    <w:basedOn w:val="Domylnaczcionkaakapitu"/>
    <w:rsid w:val="003E21D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9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9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49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8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24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2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04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ciej.gajewski@messagehous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ision.visaeurope.co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saeurop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isa.pl/o-nas/aktualnosci/ibm-i-visa-zmieniaja-samochody-sprzet-domowy-i-inne-urzadzenia-z-dostepem-do-internetu-w-potencjalne-punkty-sprzedazy-wykorzystujac-watson-dot-dot-dot-1817277?returnUrl=/o-nas/aktualnosci/inde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iuro@messagehouse.pl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tner.com/newsroom/id/31653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4F0C4-C1EA-4979-B035-A2552370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900</Words>
  <Characters>5402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Inc.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Chieng, Stephanie</dc:creator>
  <cp:lastModifiedBy>Jakub Waszczuk</cp:lastModifiedBy>
  <cp:revision>8</cp:revision>
  <cp:lastPrinted>2017-02-23T11:22:00Z</cp:lastPrinted>
  <dcterms:created xsi:type="dcterms:W3CDTF">2017-02-22T09:37:00Z</dcterms:created>
  <dcterms:modified xsi:type="dcterms:W3CDTF">2017-02-23T11:37:00Z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