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bookmarkStart w:id="0" w:name="_GoBack"/>
      <w:bookmarkEnd w:id="0"/>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3E2457"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3E2457"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FE318D" w:rsidRPr="00FE318D" w:rsidRDefault="00FE318D" w:rsidP="00FE318D">
      <w:pPr>
        <w:pStyle w:val="BodyText2"/>
        <w:spacing w:line="276" w:lineRule="auto"/>
        <w:jc w:val="both"/>
        <w:rPr>
          <w:rFonts w:ascii="Arial" w:hAnsi="Arial" w:cs="Arial"/>
          <w:b/>
          <w:bCs/>
          <w:sz w:val="44"/>
          <w:szCs w:val="32"/>
          <w:lang w:val="cs-CZ"/>
        </w:rPr>
      </w:pPr>
      <w:r w:rsidRPr="00FE318D">
        <w:rPr>
          <w:rFonts w:ascii="Arial" w:hAnsi="Arial" w:cs="Arial"/>
          <w:b/>
          <w:bCs/>
          <w:sz w:val="44"/>
          <w:szCs w:val="32"/>
          <w:lang w:val="cs-CZ"/>
        </w:rPr>
        <w:t>Ford Mustang je již třetím rokem v řadě nejprodávanější</w:t>
      </w:r>
      <w:r w:rsidR="00B45FE2">
        <w:rPr>
          <w:rFonts w:ascii="Arial" w:hAnsi="Arial" w:cs="Arial"/>
          <w:b/>
          <w:bCs/>
          <w:sz w:val="44"/>
          <w:szCs w:val="32"/>
          <w:lang w:val="cs-CZ"/>
        </w:rPr>
        <w:t>m</w:t>
      </w:r>
      <w:r w:rsidRPr="00FE318D">
        <w:rPr>
          <w:rFonts w:ascii="Arial" w:hAnsi="Arial" w:cs="Arial"/>
          <w:b/>
          <w:bCs/>
          <w:sz w:val="44"/>
          <w:szCs w:val="32"/>
          <w:lang w:val="cs-CZ"/>
        </w:rPr>
        <w:t xml:space="preserve"> sportovní</w:t>
      </w:r>
      <w:r w:rsidR="00B45FE2">
        <w:rPr>
          <w:rFonts w:ascii="Arial" w:hAnsi="Arial" w:cs="Arial"/>
          <w:b/>
          <w:bCs/>
          <w:sz w:val="44"/>
          <w:szCs w:val="32"/>
          <w:lang w:val="cs-CZ"/>
        </w:rPr>
        <w:t>m</w:t>
      </w:r>
      <w:r w:rsidRPr="00FE318D">
        <w:rPr>
          <w:rFonts w:ascii="Arial" w:hAnsi="Arial" w:cs="Arial"/>
          <w:b/>
          <w:bCs/>
          <w:sz w:val="44"/>
          <w:szCs w:val="32"/>
          <w:lang w:val="cs-CZ"/>
        </w:rPr>
        <w:t xml:space="preserve"> kupé na světě</w:t>
      </w:r>
    </w:p>
    <w:p w:rsidR="004A5828" w:rsidRPr="00B37CF9" w:rsidRDefault="004A5828" w:rsidP="00FE318D">
      <w:pPr>
        <w:pStyle w:val="BodyText2"/>
        <w:spacing w:line="276" w:lineRule="auto"/>
        <w:jc w:val="both"/>
        <w:rPr>
          <w:rFonts w:ascii="Arial" w:hAnsi="Arial" w:cs="Arial"/>
          <w:b/>
          <w:bCs/>
          <w:sz w:val="22"/>
          <w:szCs w:val="22"/>
          <w:lang w:val="cs-CZ"/>
        </w:rPr>
      </w:pPr>
    </w:p>
    <w:p w:rsidR="00FE318D" w:rsidRPr="00FE318D" w:rsidRDefault="00FE318D" w:rsidP="00FE318D">
      <w:pPr>
        <w:pStyle w:val="ListParagraph"/>
        <w:numPr>
          <w:ilvl w:val="0"/>
          <w:numId w:val="44"/>
        </w:numPr>
        <w:spacing w:line="276" w:lineRule="auto"/>
        <w:ind w:right="-24"/>
        <w:jc w:val="both"/>
        <w:rPr>
          <w:rFonts w:ascii="Arial" w:hAnsi="Arial" w:cs="Arial"/>
          <w:b/>
          <w:szCs w:val="22"/>
        </w:rPr>
      </w:pPr>
      <w:r w:rsidRPr="00FE318D">
        <w:rPr>
          <w:rFonts w:ascii="Arial" w:hAnsi="Arial" w:cs="Arial"/>
          <w:b/>
          <w:szCs w:val="22"/>
        </w:rPr>
        <w:t>Ford v loňském roce prodal ve 146 zemích světa 125 809 Mustangů ve variantách fastback a convertible</w:t>
      </w:r>
    </w:p>
    <w:p w:rsidR="00FE318D" w:rsidRPr="00FE318D" w:rsidRDefault="00FE318D" w:rsidP="00FE318D">
      <w:pPr>
        <w:pStyle w:val="ListParagraph"/>
        <w:spacing w:line="276" w:lineRule="auto"/>
        <w:ind w:right="-24"/>
        <w:jc w:val="both"/>
        <w:rPr>
          <w:rFonts w:ascii="Arial" w:hAnsi="Arial" w:cs="Arial"/>
          <w:b/>
          <w:szCs w:val="22"/>
        </w:rPr>
      </w:pPr>
    </w:p>
    <w:p w:rsidR="00FE318D" w:rsidRPr="00FE318D" w:rsidRDefault="00FE318D" w:rsidP="00FE318D">
      <w:pPr>
        <w:pStyle w:val="ListParagraph"/>
        <w:numPr>
          <w:ilvl w:val="0"/>
          <w:numId w:val="44"/>
        </w:numPr>
        <w:spacing w:line="276" w:lineRule="auto"/>
        <w:ind w:right="-24"/>
        <w:jc w:val="both"/>
        <w:rPr>
          <w:rFonts w:ascii="Arial" w:hAnsi="Arial" w:cs="Arial"/>
          <w:b/>
          <w:szCs w:val="22"/>
        </w:rPr>
      </w:pPr>
      <w:r w:rsidRPr="00FE318D">
        <w:rPr>
          <w:rFonts w:ascii="Arial" w:hAnsi="Arial" w:cs="Arial"/>
          <w:b/>
          <w:szCs w:val="22"/>
        </w:rPr>
        <w:t xml:space="preserve">Mustang byl v roce 2017 již potřetí za sebou nejprodávanějším sportovním kupé na světě. Vyplývá to z analýzy registrací nových vozidel IHS Markit </w:t>
      </w:r>
    </w:p>
    <w:p w:rsidR="00FE318D" w:rsidRPr="00FE318D" w:rsidRDefault="00FE318D" w:rsidP="00FE318D">
      <w:pPr>
        <w:pStyle w:val="ListParagraph"/>
        <w:spacing w:line="276" w:lineRule="auto"/>
        <w:ind w:right="-24"/>
        <w:jc w:val="both"/>
        <w:rPr>
          <w:rFonts w:ascii="Arial" w:hAnsi="Arial" w:cs="Arial"/>
          <w:b/>
          <w:szCs w:val="22"/>
        </w:rPr>
      </w:pPr>
    </w:p>
    <w:p w:rsidR="00FE318D" w:rsidRPr="00FE318D" w:rsidRDefault="00FE318D" w:rsidP="00FE318D">
      <w:pPr>
        <w:pStyle w:val="ListParagraph"/>
        <w:numPr>
          <w:ilvl w:val="0"/>
          <w:numId w:val="44"/>
        </w:numPr>
        <w:spacing w:line="276" w:lineRule="auto"/>
        <w:ind w:right="-24"/>
        <w:jc w:val="both"/>
        <w:rPr>
          <w:rFonts w:ascii="Arial" w:hAnsi="Arial" w:cs="Arial"/>
          <w:b/>
          <w:szCs w:val="22"/>
        </w:rPr>
      </w:pPr>
      <w:r w:rsidRPr="00FE318D">
        <w:rPr>
          <w:rFonts w:ascii="Arial" w:hAnsi="Arial" w:cs="Arial"/>
          <w:b/>
          <w:szCs w:val="22"/>
        </w:rPr>
        <w:t>V Evropě Ford prodal v roce 2017 celkem 13 100 Mustangů. V průběhu letošního roku uvede značka na evropské trhy nový Mustang a speciální edici Mustang BULLITT</w:t>
      </w:r>
    </w:p>
    <w:p w:rsidR="003576C0" w:rsidRPr="00B37CF9" w:rsidRDefault="003576C0" w:rsidP="00FE318D">
      <w:pPr>
        <w:spacing w:line="276" w:lineRule="auto"/>
        <w:jc w:val="both"/>
      </w:pPr>
    </w:p>
    <w:p w:rsidR="003576C0" w:rsidRPr="00B37CF9" w:rsidRDefault="003576C0" w:rsidP="00FE318D">
      <w:pPr>
        <w:spacing w:line="276" w:lineRule="auto"/>
        <w:jc w:val="both"/>
      </w:pPr>
    </w:p>
    <w:p w:rsidR="003576C0" w:rsidRPr="00112FE6" w:rsidRDefault="003576C0" w:rsidP="00FE318D">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FE318D">
        <w:rPr>
          <w:rFonts w:ascii="Arial" w:hAnsi="Arial" w:cs="Arial"/>
          <w:b/>
          <w:i/>
          <w:sz w:val="24"/>
        </w:rPr>
        <w:t>18</w:t>
      </w:r>
      <w:r w:rsidRPr="009A1395">
        <w:rPr>
          <w:rFonts w:ascii="Arial" w:hAnsi="Arial" w:cs="Arial"/>
          <w:b/>
          <w:i/>
          <w:sz w:val="24"/>
        </w:rPr>
        <w:t xml:space="preserve">. </w:t>
      </w:r>
      <w:r w:rsidR="00FE318D">
        <w:rPr>
          <w:rFonts w:ascii="Arial" w:hAnsi="Arial" w:cs="Arial"/>
          <w:b/>
          <w:i/>
          <w:sz w:val="24"/>
        </w:rPr>
        <w:t>dubna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FE318D" w:rsidRPr="00FE318D">
        <w:rPr>
          <w:rFonts w:ascii="Arial" w:hAnsi="Arial" w:cs="Arial"/>
          <w:b/>
          <w:sz w:val="24"/>
        </w:rPr>
        <w:t>Díky silnému zájmu o nový Ford Mustang modelového roku 2018 se tento vůz stal již třetím rokem v řadě nejprodávanějším sportovním kupé na světě.</w:t>
      </w:r>
    </w:p>
    <w:p w:rsidR="00823C2B" w:rsidRPr="00823C2B" w:rsidRDefault="00823C2B"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 xml:space="preserve">Z přehledu celosvětových registrací nových vozidel IHS Markit vyplývá, že Mustang si v roce 2017 připsal celkem 125 809 registrací. IHS Markit kompiluje údaje od vládních institucí i z dalších zdrojů a pokrývá 95 procent světového trhu ve více než 80 zemích. </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 xml:space="preserve">„Svět se do Mustangu zamiloval,“ říká analytik Fordu Erich Merkle. „Mustang </w:t>
      </w:r>
      <w:r w:rsidRPr="00FE318D">
        <w:rPr>
          <w:rFonts w:ascii="Arial" w:hAnsi="Arial" w:cs="Arial"/>
          <w:sz w:val="24"/>
        </w:rPr>
        <w:lastRenderedPageBreak/>
        <w:t>představuje to nejlepší z amerického designu, výkonu a svobody. Jeho nezaměnitelná osobnost okouzlí každého – bez ohledu na to, kde bydlí.“</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Z bezmála 126 tisíc Mustangů zaregistrovaných po celém světě připadá 81 866 na USA, kde se tento model také vyrábí.</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 xml:space="preserve">Podle svých vlastních údajů* </w:t>
      </w:r>
      <w:r w:rsidR="00937433">
        <w:rPr>
          <w:rFonts w:ascii="Arial" w:hAnsi="Arial" w:cs="Arial"/>
          <w:sz w:val="24"/>
        </w:rPr>
        <w:t xml:space="preserve">Ford v roce 2017 </w:t>
      </w:r>
      <w:r w:rsidRPr="00FE318D">
        <w:rPr>
          <w:rFonts w:ascii="Arial" w:hAnsi="Arial" w:cs="Arial"/>
          <w:sz w:val="24"/>
        </w:rPr>
        <w:t>prodal v Evropě 13 100 Mustangů. Na 13 evropských trzích včetně Velké Británie a Španělska se Mustang prodával lépe než Porsche 911. Největšími evropskými trhy pro Mustang byly v roce 2017 Německo (5</w:t>
      </w:r>
      <w:r w:rsidR="00937433">
        <w:rPr>
          <w:rFonts w:ascii="Arial" w:hAnsi="Arial" w:cs="Arial"/>
          <w:sz w:val="24"/>
        </w:rPr>
        <w:t xml:space="preserve"> </w:t>
      </w:r>
      <w:r w:rsidRPr="00FE318D">
        <w:rPr>
          <w:rFonts w:ascii="Arial" w:hAnsi="Arial" w:cs="Arial"/>
          <w:sz w:val="24"/>
        </w:rPr>
        <w:t>742), Velká Británie (2</w:t>
      </w:r>
      <w:r w:rsidR="00937433">
        <w:rPr>
          <w:rFonts w:ascii="Arial" w:hAnsi="Arial" w:cs="Arial"/>
          <w:sz w:val="24"/>
        </w:rPr>
        <w:t xml:space="preserve"> </w:t>
      </w:r>
      <w:r w:rsidRPr="00FE318D">
        <w:rPr>
          <w:rFonts w:ascii="Arial" w:hAnsi="Arial" w:cs="Arial"/>
          <w:sz w:val="24"/>
        </w:rPr>
        <w:t>211), Francie (942), Belgie (900) a Švédsko (512).</w:t>
      </w:r>
      <w:r w:rsidR="002236EA" w:rsidRPr="002236EA">
        <w:rPr>
          <w:rFonts w:ascii="Arial" w:hAnsi="Arial" w:cs="Arial"/>
          <w:sz w:val="24"/>
        </w:rPr>
        <w:t xml:space="preserve"> </w:t>
      </w:r>
      <w:r w:rsidR="002236EA">
        <w:rPr>
          <w:rFonts w:ascii="Arial" w:hAnsi="Arial" w:cs="Arial"/>
          <w:sz w:val="24"/>
        </w:rPr>
        <w:t>V České republice se v roce 2017 registrovalo 252 Mustangů.</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Silná zůstává poptávka i v Číně, kde byl Mustang loni se 7</w:t>
      </w:r>
      <w:r w:rsidR="00937433">
        <w:rPr>
          <w:rFonts w:ascii="Arial" w:hAnsi="Arial" w:cs="Arial"/>
          <w:sz w:val="24"/>
        </w:rPr>
        <w:t xml:space="preserve"> </w:t>
      </w:r>
      <w:r w:rsidRPr="00FE318D">
        <w:rPr>
          <w:rFonts w:ascii="Arial" w:hAnsi="Arial" w:cs="Arial"/>
          <w:sz w:val="24"/>
        </w:rPr>
        <w:t xml:space="preserve">125 registracemi nejprodávanějším sportovním kupé. </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 xml:space="preserve">Od zahájení prodeje na exportních trzích v roce 2015 do prosince 2017 prodal Ford po celém světě již 418 000 Mustangů. Nejoblíbenější konfigurací je Mustang GT s motorem 5.0 V8. </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 xml:space="preserve">V Evropě se od roku 2015 ke konci března 2018* prodalo 35 000 Mustangů. </w:t>
      </w:r>
      <w:r w:rsidR="002B4C25">
        <w:rPr>
          <w:rFonts w:ascii="Arial" w:hAnsi="Arial" w:cs="Arial"/>
          <w:sz w:val="24"/>
        </w:rPr>
        <w:t>Letos</w:t>
      </w:r>
      <w:r w:rsidRPr="00FE318D">
        <w:rPr>
          <w:rFonts w:ascii="Arial" w:hAnsi="Arial" w:cs="Arial"/>
          <w:sz w:val="24"/>
        </w:rPr>
        <w:t xml:space="preserve"> uvede Ford na evropské trhy nový Mustang s aktualizovaným exteriérem, luxusnějším interiérem a novým 12“ digitálním přístrojovým štítem. V nabídce pohonných jednotek nebude chybět posílený</w:t>
      </w:r>
      <w:r w:rsidR="002B4C25">
        <w:rPr>
          <w:rFonts w:ascii="Arial" w:hAnsi="Arial" w:cs="Arial"/>
          <w:sz w:val="24"/>
        </w:rPr>
        <w:t xml:space="preserve"> motor 5.0 V8 o výkonu 331 kW a </w:t>
      </w:r>
      <w:r w:rsidRPr="00FE318D">
        <w:rPr>
          <w:rFonts w:ascii="Arial" w:hAnsi="Arial" w:cs="Arial"/>
          <w:sz w:val="24"/>
        </w:rPr>
        <w:t>10stupňová samočinná převodovka. Mustang v této konfiguraci akceleruje z klidu na 100 km/h za 4,3 sekundy, má spotřebu paliva 12,1 l/100 km a emise CO</w:t>
      </w:r>
      <w:r w:rsidRPr="005C4683">
        <w:rPr>
          <w:rFonts w:ascii="Arial" w:hAnsi="Arial" w:cs="Arial"/>
          <w:sz w:val="24"/>
          <w:vertAlign w:val="subscript"/>
        </w:rPr>
        <w:t>2</w:t>
      </w:r>
      <w:r w:rsidRPr="00FE318D">
        <w:rPr>
          <w:rFonts w:ascii="Arial" w:hAnsi="Arial" w:cs="Arial"/>
          <w:sz w:val="24"/>
        </w:rPr>
        <w:t> 270 g/km.**</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K zajímavým technickým novinkám patří podvozek MagneRide</w:t>
      </w:r>
      <w:r w:rsidRPr="005C4683">
        <w:rPr>
          <w:rFonts w:ascii="Arial" w:hAnsi="Arial" w:cs="Arial"/>
          <w:sz w:val="24"/>
          <w:vertAlign w:val="superscript"/>
        </w:rPr>
        <w:t>®</w:t>
      </w:r>
      <w:r w:rsidRPr="00FE318D">
        <w:rPr>
          <w:rFonts w:ascii="Arial" w:hAnsi="Arial" w:cs="Arial"/>
          <w:sz w:val="24"/>
        </w:rPr>
        <w:t xml:space="preserve">, přepínatelné jízdní režimy nebo sportovní výfuk s aktivní klapkou. Paletu asistenčních systémů rozšiřuje předkolizní asistent s detekcí chodců a systém udržování v jízdním pruhu. </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V červnu se navíc začne vyrábět pro evropské trhy speciální edice Mustang Bullitt, která oslavuje 50. výročí legendárního filmu. Mustang Bullitt je poháněn motorem 5.0 V8 o předpokládaném výkonu 341 kW a točivém momentu 529 Nm.*** Součástí jeho sériové výbavy bude audiosystém B&amp;O PLAY o výkonu 1</w:t>
      </w:r>
      <w:r w:rsidR="00E12816">
        <w:rPr>
          <w:rFonts w:ascii="Arial" w:hAnsi="Arial" w:cs="Arial"/>
          <w:sz w:val="24"/>
        </w:rPr>
        <w:t xml:space="preserve"> </w:t>
      </w:r>
      <w:r w:rsidRPr="00FE318D">
        <w:rPr>
          <w:rFonts w:ascii="Arial" w:hAnsi="Arial" w:cs="Arial"/>
          <w:sz w:val="24"/>
        </w:rPr>
        <w:t xml:space="preserve">000 wattů s 12 výkonnými reproduktory. </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r w:rsidRPr="00FE318D">
        <w:rPr>
          <w:rFonts w:ascii="Arial" w:hAnsi="Arial" w:cs="Arial"/>
          <w:sz w:val="24"/>
        </w:rPr>
        <w:t>IHS Markit počítá mezi sportovní kupé dvoudveřové vozy včetně modelů se stahovací střechou.</w:t>
      </w: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Pr="00FE318D" w:rsidRDefault="00FE318D" w:rsidP="00FE318D">
      <w:pPr>
        <w:widowControl w:val="0"/>
        <w:autoSpaceDE w:val="0"/>
        <w:autoSpaceDN w:val="0"/>
        <w:adjustRightInd w:val="0"/>
        <w:spacing w:line="276" w:lineRule="auto"/>
        <w:jc w:val="both"/>
        <w:rPr>
          <w:rFonts w:ascii="Arial" w:hAnsi="Arial" w:cs="Arial"/>
          <w:sz w:val="24"/>
        </w:rPr>
      </w:pPr>
    </w:p>
    <w:p w:rsidR="00FE318D" w:rsidRDefault="00FE318D" w:rsidP="00FE318D">
      <w:pPr>
        <w:spacing w:line="276" w:lineRule="auto"/>
        <w:jc w:val="both"/>
        <w:rPr>
          <w:rFonts w:ascii="Arial" w:hAnsi="Arial" w:cs="Arial"/>
          <w:sz w:val="24"/>
        </w:rPr>
      </w:pPr>
      <w:r>
        <w:rPr>
          <w:rFonts w:ascii="Arial" w:hAnsi="Arial" w:cs="Arial"/>
          <w:sz w:val="24"/>
        </w:rPr>
        <w:br w:type="page"/>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lastRenderedPageBreak/>
        <w:t>MagneRide je registrovaná ochranná známka BWI Group</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t>* Ford of Europe obvykle zveřejňuje výsledky z 20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t>** Uváděné hodnoty spotřeby paliva a emisí CO</w:t>
      </w:r>
      <w:r w:rsidRPr="005C4683">
        <w:rPr>
          <w:rFonts w:ascii="Arial" w:hAnsi="Arial" w:cs="Arial"/>
          <w:sz w:val="22"/>
          <w:szCs w:val="22"/>
          <w:vertAlign w:val="subscript"/>
        </w:rPr>
        <w:t>2</w:t>
      </w:r>
      <w:r w:rsidRPr="00FE318D">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5C4683">
        <w:rPr>
          <w:rFonts w:ascii="Arial" w:hAnsi="Arial" w:cs="Arial"/>
          <w:sz w:val="22"/>
          <w:szCs w:val="22"/>
          <w:vertAlign w:val="subscript"/>
        </w:rPr>
        <w:t>2</w:t>
      </w:r>
      <w:r w:rsidRPr="00FE318D">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5C4683">
        <w:rPr>
          <w:rFonts w:ascii="Arial" w:hAnsi="Arial" w:cs="Arial"/>
          <w:sz w:val="22"/>
          <w:szCs w:val="22"/>
          <w:vertAlign w:val="subscript"/>
        </w:rPr>
        <w:t>2</w:t>
      </w:r>
      <w:r w:rsidRPr="00FE318D">
        <w:rPr>
          <w:rFonts w:ascii="Arial" w:hAnsi="Arial" w:cs="Arial"/>
          <w:sz w:val="22"/>
          <w:szCs w:val="22"/>
        </w:rPr>
        <w:t xml:space="preserve"> patří k nejvýznamnějším skleníkovým plynům, způsobujícím globální oteplování.</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5C4683">
        <w:rPr>
          <w:rFonts w:ascii="Arial" w:hAnsi="Arial" w:cs="Arial"/>
          <w:sz w:val="22"/>
          <w:szCs w:val="22"/>
          <w:vertAlign w:val="subscript"/>
        </w:rPr>
        <w:t>2</w:t>
      </w:r>
      <w:r w:rsidRPr="00FE318D">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5C4683">
        <w:rPr>
          <w:rFonts w:ascii="Arial" w:hAnsi="Arial" w:cs="Arial"/>
          <w:sz w:val="22"/>
          <w:szCs w:val="22"/>
          <w:vertAlign w:val="subscript"/>
        </w:rPr>
        <w:t>2</w:t>
      </w:r>
      <w:r w:rsidRPr="00FE318D">
        <w:rPr>
          <w:rFonts w:ascii="Arial" w:hAnsi="Arial" w:cs="Arial"/>
          <w:sz w:val="22"/>
          <w:szCs w:val="22"/>
        </w:rPr>
        <w:t>. To znamená, že stejný vůz může dle nové metodiky vykazovat jiné hodnoty než dříve.</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t>*** Homologované hodnoty spotřeby paliva a emisí CO</w:t>
      </w:r>
      <w:r w:rsidRPr="005C4683">
        <w:rPr>
          <w:rFonts w:ascii="Arial" w:hAnsi="Arial" w:cs="Arial"/>
          <w:sz w:val="22"/>
          <w:szCs w:val="22"/>
          <w:vertAlign w:val="subscript"/>
        </w:rPr>
        <w:t>2</w:t>
      </w:r>
      <w:r w:rsidRPr="00FE318D">
        <w:rPr>
          <w:rFonts w:ascii="Arial" w:hAnsi="Arial" w:cs="Arial"/>
          <w:sz w:val="22"/>
          <w:szCs w:val="22"/>
        </w:rPr>
        <w:t xml:space="preserve"> budou zveřejněny před uvedením modelu na trh.</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r w:rsidRPr="00FE318D">
        <w:rPr>
          <w:rFonts w:ascii="Arial" w:hAnsi="Arial" w:cs="Arial"/>
          <w:sz w:val="22"/>
          <w:szCs w:val="22"/>
        </w:rPr>
        <w:t>BULLITT i všechny související postavy a prvky © &amp;</w:t>
      </w:r>
      <w:r w:rsidR="00E12816">
        <w:rPr>
          <w:rFonts w:ascii="Arial" w:hAnsi="Arial" w:cs="Arial"/>
          <w:sz w:val="22"/>
          <w:szCs w:val="22"/>
        </w:rPr>
        <w:t xml:space="preserve"> </w:t>
      </w:r>
      <w:r w:rsidRPr="005C4683">
        <w:rPr>
          <w:rFonts w:ascii="Arial" w:hAnsi="Arial" w:cs="Arial"/>
          <w:sz w:val="22"/>
          <w:szCs w:val="22"/>
          <w:vertAlign w:val="superscript"/>
        </w:rPr>
        <w:t>TM</w:t>
      </w:r>
      <w:r w:rsidR="00E12816">
        <w:rPr>
          <w:rFonts w:ascii="Arial" w:hAnsi="Arial" w:cs="Arial"/>
          <w:sz w:val="22"/>
          <w:szCs w:val="22"/>
          <w:vertAlign w:val="superscript"/>
        </w:rPr>
        <w:t xml:space="preserve"> </w:t>
      </w:r>
      <w:r w:rsidRPr="00FE318D">
        <w:rPr>
          <w:rFonts w:ascii="Arial" w:hAnsi="Arial" w:cs="Arial"/>
          <w:sz w:val="22"/>
          <w:szCs w:val="22"/>
        </w:rPr>
        <w:t>Warner Bros. Entertainment Inc. (s18)</w:t>
      </w:r>
    </w:p>
    <w:p w:rsidR="00FE318D" w:rsidRPr="00FE318D" w:rsidRDefault="00FE318D" w:rsidP="00FE318D">
      <w:pPr>
        <w:widowControl w:val="0"/>
        <w:autoSpaceDE w:val="0"/>
        <w:autoSpaceDN w:val="0"/>
        <w:adjustRightInd w:val="0"/>
        <w:spacing w:line="276" w:lineRule="auto"/>
        <w:jc w:val="both"/>
        <w:rPr>
          <w:rFonts w:ascii="Arial" w:hAnsi="Arial" w:cs="Arial"/>
          <w:sz w:val="22"/>
          <w:szCs w:val="22"/>
        </w:rPr>
      </w:pPr>
    </w:p>
    <w:p w:rsidR="00FF5A06" w:rsidRPr="00FE318D" w:rsidRDefault="00FF5A06" w:rsidP="00FE318D">
      <w:pPr>
        <w:widowControl w:val="0"/>
        <w:autoSpaceDE w:val="0"/>
        <w:autoSpaceDN w:val="0"/>
        <w:adjustRightInd w:val="0"/>
        <w:spacing w:line="276" w:lineRule="auto"/>
        <w:jc w:val="both"/>
        <w:rPr>
          <w:rFonts w:ascii="Arial" w:hAnsi="Arial" w:cs="Arial"/>
          <w:sz w:val="22"/>
          <w:szCs w:val="22"/>
        </w:rPr>
      </w:pPr>
    </w:p>
    <w:sectPr w:rsidR="00FF5A06" w:rsidRPr="00FE318D"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7E" w:rsidRDefault="0071057E">
      <w:r>
        <w:separator/>
      </w:r>
    </w:p>
  </w:endnote>
  <w:endnote w:type="continuationSeparator" w:id="0">
    <w:p w:rsidR="0071057E" w:rsidRDefault="0071057E">
      <w:r>
        <w:continuationSeparator/>
      </w:r>
    </w:p>
  </w:endnote>
  <w:endnote w:type="continuationNotice" w:id="1">
    <w:p w:rsidR="0071057E" w:rsidRDefault="0071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altName w:val="Courier Ne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7E" w:rsidRDefault="0071057E">
      <w:r>
        <w:separator/>
      </w:r>
    </w:p>
  </w:footnote>
  <w:footnote w:type="continuationSeparator" w:id="0">
    <w:p w:rsidR="0071057E" w:rsidRDefault="0071057E">
      <w:r>
        <w:continuationSeparator/>
      </w:r>
    </w:p>
  </w:footnote>
  <w:footnote w:type="continuationNotice" w:id="1">
    <w:p w:rsidR="0071057E" w:rsidRDefault="007105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FA3346"/>
    <w:multiLevelType w:val="hybridMultilevel"/>
    <w:tmpl w:val="1664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8"/>
  </w:num>
  <w:num w:numId="13">
    <w:abstractNumId w:val="40"/>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36EA"/>
    <w:rsid w:val="00224505"/>
    <w:rsid w:val="00230CAD"/>
    <w:rsid w:val="002311B3"/>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4C25"/>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457"/>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4683"/>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057E"/>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37433"/>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5FE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374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0EA"/>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10B"/>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816"/>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18D"/>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9058-62E2-4190-AF8D-06E99002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781</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6</cp:revision>
  <cp:lastPrinted>2017-03-15T14:07:00Z</cp:lastPrinted>
  <dcterms:created xsi:type="dcterms:W3CDTF">2018-04-18T11:00:00Z</dcterms:created>
  <dcterms:modified xsi:type="dcterms:W3CDTF">2018-04-18T12:31:00Z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