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6730" w14:textId="77777777" w:rsidR="0021221F" w:rsidRDefault="0021221F"/>
    <w:p w14:paraId="287D92E7" w14:textId="77777777" w:rsidR="0021221F" w:rsidRDefault="0021221F"/>
    <w:tbl>
      <w:tblPr>
        <w:tblW w:w="9558" w:type="dxa"/>
        <w:tblLook w:val="01E0" w:firstRow="1" w:lastRow="1" w:firstColumn="1" w:lastColumn="1" w:noHBand="0" w:noVBand="0"/>
      </w:tblPr>
      <w:tblGrid>
        <w:gridCol w:w="4813"/>
        <w:gridCol w:w="4745"/>
      </w:tblGrid>
      <w:tr w:rsidR="005B2A05" w:rsidRPr="000A5F08" w14:paraId="13DDBFAA" w14:textId="77777777" w:rsidTr="00521BC0">
        <w:trPr>
          <w:trHeight w:val="1027"/>
        </w:trPr>
        <w:tc>
          <w:tcPr>
            <w:tcW w:w="4813" w:type="dxa"/>
          </w:tcPr>
          <w:p w14:paraId="7479620F" w14:textId="77777777" w:rsidR="00041DF8" w:rsidRPr="0021221F" w:rsidRDefault="00041DF8" w:rsidP="00041DF8">
            <w:pPr>
              <w:rPr>
                <w:rFonts w:ascii="Arial" w:hAnsi="Arial" w:cs="Arial"/>
                <w:b/>
                <w:lang w:val="nb-NO"/>
              </w:rPr>
            </w:pPr>
            <w:r w:rsidRPr="0021221F">
              <w:rPr>
                <w:rFonts w:ascii="Arial" w:hAnsi="Arial" w:cs="Arial"/>
                <w:b/>
                <w:lang w:val="nb-NO"/>
              </w:rPr>
              <w:t xml:space="preserve">Capgemini </w:t>
            </w:r>
            <w:r w:rsidR="0021221F" w:rsidRPr="0021221F">
              <w:rPr>
                <w:rFonts w:ascii="Arial" w:hAnsi="Arial" w:cs="Arial"/>
                <w:b/>
                <w:lang w:val="nb-NO"/>
              </w:rPr>
              <w:t>pressekonta</w:t>
            </w:r>
            <w:r w:rsidR="00272789">
              <w:rPr>
                <w:rFonts w:ascii="Arial" w:hAnsi="Arial" w:cs="Arial"/>
                <w:b/>
                <w:lang w:val="nb-NO"/>
              </w:rPr>
              <w:t>k</w:t>
            </w:r>
            <w:r w:rsidRPr="0021221F">
              <w:rPr>
                <w:rFonts w:ascii="Arial" w:hAnsi="Arial" w:cs="Arial"/>
                <w:b/>
                <w:lang w:val="nb-NO"/>
              </w:rPr>
              <w:t>t:</w:t>
            </w:r>
          </w:p>
          <w:p w14:paraId="6FB3D7DA" w14:textId="77777777" w:rsidR="00330FA4" w:rsidRPr="0021221F" w:rsidRDefault="0021221F" w:rsidP="00041DF8">
            <w:pPr>
              <w:rPr>
                <w:rFonts w:ascii="Arial" w:hAnsi="Arial" w:cs="Arial"/>
                <w:i/>
                <w:lang w:val="nb-NO"/>
              </w:rPr>
            </w:pPr>
            <w:r w:rsidRPr="0021221F">
              <w:rPr>
                <w:rFonts w:ascii="Arial" w:hAnsi="Arial" w:cs="Arial"/>
                <w:i/>
                <w:lang w:val="nb-NO"/>
              </w:rPr>
              <w:t>Gunilla Resare</w:t>
            </w:r>
          </w:p>
          <w:p w14:paraId="616CB084" w14:textId="77777777" w:rsidR="007728D4" w:rsidRPr="0021221F" w:rsidRDefault="0021221F" w:rsidP="00041DF8">
            <w:pPr>
              <w:rPr>
                <w:rFonts w:ascii="Arial" w:hAnsi="Arial" w:cs="Arial"/>
                <w:i/>
                <w:lang w:val="nb-NO"/>
              </w:rPr>
            </w:pPr>
            <w:r w:rsidRPr="0021221F">
              <w:rPr>
                <w:rFonts w:ascii="Arial" w:hAnsi="Arial" w:cs="Arial"/>
                <w:i/>
                <w:lang w:val="nb-NO"/>
              </w:rPr>
              <w:t xml:space="preserve">Tel: + 47 45 00 25 42 </w:t>
            </w:r>
          </w:p>
          <w:p w14:paraId="21BCAE91" w14:textId="77777777" w:rsidR="00857A01" w:rsidRPr="002A26F5" w:rsidRDefault="00857A01" w:rsidP="00041DF8">
            <w:pPr>
              <w:rPr>
                <w:rFonts w:ascii="Arial" w:hAnsi="Arial" w:cs="Arial"/>
                <w:i/>
                <w:lang w:val="fr-FR"/>
              </w:rPr>
            </w:pPr>
            <w:r w:rsidRPr="002A26F5">
              <w:rPr>
                <w:rFonts w:ascii="Arial" w:hAnsi="Arial" w:cs="Arial"/>
                <w:i/>
                <w:lang w:val="fr-FR"/>
              </w:rPr>
              <w:t xml:space="preserve">E-mail: </w:t>
            </w:r>
            <w:r w:rsidR="00877D1C">
              <w:fldChar w:fldCharType="begin"/>
            </w:r>
            <w:r w:rsidR="00877D1C">
              <w:instrText xml:space="preserve"> HYPERLINK "mailto:gunilla.resare@capgemini.com" </w:instrText>
            </w:r>
            <w:r w:rsidR="00877D1C">
              <w:fldChar w:fldCharType="separate"/>
            </w:r>
            <w:r w:rsidR="0021221F" w:rsidRPr="005A4B88">
              <w:rPr>
                <w:rStyle w:val="Hyperkobling"/>
                <w:rFonts w:ascii="Arial" w:hAnsi="Arial" w:cs="Arial"/>
                <w:i/>
                <w:lang w:val="fr-FR"/>
              </w:rPr>
              <w:t>gunilla.resare@capgemini.com</w:t>
            </w:r>
            <w:r w:rsidR="00877D1C">
              <w:rPr>
                <w:rStyle w:val="Hyperkobling"/>
                <w:rFonts w:ascii="Arial" w:hAnsi="Arial" w:cs="Arial"/>
                <w:i/>
                <w:lang w:val="fr-FR"/>
              </w:rPr>
              <w:fldChar w:fldCharType="end"/>
            </w:r>
          </w:p>
          <w:p w14:paraId="5E81B8C1" w14:textId="77777777" w:rsidR="00857A01" w:rsidRPr="002A26F5" w:rsidRDefault="00857A01" w:rsidP="00041DF8">
            <w:pPr>
              <w:rPr>
                <w:rFonts w:ascii="Arial" w:hAnsi="Arial" w:cs="Arial"/>
                <w:i/>
                <w:lang w:val="fr-FR"/>
              </w:rPr>
            </w:pPr>
          </w:p>
          <w:p w14:paraId="3199BA47" w14:textId="77777777" w:rsidR="00857A01" w:rsidRPr="00521BC0" w:rsidRDefault="00857A01" w:rsidP="00041DF8">
            <w:pPr>
              <w:rPr>
                <w:rFonts w:ascii="Arial" w:hAnsi="Arial" w:cs="Arial"/>
                <w:i/>
                <w:lang w:val="fr-BE"/>
              </w:rPr>
            </w:pPr>
          </w:p>
          <w:p w14:paraId="718BFA6D" w14:textId="77777777" w:rsidR="005B2A05" w:rsidRPr="00521BC0" w:rsidRDefault="00521BC0" w:rsidP="00521BC0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fr-BE"/>
              </w:rPr>
            </w:pPr>
            <w:r w:rsidRPr="00D0749E">
              <w:rPr>
                <w:rFonts w:ascii="Calibri" w:hAnsi="Calibri"/>
                <w:color w:val="1F497D"/>
                <w:sz w:val="22"/>
                <w:szCs w:val="22"/>
                <w:lang w:val="fr-FR"/>
              </w:rPr>
              <w:br/>
            </w:r>
          </w:p>
        </w:tc>
        <w:tc>
          <w:tcPr>
            <w:tcW w:w="4745" w:type="dxa"/>
          </w:tcPr>
          <w:p w14:paraId="22131020" w14:textId="77777777" w:rsidR="006A68F2" w:rsidRPr="00272789" w:rsidRDefault="006A68F2" w:rsidP="00B21DA7">
            <w:pPr>
              <w:jc w:val="right"/>
              <w:rPr>
                <w:rFonts w:ascii="Arial" w:hAnsi="Arial" w:cs="Arial"/>
                <w:b/>
                <w:lang w:val="nb-NO"/>
              </w:rPr>
            </w:pPr>
            <w:r w:rsidRPr="00272789">
              <w:rPr>
                <w:rFonts w:ascii="Arial" w:hAnsi="Arial" w:cs="Arial"/>
                <w:b/>
                <w:lang w:val="nb-NO"/>
              </w:rPr>
              <w:t xml:space="preserve">BNP Paribas </w:t>
            </w:r>
            <w:r w:rsidR="0021221F" w:rsidRPr="00272789">
              <w:rPr>
                <w:rFonts w:ascii="Arial" w:hAnsi="Arial" w:cs="Arial"/>
                <w:b/>
                <w:lang w:val="nb-NO"/>
              </w:rPr>
              <w:t>pressekontakt</w:t>
            </w:r>
            <w:r w:rsidRPr="00272789">
              <w:rPr>
                <w:rFonts w:ascii="Arial" w:hAnsi="Arial" w:cs="Arial"/>
                <w:b/>
                <w:lang w:val="nb-NO"/>
              </w:rPr>
              <w:t>:</w:t>
            </w:r>
          </w:p>
          <w:p w14:paraId="505E5E16" w14:textId="77777777" w:rsidR="00521BC0" w:rsidRPr="00272789" w:rsidRDefault="00521BC0" w:rsidP="00B21DA7">
            <w:pPr>
              <w:jc w:val="right"/>
              <w:rPr>
                <w:rFonts w:ascii="Arial" w:hAnsi="Arial" w:cs="Arial"/>
                <w:i/>
                <w:lang w:val="nb-NO"/>
              </w:rPr>
            </w:pPr>
            <w:proofErr w:type="spellStart"/>
            <w:r w:rsidRPr="00272789">
              <w:rPr>
                <w:rFonts w:ascii="Arial" w:hAnsi="Arial" w:cs="Arial"/>
                <w:i/>
                <w:lang w:val="nb-NO"/>
              </w:rPr>
              <w:t>Malka</w:t>
            </w:r>
            <w:proofErr w:type="spellEnd"/>
            <w:r w:rsidRPr="00272789">
              <w:rPr>
                <w:rFonts w:ascii="Arial" w:hAnsi="Arial" w:cs="Arial"/>
                <w:i/>
                <w:lang w:val="nb-NO"/>
              </w:rPr>
              <w:t xml:space="preserve"> </w:t>
            </w:r>
            <w:proofErr w:type="spellStart"/>
            <w:r w:rsidRPr="00272789">
              <w:rPr>
                <w:rFonts w:ascii="Arial" w:hAnsi="Arial" w:cs="Arial"/>
                <w:i/>
                <w:lang w:val="nb-NO"/>
              </w:rPr>
              <w:t>Nusynowicz</w:t>
            </w:r>
            <w:proofErr w:type="spellEnd"/>
          </w:p>
          <w:p w14:paraId="4F4C5040" w14:textId="6991C607" w:rsidR="005B2A05" w:rsidRPr="00D0749E" w:rsidRDefault="00D27E31" w:rsidP="00B21DA7">
            <w:pPr>
              <w:jc w:val="right"/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Tel</w:t>
            </w:r>
            <w:r w:rsidR="005B2A05" w:rsidRPr="00D0749E">
              <w:rPr>
                <w:rFonts w:ascii="Arial" w:hAnsi="Arial" w:cs="Arial"/>
                <w:i/>
                <w:lang w:val="fr-FR"/>
              </w:rPr>
              <w:t xml:space="preserve">:+ </w:t>
            </w:r>
            <w:r w:rsidR="00521BC0" w:rsidRPr="00D0749E">
              <w:rPr>
                <w:rFonts w:ascii="Arial" w:hAnsi="Arial" w:cs="Arial"/>
                <w:i/>
                <w:lang w:val="fr-FR"/>
              </w:rPr>
              <w:t>34 932 16 03 68</w:t>
            </w:r>
          </w:p>
          <w:p w14:paraId="3DAF946C" w14:textId="77777777" w:rsidR="005B2A05" w:rsidRPr="00D0749E" w:rsidRDefault="005B2A05" w:rsidP="00521BC0">
            <w:pPr>
              <w:jc w:val="right"/>
              <w:rPr>
                <w:rFonts w:ascii="Arial" w:hAnsi="Arial" w:cs="Arial"/>
                <w:lang w:val="fr-FR"/>
              </w:rPr>
            </w:pPr>
            <w:r w:rsidRPr="00D0749E">
              <w:rPr>
                <w:rFonts w:ascii="Arial" w:hAnsi="Arial" w:cs="Arial"/>
                <w:i/>
                <w:lang w:val="fr-FR"/>
              </w:rPr>
              <w:t xml:space="preserve">E-mail: </w:t>
            </w:r>
            <w:hyperlink r:id="rId7" w:tgtFrame="_blank" w:history="1">
              <w:r w:rsidR="00521BC0" w:rsidRPr="00D0749E">
                <w:rPr>
                  <w:rStyle w:val="Hyperkobling"/>
                  <w:rFonts w:ascii="Calibri" w:hAnsi="Calibri"/>
                  <w:sz w:val="22"/>
                  <w:szCs w:val="22"/>
                  <w:lang w:val="fr-FR"/>
                </w:rPr>
                <w:t>malka.nusynowicz@bnpparibas.com</w:t>
              </w:r>
            </w:hyperlink>
          </w:p>
        </w:tc>
      </w:tr>
    </w:tbl>
    <w:p w14:paraId="3D0E9AB9" w14:textId="77777777" w:rsidR="00533E04" w:rsidRDefault="0021221F" w:rsidP="0021221F">
      <w:pPr>
        <w:jc w:val="center"/>
        <w:rPr>
          <w:rFonts w:ascii="Arial" w:hAnsi="Arial" w:cs="Arial"/>
          <w:b/>
          <w:sz w:val="24"/>
          <w:szCs w:val="24"/>
          <w:lang w:val="nb-NO"/>
        </w:rPr>
      </w:pPr>
      <w:r w:rsidRPr="0021221F">
        <w:rPr>
          <w:rFonts w:ascii="Arial" w:hAnsi="Arial" w:cs="Arial"/>
          <w:b/>
          <w:sz w:val="24"/>
          <w:szCs w:val="24"/>
          <w:lang w:val="nb-NO"/>
        </w:rPr>
        <w:t>Digital betaling øker over hele verden</w:t>
      </w:r>
    </w:p>
    <w:p w14:paraId="74528D5C" w14:textId="77777777" w:rsidR="0021221F" w:rsidRPr="0021221F" w:rsidRDefault="0021221F" w:rsidP="0021221F">
      <w:pPr>
        <w:jc w:val="center"/>
        <w:rPr>
          <w:rFonts w:ascii="Arial" w:hAnsi="Arial" w:cs="Arial"/>
          <w:b/>
          <w:sz w:val="24"/>
          <w:szCs w:val="24"/>
          <w:lang w:val="nb-NO"/>
        </w:rPr>
      </w:pPr>
    </w:p>
    <w:p w14:paraId="1E0600AE" w14:textId="52402654" w:rsidR="0021221F" w:rsidRPr="00272789" w:rsidRDefault="0021221F" w:rsidP="0021221F">
      <w:pPr>
        <w:spacing w:line="360" w:lineRule="auto"/>
        <w:jc w:val="both"/>
        <w:rPr>
          <w:rFonts w:ascii="Arial" w:hAnsi="Arial" w:cs="Arial"/>
          <w:lang w:val="nb-NO"/>
        </w:rPr>
      </w:pPr>
      <w:r w:rsidRPr="00272789">
        <w:rPr>
          <w:rFonts w:ascii="Arial" w:hAnsi="Arial" w:cs="Arial"/>
          <w:b/>
          <w:lang w:val="nb-NO"/>
        </w:rPr>
        <w:t xml:space="preserve">Oslo, 9. </w:t>
      </w:r>
      <w:r w:rsidRPr="0021221F">
        <w:rPr>
          <w:rFonts w:ascii="Arial" w:hAnsi="Arial" w:cs="Arial"/>
          <w:b/>
          <w:lang w:val="nb-NO"/>
        </w:rPr>
        <w:t>Oktober</w:t>
      </w:r>
      <w:r w:rsidR="00533E04" w:rsidRPr="0021221F">
        <w:rPr>
          <w:rFonts w:ascii="Arial" w:hAnsi="Arial" w:cs="Arial"/>
          <w:b/>
          <w:lang w:val="nb-NO"/>
        </w:rPr>
        <w:t>, 2017</w:t>
      </w:r>
      <w:r w:rsidR="00857A01" w:rsidRPr="0021221F">
        <w:rPr>
          <w:rFonts w:ascii="Arial" w:hAnsi="Arial" w:cs="Arial"/>
          <w:b/>
          <w:lang w:val="nb-NO"/>
        </w:rPr>
        <w:t xml:space="preserve"> </w:t>
      </w:r>
      <w:r>
        <w:rPr>
          <w:rFonts w:ascii="Arial" w:hAnsi="Arial" w:cs="Arial"/>
          <w:lang w:val="nb-NO"/>
        </w:rPr>
        <w:t>-</w:t>
      </w:r>
      <w:r w:rsidRPr="0021221F">
        <w:rPr>
          <w:b/>
          <w:lang w:val="nb-NO"/>
        </w:rPr>
        <w:t xml:space="preserve"> </w:t>
      </w:r>
      <w:r w:rsidRPr="0021221F">
        <w:rPr>
          <w:rFonts w:ascii="Arial" w:hAnsi="Arial" w:cs="Arial"/>
          <w:b/>
          <w:lang w:val="nb-NO"/>
        </w:rPr>
        <w:t xml:space="preserve">Digitale betalingsløsninger </w:t>
      </w:r>
      <w:r w:rsidR="007E7D52">
        <w:rPr>
          <w:rFonts w:ascii="Arial" w:hAnsi="Arial" w:cs="Arial"/>
          <w:b/>
          <w:lang w:val="nb-NO"/>
        </w:rPr>
        <w:t>utgjør en</w:t>
      </w:r>
      <w:r w:rsidRPr="0021221F">
        <w:rPr>
          <w:rFonts w:ascii="Arial" w:hAnsi="Arial" w:cs="Arial"/>
          <w:b/>
          <w:lang w:val="nb-NO"/>
        </w:rPr>
        <w:t xml:space="preserve"> stadig større del av verdens transaksjoner. I følge </w:t>
      </w:r>
      <w:hyperlink r:id="rId8" w:history="1">
        <w:r w:rsidRPr="0021221F">
          <w:rPr>
            <w:rStyle w:val="Hyperkobling"/>
            <w:rFonts w:ascii="Arial" w:hAnsi="Arial" w:cs="Arial"/>
            <w:b/>
            <w:lang w:val="nb-NO"/>
          </w:rPr>
          <w:t xml:space="preserve">World </w:t>
        </w:r>
        <w:proofErr w:type="spellStart"/>
        <w:r w:rsidRPr="0021221F">
          <w:rPr>
            <w:rStyle w:val="Hyperkobling"/>
            <w:rFonts w:ascii="Arial" w:hAnsi="Arial" w:cs="Arial"/>
            <w:b/>
            <w:lang w:val="nb-NO"/>
          </w:rPr>
          <w:t>Payment</w:t>
        </w:r>
        <w:proofErr w:type="spellEnd"/>
        <w:r w:rsidRPr="0021221F">
          <w:rPr>
            <w:rStyle w:val="Hyperkobling"/>
            <w:rFonts w:ascii="Arial" w:hAnsi="Arial" w:cs="Arial"/>
            <w:b/>
            <w:lang w:val="nb-NO"/>
          </w:rPr>
          <w:t xml:space="preserve"> Report 2017</w:t>
        </w:r>
      </w:hyperlink>
      <w:r w:rsidRPr="0021221F">
        <w:rPr>
          <w:rFonts w:ascii="Arial" w:hAnsi="Arial" w:cs="Arial"/>
          <w:b/>
          <w:lang w:val="nb-NO"/>
        </w:rPr>
        <w:t xml:space="preserve"> (WPR 2017) fra konsulentselskapet </w:t>
      </w:r>
      <w:hyperlink r:id="rId9" w:history="1">
        <w:r w:rsidRPr="0021221F">
          <w:rPr>
            <w:rStyle w:val="Hyperkobling"/>
            <w:rFonts w:ascii="Arial" w:hAnsi="Arial" w:cs="Arial"/>
            <w:b/>
            <w:lang w:val="nb-NO"/>
          </w:rPr>
          <w:t>Capgemini</w:t>
        </w:r>
      </w:hyperlink>
      <w:r w:rsidRPr="0021221F">
        <w:rPr>
          <w:rFonts w:ascii="Arial" w:hAnsi="Arial" w:cs="Arial"/>
          <w:b/>
          <w:lang w:val="nb-NO"/>
        </w:rPr>
        <w:t xml:space="preserve"> og den europeiske storbanken </w:t>
      </w:r>
      <w:hyperlink r:id="rId10" w:history="1">
        <w:r w:rsidRPr="0021221F">
          <w:rPr>
            <w:rStyle w:val="Hyperkobling"/>
            <w:rFonts w:ascii="Arial" w:hAnsi="Arial" w:cs="Arial"/>
            <w:b/>
            <w:lang w:val="nb-NO"/>
          </w:rPr>
          <w:t>BNP Paribas</w:t>
        </w:r>
      </w:hyperlink>
      <w:r w:rsidRPr="0021221F">
        <w:rPr>
          <w:rFonts w:ascii="Arial" w:hAnsi="Arial" w:cs="Arial"/>
          <w:b/>
          <w:lang w:val="nb-NO"/>
        </w:rPr>
        <w:t>, så er det forventet en</w:t>
      </w:r>
      <w:r w:rsidR="007E7D52">
        <w:rPr>
          <w:rFonts w:ascii="Arial" w:hAnsi="Arial" w:cs="Arial"/>
          <w:b/>
          <w:lang w:val="nb-NO"/>
        </w:rPr>
        <w:t xml:space="preserve"> </w:t>
      </w:r>
      <w:r w:rsidR="00FE340C">
        <w:rPr>
          <w:rFonts w:ascii="Arial" w:hAnsi="Arial" w:cs="Arial"/>
          <w:b/>
          <w:lang w:val="nb-NO"/>
        </w:rPr>
        <w:t>gjennomsnittlig</w:t>
      </w:r>
      <w:r w:rsidRPr="0021221F">
        <w:rPr>
          <w:rFonts w:ascii="Arial" w:hAnsi="Arial" w:cs="Arial"/>
          <w:b/>
          <w:lang w:val="nb-NO"/>
        </w:rPr>
        <w:t xml:space="preserve"> økning</w:t>
      </w:r>
      <w:r w:rsidR="007E7D52">
        <w:rPr>
          <w:rFonts w:ascii="Arial" w:hAnsi="Arial" w:cs="Arial"/>
          <w:b/>
          <w:lang w:val="nb-NO"/>
        </w:rPr>
        <w:t xml:space="preserve"> på 10,9 prosent</w:t>
      </w:r>
      <w:r w:rsidRPr="0021221F">
        <w:rPr>
          <w:rFonts w:ascii="Arial" w:hAnsi="Arial" w:cs="Arial"/>
          <w:b/>
          <w:lang w:val="nb-NO"/>
        </w:rPr>
        <w:t xml:space="preserve"> </w:t>
      </w:r>
      <w:r w:rsidR="00525F9B">
        <w:rPr>
          <w:rFonts w:ascii="Arial" w:hAnsi="Arial" w:cs="Arial"/>
          <w:b/>
          <w:lang w:val="nb-NO"/>
        </w:rPr>
        <w:t xml:space="preserve">i </w:t>
      </w:r>
      <w:r w:rsidR="007E7D52">
        <w:rPr>
          <w:rFonts w:ascii="Arial" w:hAnsi="Arial" w:cs="Arial"/>
          <w:b/>
          <w:lang w:val="nb-NO"/>
        </w:rPr>
        <w:t xml:space="preserve">antall </w:t>
      </w:r>
      <w:r w:rsidRPr="0021221F">
        <w:rPr>
          <w:rFonts w:ascii="Arial" w:hAnsi="Arial" w:cs="Arial"/>
          <w:b/>
          <w:lang w:val="nb-NO"/>
        </w:rPr>
        <w:t xml:space="preserve">digitale </w:t>
      </w:r>
      <w:r w:rsidR="00011FBB">
        <w:rPr>
          <w:rFonts w:ascii="Arial" w:hAnsi="Arial" w:cs="Arial"/>
          <w:b/>
          <w:lang w:val="nb-NO"/>
        </w:rPr>
        <w:t>transaksjoner</w:t>
      </w:r>
      <w:r w:rsidR="007E7D52">
        <w:rPr>
          <w:rFonts w:ascii="Arial" w:hAnsi="Arial" w:cs="Arial"/>
          <w:b/>
          <w:lang w:val="nb-NO"/>
        </w:rPr>
        <w:t xml:space="preserve"> frem til år</w:t>
      </w:r>
      <w:r w:rsidRPr="0021221F">
        <w:rPr>
          <w:rFonts w:ascii="Arial" w:hAnsi="Arial" w:cs="Arial"/>
          <w:b/>
          <w:lang w:val="nb-NO"/>
        </w:rPr>
        <w:t xml:space="preserve"> 2020. </w:t>
      </w:r>
      <w:r w:rsidRPr="00272789">
        <w:rPr>
          <w:rFonts w:ascii="Arial" w:hAnsi="Arial" w:cs="Arial"/>
          <w:b/>
          <w:lang w:val="nb-NO"/>
        </w:rPr>
        <w:t>D</w:t>
      </w:r>
      <w:r w:rsidR="007E7D52">
        <w:rPr>
          <w:rFonts w:ascii="Arial" w:hAnsi="Arial" w:cs="Arial"/>
          <w:b/>
          <w:lang w:val="nb-NO"/>
        </w:rPr>
        <w:t xml:space="preserve">a vil antall globale transaksjoner </w:t>
      </w:r>
      <w:r w:rsidR="00011FBB">
        <w:rPr>
          <w:rFonts w:ascii="Arial" w:hAnsi="Arial" w:cs="Arial"/>
          <w:b/>
          <w:lang w:val="nb-NO"/>
        </w:rPr>
        <w:t xml:space="preserve">tilsvare </w:t>
      </w:r>
      <w:r w:rsidRPr="00272789">
        <w:rPr>
          <w:rFonts w:ascii="Arial" w:hAnsi="Arial" w:cs="Arial"/>
          <w:b/>
          <w:lang w:val="nb-NO"/>
        </w:rPr>
        <w:t xml:space="preserve">726 </w:t>
      </w:r>
      <w:r w:rsidR="007E7D52" w:rsidRPr="00272789">
        <w:rPr>
          <w:rFonts w:ascii="Arial" w:hAnsi="Arial" w:cs="Arial"/>
          <w:b/>
          <w:lang w:val="nb-NO"/>
        </w:rPr>
        <w:t>milliarder</w:t>
      </w:r>
      <w:r w:rsidR="007E7D52">
        <w:rPr>
          <w:rFonts w:ascii="Arial" w:hAnsi="Arial" w:cs="Arial"/>
          <w:b/>
          <w:lang w:val="nb-NO"/>
        </w:rPr>
        <w:t>.</w:t>
      </w:r>
    </w:p>
    <w:p w14:paraId="6754C93B" w14:textId="77777777" w:rsidR="0021221F" w:rsidRPr="00272789" w:rsidRDefault="0021221F" w:rsidP="0021221F">
      <w:pPr>
        <w:rPr>
          <w:lang w:val="nb-NO"/>
        </w:rPr>
      </w:pPr>
    </w:p>
    <w:p w14:paraId="3AB8DB37" w14:textId="130C09E7" w:rsidR="0001111E" w:rsidRPr="0001111E" w:rsidRDefault="0001111E" w:rsidP="0001111E">
      <w:pPr>
        <w:spacing w:line="360" w:lineRule="auto"/>
        <w:jc w:val="both"/>
        <w:rPr>
          <w:rFonts w:ascii="Arial" w:hAnsi="Arial" w:cs="Arial"/>
          <w:lang w:val="nb-NO"/>
        </w:rPr>
      </w:pPr>
      <w:r w:rsidRPr="0001111E">
        <w:rPr>
          <w:rFonts w:ascii="Arial" w:hAnsi="Arial" w:cs="Arial"/>
          <w:lang w:val="nb-NO"/>
        </w:rPr>
        <w:t xml:space="preserve">På globalt nivå vokste </w:t>
      </w:r>
      <w:proofErr w:type="spellStart"/>
      <w:r w:rsidRPr="0001111E">
        <w:rPr>
          <w:rFonts w:ascii="Arial" w:hAnsi="Arial" w:cs="Arial"/>
          <w:lang w:val="nb-NO"/>
        </w:rPr>
        <w:t>kontantløse</w:t>
      </w:r>
      <w:proofErr w:type="spellEnd"/>
      <w:r w:rsidRPr="0001111E">
        <w:rPr>
          <w:rFonts w:ascii="Arial" w:hAnsi="Arial" w:cs="Arial"/>
          <w:lang w:val="nb-NO"/>
        </w:rPr>
        <w:t xml:space="preserve"> betalinger med 11,2 prosent, hvilket utgjør 433,1 milliarder</w:t>
      </w:r>
      <w:r w:rsidR="001571D6" w:rsidRPr="001571D6">
        <w:rPr>
          <w:rFonts w:ascii="Arial" w:hAnsi="Arial" w:cs="Arial"/>
          <w:lang w:val="nb-NO"/>
        </w:rPr>
        <w:t xml:space="preserve"> </w:t>
      </w:r>
      <w:r w:rsidR="001571D6" w:rsidRPr="0001111E">
        <w:rPr>
          <w:rFonts w:ascii="Arial" w:hAnsi="Arial" w:cs="Arial"/>
          <w:lang w:val="nb-NO"/>
        </w:rPr>
        <w:t>transaksjoner</w:t>
      </w:r>
      <w:r w:rsidRPr="0001111E">
        <w:rPr>
          <w:rFonts w:ascii="Arial" w:hAnsi="Arial" w:cs="Arial"/>
          <w:lang w:val="nb-NO"/>
        </w:rPr>
        <w:t xml:space="preserve">. I utviklingsøkonomier vokser </w:t>
      </w:r>
      <w:proofErr w:type="spellStart"/>
      <w:r w:rsidRPr="0001111E">
        <w:rPr>
          <w:rFonts w:ascii="Arial" w:hAnsi="Arial" w:cs="Arial"/>
          <w:lang w:val="nb-NO"/>
        </w:rPr>
        <w:t>kontantløse</w:t>
      </w:r>
      <w:proofErr w:type="spellEnd"/>
      <w:r w:rsidRPr="0001111E">
        <w:rPr>
          <w:rFonts w:ascii="Arial" w:hAnsi="Arial" w:cs="Arial"/>
          <w:lang w:val="nb-NO"/>
        </w:rPr>
        <w:t xml:space="preserve"> betalinger raskere og i gjennomsnitt</w:t>
      </w:r>
      <w:r w:rsidR="001571D6">
        <w:rPr>
          <w:rFonts w:ascii="Arial" w:hAnsi="Arial" w:cs="Arial"/>
          <w:lang w:val="nb-NO"/>
        </w:rPr>
        <w:t xml:space="preserve"> med</w:t>
      </w:r>
      <w:r w:rsidRPr="0001111E">
        <w:rPr>
          <w:rFonts w:ascii="Arial" w:hAnsi="Arial" w:cs="Arial"/>
          <w:lang w:val="nb-NO"/>
        </w:rPr>
        <w:t xml:space="preserve"> 21,6 prosent. Størst økning ser vi </w:t>
      </w:r>
      <w:r>
        <w:rPr>
          <w:rFonts w:ascii="Arial" w:hAnsi="Arial" w:cs="Arial"/>
          <w:lang w:val="nb-NO"/>
        </w:rPr>
        <w:t xml:space="preserve">Kina og India, hvor </w:t>
      </w:r>
      <w:proofErr w:type="spellStart"/>
      <w:r>
        <w:rPr>
          <w:rFonts w:ascii="Arial" w:hAnsi="Arial" w:cs="Arial"/>
          <w:lang w:val="nb-NO"/>
        </w:rPr>
        <w:t>kontantløs</w:t>
      </w:r>
      <w:proofErr w:type="spellEnd"/>
      <w:r w:rsidRPr="0001111E">
        <w:rPr>
          <w:rFonts w:ascii="Arial" w:hAnsi="Arial" w:cs="Arial"/>
          <w:lang w:val="nb-NO"/>
        </w:rPr>
        <w:t xml:space="preserve"> betaling vokste med hele 31 prosent. Modne markeder i gjennomsnitt vokste med 6,8 prosent. </w:t>
      </w:r>
    </w:p>
    <w:p w14:paraId="60BE8D58" w14:textId="77777777" w:rsidR="0001111E" w:rsidRPr="0001111E" w:rsidRDefault="0001111E" w:rsidP="0001111E">
      <w:pPr>
        <w:spacing w:line="360" w:lineRule="auto"/>
        <w:jc w:val="both"/>
        <w:rPr>
          <w:rFonts w:ascii="Arial" w:hAnsi="Arial" w:cs="Arial"/>
          <w:lang w:val="nb-NO"/>
        </w:rPr>
      </w:pPr>
    </w:p>
    <w:p w14:paraId="094143EF" w14:textId="646F9CA9" w:rsidR="0001111E" w:rsidRPr="0001111E" w:rsidRDefault="0001111E" w:rsidP="0001111E">
      <w:pPr>
        <w:spacing w:line="360" w:lineRule="auto"/>
        <w:jc w:val="both"/>
        <w:rPr>
          <w:rFonts w:ascii="Arial" w:hAnsi="Arial" w:cs="Arial"/>
          <w:color w:val="000000" w:themeColor="text1"/>
          <w:lang w:val="nb-NO"/>
        </w:rPr>
      </w:pPr>
      <w:r w:rsidRPr="0001111E">
        <w:rPr>
          <w:rFonts w:ascii="Arial" w:hAnsi="Arial" w:cs="Arial"/>
          <w:i/>
          <w:lang w:val="nb-NO"/>
        </w:rPr>
        <w:t>«Ser man på det norske betalingsmarkedet, så er dette svært godt utviklet og har i flere år vært langt fremme innen innovasjon og å ta til seg ny teknologi. Mye av grunnen til dette er at vi er små nok til å endre oss raskt og generelt digitalt modne. Dette gjør Norge til et potensielt interessant marked for internasjonale aktører</w:t>
      </w:r>
      <w:r w:rsidR="00D556FE">
        <w:rPr>
          <w:rFonts w:ascii="Arial" w:hAnsi="Arial" w:cs="Arial"/>
          <w:i/>
          <w:lang w:val="nb-NO"/>
        </w:rPr>
        <w:t>.</w:t>
      </w:r>
      <w:r w:rsidRPr="0001111E">
        <w:rPr>
          <w:rFonts w:ascii="Arial" w:hAnsi="Arial" w:cs="Arial"/>
          <w:i/>
          <w:lang w:val="nb-NO"/>
        </w:rPr>
        <w:t>»</w:t>
      </w:r>
      <w:bookmarkStart w:id="0" w:name="_GoBack"/>
      <w:bookmarkEnd w:id="0"/>
      <w:r w:rsidRPr="0001111E">
        <w:rPr>
          <w:rFonts w:ascii="Arial" w:hAnsi="Arial" w:cs="Arial"/>
          <w:lang w:val="nb-NO"/>
        </w:rPr>
        <w:t xml:space="preserve"> sier Øystein Refsnes</w:t>
      </w:r>
      <w:r w:rsidR="001F7B00">
        <w:rPr>
          <w:rFonts w:ascii="Arial" w:hAnsi="Arial" w:cs="Arial"/>
          <w:color w:val="FF0000"/>
          <w:lang w:val="nb-NO"/>
        </w:rPr>
        <w:t>,</w:t>
      </w:r>
      <w:r w:rsidRPr="0001111E">
        <w:rPr>
          <w:rFonts w:ascii="Arial" w:hAnsi="Arial" w:cs="Arial"/>
          <w:color w:val="FF0000"/>
          <w:lang w:val="nb-NO"/>
        </w:rPr>
        <w:t xml:space="preserve"> </w:t>
      </w:r>
      <w:r w:rsidRPr="0001111E">
        <w:rPr>
          <w:rFonts w:ascii="Arial" w:hAnsi="Arial" w:cs="Arial"/>
          <w:color w:val="000000" w:themeColor="text1"/>
          <w:lang w:val="nb-NO"/>
        </w:rPr>
        <w:t xml:space="preserve">ekspert innen bank- og finans i Capgemini </w:t>
      </w:r>
      <w:proofErr w:type="spellStart"/>
      <w:r w:rsidRPr="0001111E">
        <w:rPr>
          <w:rFonts w:ascii="Arial" w:hAnsi="Arial" w:cs="Arial"/>
          <w:color w:val="000000" w:themeColor="text1"/>
          <w:lang w:val="nb-NO"/>
        </w:rPr>
        <w:t>Consulting</w:t>
      </w:r>
      <w:proofErr w:type="spellEnd"/>
      <w:r w:rsidR="00D27E31">
        <w:rPr>
          <w:rFonts w:ascii="Arial" w:hAnsi="Arial" w:cs="Arial"/>
          <w:color w:val="000000" w:themeColor="text1"/>
          <w:lang w:val="nb-NO"/>
        </w:rPr>
        <w:t>.</w:t>
      </w:r>
    </w:p>
    <w:p w14:paraId="27D7EEEF" w14:textId="77777777" w:rsidR="0001111E" w:rsidRPr="0001111E" w:rsidRDefault="0001111E" w:rsidP="0001111E">
      <w:pPr>
        <w:spacing w:line="360" w:lineRule="auto"/>
        <w:jc w:val="both"/>
        <w:rPr>
          <w:rFonts w:ascii="Arial" w:hAnsi="Arial" w:cs="Arial"/>
          <w:lang w:val="nb-NO"/>
        </w:rPr>
      </w:pPr>
    </w:p>
    <w:p w14:paraId="21F608C3" w14:textId="77777777" w:rsidR="0001111E" w:rsidRPr="0001111E" w:rsidRDefault="0001111E" w:rsidP="0001111E">
      <w:pPr>
        <w:spacing w:line="360" w:lineRule="auto"/>
        <w:jc w:val="both"/>
        <w:rPr>
          <w:rFonts w:ascii="Arial" w:hAnsi="Arial" w:cs="Arial"/>
          <w:b/>
          <w:lang w:val="nb-NO"/>
        </w:rPr>
      </w:pPr>
      <w:r w:rsidRPr="0001111E">
        <w:rPr>
          <w:rFonts w:ascii="Arial" w:hAnsi="Arial" w:cs="Arial"/>
          <w:b/>
          <w:lang w:val="nb-NO"/>
        </w:rPr>
        <w:t xml:space="preserve">Nye økosystemer på fremmarsj </w:t>
      </w:r>
    </w:p>
    <w:p w14:paraId="1186BE64" w14:textId="2AE239B4" w:rsidR="0001111E" w:rsidRDefault="0001111E" w:rsidP="0001111E">
      <w:pPr>
        <w:spacing w:line="360" w:lineRule="auto"/>
        <w:jc w:val="both"/>
        <w:rPr>
          <w:rFonts w:ascii="Arial" w:hAnsi="Arial" w:cs="Arial"/>
          <w:lang w:val="nb-NO"/>
        </w:rPr>
      </w:pPr>
      <w:r w:rsidRPr="0001111E">
        <w:rPr>
          <w:rFonts w:ascii="Arial" w:hAnsi="Arial" w:cs="Arial"/>
          <w:lang w:val="nb-NO"/>
        </w:rPr>
        <w:t>WPR 2017 løfter spesielt frem økningen av nye økosystemer innen betaling som er drevet frem av en rekke faktorer. Nye reguleringer, blant annet PSD2</w:t>
      </w:r>
      <w:r w:rsidRPr="0001111E">
        <w:rPr>
          <w:rStyle w:val="Fotnotereferanse"/>
          <w:rFonts w:ascii="Arial" w:hAnsi="Arial" w:cs="Arial"/>
        </w:rPr>
        <w:footnoteReference w:id="1"/>
      </w:r>
      <w:r w:rsidRPr="0001111E">
        <w:rPr>
          <w:rFonts w:ascii="Arial" w:hAnsi="Arial" w:cs="Arial"/>
          <w:lang w:val="nb-NO"/>
        </w:rPr>
        <w:t xml:space="preserve">, </w:t>
      </w:r>
      <w:proofErr w:type="spellStart"/>
      <w:r w:rsidRPr="0001111E">
        <w:rPr>
          <w:rFonts w:ascii="Arial" w:hAnsi="Arial" w:cs="Arial"/>
          <w:lang w:val="nb-NO"/>
        </w:rPr>
        <w:t>FinTechs</w:t>
      </w:r>
      <w:proofErr w:type="spellEnd"/>
      <w:r w:rsidRPr="0001111E">
        <w:rPr>
          <w:rFonts w:ascii="Arial" w:hAnsi="Arial" w:cs="Arial"/>
          <w:lang w:val="nb-NO"/>
        </w:rPr>
        <w:t>, samt endrede kundebehov og forventninger, fører til en økning i forskjellige betalingsløsninger som utfordrer det etablerte.</w:t>
      </w:r>
    </w:p>
    <w:p w14:paraId="7942C097" w14:textId="77777777" w:rsidR="0001111E" w:rsidRPr="0001111E" w:rsidRDefault="0001111E" w:rsidP="0001111E">
      <w:pPr>
        <w:spacing w:line="360" w:lineRule="auto"/>
        <w:jc w:val="both"/>
        <w:rPr>
          <w:rFonts w:ascii="Arial" w:hAnsi="Arial" w:cs="Arial"/>
          <w:lang w:val="nb-NO"/>
        </w:rPr>
      </w:pPr>
      <w:r w:rsidRPr="0001111E">
        <w:rPr>
          <w:rFonts w:ascii="Arial" w:hAnsi="Arial" w:cs="Arial"/>
          <w:lang w:val="nb-NO"/>
        </w:rPr>
        <w:t xml:space="preserve"> </w:t>
      </w:r>
    </w:p>
    <w:p w14:paraId="10E35EE3" w14:textId="1758A3E5" w:rsidR="0001111E" w:rsidRPr="0001111E" w:rsidRDefault="0001111E" w:rsidP="0001111E">
      <w:pPr>
        <w:spacing w:line="360" w:lineRule="auto"/>
        <w:jc w:val="both"/>
        <w:rPr>
          <w:rFonts w:ascii="Arial" w:hAnsi="Arial" w:cs="Arial"/>
          <w:lang w:val="nb-NO"/>
        </w:rPr>
      </w:pPr>
      <w:r w:rsidRPr="0001111E">
        <w:rPr>
          <w:rFonts w:ascii="Arial" w:hAnsi="Arial" w:cs="Arial"/>
          <w:lang w:val="nb-NO"/>
        </w:rPr>
        <w:t xml:space="preserve">Kontanter har tradisjonelt sett vært den foretrukne betalingsmetoden for lavverdi transaksjoner. Men med digitaliseringen vokser også de </w:t>
      </w:r>
      <w:proofErr w:type="spellStart"/>
      <w:r w:rsidRPr="0001111E">
        <w:rPr>
          <w:rFonts w:ascii="Arial" w:hAnsi="Arial" w:cs="Arial"/>
          <w:lang w:val="nb-NO"/>
        </w:rPr>
        <w:t>kontantløse</w:t>
      </w:r>
      <w:proofErr w:type="spellEnd"/>
      <w:r w:rsidRPr="0001111E">
        <w:rPr>
          <w:rFonts w:ascii="Arial" w:hAnsi="Arial" w:cs="Arial"/>
          <w:lang w:val="nb-NO"/>
        </w:rPr>
        <w:t xml:space="preserve"> betalingene innen dette segment. I Sverige har man blant annet innført </w:t>
      </w:r>
      <w:proofErr w:type="spellStart"/>
      <w:r w:rsidRPr="0001111E">
        <w:rPr>
          <w:rFonts w:ascii="Arial" w:hAnsi="Arial" w:cs="Arial"/>
          <w:lang w:val="nb-NO"/>
        </w:rPr>
        <w:t>kontantløs</w:t>
      </w:r>
      <w:proofErr w:type="spellEnd"/>
      <w:r w:rsidRPr="0001111E">
        <w:rPr>
          <w:rFonts w:ascii="Arial" w:hAnsi="Arial" w:cs="Arial"/>
          <w:lang w:val="nb-NO"/>
        </w:rPr>
        <w:t xml:space="preserve"> kollektivtransport, mens i Norge har man lagt på et ombordtillegg for de som betaler med kontanter</w:t>
      </w:r>
      <w:r w:rsidR="00225633">
        <w:rPr>
          <w:rFonts w:ascii="Arial" w:hAnsi="Arial" w:cs="Arial"/>
          <w:lang w:val="nb-NO"/>
        </w:rPr>
        <w:t>, hvilket intensiverer bruken av digital betaling</w:t>
      </w:r>
      <w:r w:rsidRPr="0001111E">
        <w:rPr>
          <w:rFonts w:ascii="Arial" w:hAnsi="Arial" w:cs="Arial"/>
          <w:lang w:val="nb-NO"/>
        </w:rPr>
        <w:t xml:space="preserve">.  </w:t>
      </w:r>
      <w:r w:rsidRPr="0001111E" w:rsidDel="000B17EA">
        <w:rPr>
          <w:rFonts w:ascii="Arial" w:hAnsi="Arial" w:cs="Arial"/>
          <w:lang w:val="nb-NO"/>
        </w:rPr>
        <w:t xml:space="preserve"> </w:t>
      </w:r>
      <w:r w:rsidRPr="0001111E">
        <w:rPr>
          <w:rFonts w:ascii="Arial" w:hAnsi="Arial" w:cs="Arial"/>
          <w:lang w:val="nb-NO"/>
        </w:rPr>
        <w:t xml:space="preserve">  </w:t>
      </w:r>
    </w:p>
    <w:p w14:paraId="2E409591" w14:textId="77777777" w:rsidR="001571D6" w:rsidRDefault="001571D6" w:rsidP="0001111E">
      <w:pPr>
        <w:spacing w:line="360" w:lineRule="auto"/>
        <w:jc w:val="both"/>
        <w:rPr>
          <w:rFonts w:ascii="Arial" w:hAnsi="Arial" w:cs="Arial"/>
          <w:lang w:val="nb-NO"/>
        </w:rPr>
      </w:pPr>
    </w:p>
    <w:p w14:paraId="12F46774" w14:textId="695E0D34" w:rsidR="00FE340C" w:rsidRPr="0001111E" w:rsidRDefault="001571D6" w:rsidP="00FE340C">
      <w:pPr>
        <w:spacing w:line="360" w:lineRule="auto"/>
        <w:jc w:val="both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Rapporten viser at alt flere aktører entrer økosystemet for beta</w:t>
      </w:r>
      <w:r w:rsidR="00503476">
        <w:rPr>
          <w:rFonts w:ascii="Arial" w:hAnsi="Arial" w:cs="Arial"/>
          <w:lang w:val="nb-NO"/>
        </w:rPr>
        <w:t>l</w:t>
      </w:r>
      <w:r>
        <w:rPr>
          <w:rFonts w:ascii="Arial" w:hAnsi="Arial" w:cs="Arial"/>
          <w:lang w:val="nb-NO"/>
        </w:rPr>
        <w:t>inger</w:t>
      </w:r>
      <w:r w:rsidR="00503476">
        <w:rPr>
          <w:rFonts w:ascii="Arial" w:hAnsi="Arial" w:cs="Arial"/>
          <w:lang w:val="nb-NO"/>
        </w:rPr>
        <w:t>, f</w:t>
      </w:r>
      <w:r>
        <w:rPr>
          <w:rFonts w:ascii="Arial" w:hAnsi="Arial" w:cs="Arial"/>
          <w:lang w:val="nb-NO"/>
        </w:rPr>
        <w:t xml:space="preserve">ra tradisjonelle banker og finansinstitusjoner, B2B-aktører, digitale aktører og tredjepartsaktører. </w:t>
      </w:r>
      <w:r w:rsidR="00FE340C" w:rsidRPr="0001111E">
        <w:rPr>
          <w:rFonts w:ascii="Arial" w:hAnsi="Arial" w:cs="Arial"/>
          <w:lang w:val="nb-NO"/>
        </w:rPr>
        <w:t>Mens tradisjonelle</w:t>
      </w:r>
      <w:r w:rsidR="00FE340C" w:rsidRPr="0001111E">
        <w:rPr>
          <w:rFonts w:ascii="Arial" w:hAnsi="Arial" w:cs="Arial"/>
          <w:color w:val="FF0000"/>
          <w:lang w:val="nb-NO"/>
        </w:rPr>
        <w:t xml:space="preserve"> </w:t>
      </w:r>
      <w:r w:rsidR="00FE340C" w:rsidRPr="001571D6">
        <w:rPr>
          <w:rFonts w:ascii="Arial" w:hAnsi="Arial" w:cs="Arial"/>
          <w:color w:val="000000" w:themeColor="text1"/>
          <w:lang w:val="nb-NO"/>
        </w:rPr>
        <w:t>banker</w:t>
      </w:r>
      <w:r w:rsidR="00BB10A3">
        <w:rPr>
          <w:rFonts w:ascii="Arial" w:hAnsi="Arial" w:cs="Arial"/>
          <w:color w:val="000000" w:themeColor="text1"/>
          <w:lang w:val="nb-NO"/>
        </w:rPr>
        <w:t xml:space="preserve"> og finansinstitusjoner</w:t>
      </w:r>
      <w:r w:rsidR="00FE340C" w:rsidRPr="001571D6">
        <w:rPr>
          <w:rFonts w:ascii="Arial" w:hAnsi="Arial" w:cs="Arial"/>
          <w:color w:val="000000" w:themeColor="text1"/>
          <w:lang w:val="nb-NO"/>
        </w:rPr>
        <w:t xml:space="preserve"> </w:t>
      </w:r>
      <w:r w:rsidR="00FE340C" w:rsidRPr="0001111E">
        <w:rPr>
          <w:rFonts w:ascii="Arial" w:hAnsi="Arial" w:cs="Arial"/>
          <w:lang w:val="nb-NO"/>
        </w:rPr>
        <w:t xml:space="preserve">ønsker å holde betalingsprosessen adskilt, prøver nye digitale aktører heller å fusjonere </w:t>
      </w:r>
      <w:r w:rsidR="00FE340C">
        <w:rPr>
          <w:rFonts w:ascii="Arial" w:hAnsi="Arial" w:cs="Arial"/>
          <w:lang w:val="nb-NO"/>
        </w:rPr>
        <w:t>betaling</w:t>
      </w:r>
      <w:r w:rsidR="00FE340C" w:rsidRPr="0001111E">
        <w:rPr>
          <w:rFonts w:ascii="Arial" w:hAnsi="Arial" w:cs="Arial"/>
          <w:lang w:val="nb-NO"/>
        </w:rPr>
        <w:t xml:space="preserve"> inn i </w:t>
      </w:r>
      <w:r w:rsidR="00BB10A3">
        <w:rPr>
          <w:rFonts w:ascii="Arial" w:hAnsi="Arial" w:cs="Arial"/>
          <w:lang w:val="nb-NO"/>
        </w:rPr>
        <w:t xml:space="preserve">en sømløs </w:t>
      </w:r>
      <w:r w:rsidR="00FE340C" w:rsidRPr="0001111E">
        <w:rPr>
          <w:rFonts w:ascii="Arial" w:hAnsi="Arial" w:cs="Arial"/>
          <w:lang w:val="nb-NO"/>
        </w:rPr>
        <w:t>kundeopplevelse.</w:t>
      </w:r>
    </w:p>
    <w:p w14:paraId="3DC98F64" w14:textId="77777777" w:rsidR="001571D6" w:rsidRDefault="001571D6" w:rsidP="0001111E">
      <w:pPr>
        <w:spacing w:line="360" w:lineRule="auto"/>
        <w:jc w:val="both"/>
        <w:rPr>
          <w:rFonts w:ascii="Arial" w:hAnsi="Arial" w:cs="Arial"/>
          <w:lang w:val="nb-NO"/>
        </w:rPr>
      </w:pPr>
    </w:p>
    <w:p w14:paraId="788EC245" w14:textId="19824B62" w:rsidR="0001111E" w:rsidRPr="0001111E" w:rsidRDefault="0001111E" w:rsidP="0001111E">
      <w:pPr>
        <w:spacing w:line="360" w:lineRule="auto"/>
        <w:jc w:val="both"/>
        <w:rPr>
          <w:rFonts w:ascii="Arial" w:hAnsi="Arial" w:cs="Arial"/>
          <w:lang w:val="nb-NO"/>
        </w:rPr>
      </w:pPr>
      <w:r w:rsidRPr="0001111E">
        <w:rPr>
          <w:rFonts w:ascii="Arial" w:hAnsi="Arial" w:cs="Arial"/>
          <w:lang w:val="nb-NO"/>
        </w:rPr>
        <w:t>«</w:t>
      </w:r>
      <w:r w:rsidRPr="001571D6">
        <w:rPr>
          <w:rFonts w:ascii="Arial" w:hAnsi="Arial" w:cs="Arial"/>
          <w:i/>
          <w:lang w:val="nb-NO"/>
        </w:rPr>
        <w:t xml:space="preserve">Vi ser nok bare starten på </w:t>
      </w:r>
      <w:r w:rsidR="00BB10A3">
        <w:rPr>
          <w:rFonts w:ascii="Arial" w:hAnsi="Arial" w:cs="Arial"/>
          <w:i/>
          <w:lang w:val="nb-NO"/>
        </w:rPr>
        <w:t>effektene av PSD2.</w:t>
      </w:r>
      <w:r w:rsidRPr="001571D6">
        <w:rPr>
          <w:rFonts w:ascii="Arial" w:hAnsi="Arial" w:cs="Arial"/>
          <w:i/>
          <w:lang w:val="nb-NO"/>
        </w:rPr>
        <w:t xml:space="preserve"> Vil de norske løsningene klare å stå imot presset fra store utenlandske aktører som for eksempel Apple, </w:t>
      </w:r>
      <w:r w:rsidR="00503476">
        <w:rPr>
          <w:rFonts w:ascii="Arial" w:hAnsi="Arial" w:cs="Arial"/>
          <w:i/>
          <w:lang w:val="nb-NO"/>
        </w:rPr>
        <w:t xml:space="preserve">Samsung eller </w:t>
      </w:r>
      <w:r w:rsidRPr="001571D6">
        <w:rPr>
          <w:rFonts w:ascii="Arial" w:hAnsi="Arial" w:cs="Arial"/>
          <w:i/>
          <w:lang w:val="nb-NO"/>
        </w:rPr>
        <w:t xml:space="preserve">Google? Det pågår en stor kamp om sluttkundene </w:t>
      </w:r>
      <w:r w:rsidR="002168EF">
        <w:rPr>
          <w:rFonts w:ascii="Arial" w:hAnsi="Arial" w:cs="Arial"/>
          <w:i/>
          <w:lang w:val="nb-NO"/>
        </w:rPr>
        <w:t xml:space="preserve">nasjonalt og internasjonalt </w:t>
      </w:r>
      <w:r w:rsidRPr="001571D6">
        <w:rPr>
          <w:rFonts w:ascii="Arial" w:hAnsi="Arial" w:cs="Arial"/>
          <w:i/>
          <w:lang w:val="nb-NO"/>
        </w:rPr>
        <w:t xml:space="preserve">hvor både banker, handelsstanden, betalingsaktører, IT-giganter og </w:t>
      </w:r>
      <w:proofErr w:type="spellStart"/>
      <w:r w:rsidRPr="001571D6">
        <w:rPr>
          <w:rFonts w:ascii="Arial" w:hAnsi="Arial" w:cs="Arial"/>
          <w:i/>
          <w:lang w:val="nb-NO"/>
        </w:rPr>
        <w:t>oppstartsvirksomheter</w:t>
      </w:r>
      <w:proofErr w:type="spellEnd"/>
      <w:r w:rsidRPr="001571D6">
        <w:rPr>
          <w:rFonts w:ascii="Arial" w:hAnsi="Arial" w:cs="Arial"/>
          <w:i/>
          <w:lang w:val="nb-NO"/>
        </w:rPr>
        <w:t xml:space="preserve"> er spillere. Vi ser allerede nå at betaling blir </w:t>
      </w:r>
      <w:r w:rsidR="00503476">
        <w:rPr>
          <w:rFonts w:ascii="Arial" w:hAnsi="Arial" w:cs="Arial"/>
          <w:i/>
          <w:lang w:val="nb-NO"/>
        </w:rPr>
        <w:t>mer integrert i den helhetlige kundeopplevelsen</w:t>
      </w:r>
      <w:r w:rsidRPr="001571D6">
        <w:rPr>
          <w:rFonts w:ascii="Arial" w:hAnsi="Arial" w:cs="Arial"/>
          <w:i/>
          <w:lang w:val="nb-NO"/>
        </w:rPr>
        <w:t>, og dette kan være dårlig nytt for bankene</w:t>
      </w:r>
      <w:r w:rsidR="00D556FE">
        <w:rPr>
          <w:rFonts w:ascii="Arial" w:hAnsi="Arial" w:cs="Arial"/>
          <w:lang w:val="nb-NO"/>
        </w:rPr>
        <w:t>.»</w:t>
      </w:r>
      <w:r w:rsidRPr="0001111E">
        <w:rPr>
          <w:rFonts w:ascii="Arial" w:hAnsi="Arial" w:cs="Arial"/>
          <w:lang w:val="nb-NO"/>
        </w:rPr>
        <w:t xml:space="preserve"> sier Refsnes.</w:t>
      </w:r>
    </w:p>
    <w:p w14:paraId="17BFD432" w14:textId="77777777" w:rsidR="0001111E" w:rsidRPr="0001111E" w:rsidRDefault="0001111E" w:rsidP="0001111E">
      <w:pPr>
        <w:spacing w:line="360" w:lineRule="auto"/>
        <w:jc w:val="both"/>
        <w:rPr>
          <w:rFonts w:ascii="Arial" w:hAnsi="Arial" w:cs="Arial"/>
          <w:lang w:val="nb-NO"/>
        </w:rPr>
      </w:pPr>
    </w:p>
    <w:p w14:paraId="612AAE86" w14:textId="6528BEC7" w:rsidR="0001111E" w:rsidRDefault="0001111E" w:rsidP="0001111E">
      <w:pPr>
        <w:spacing w:line="360" w:lineRule="auto"/>
        <w:jc w:val="both"/>
        <w:rPr>
          <w:rFonts w:ascii="Arial" w:hAnsi="Arial" w:cs="Arial"/>
          <w:lang w:val="nb-NO"/>
        </w:rPr>
      </w:pPr>
      <w:r w:rsidRPr="0001111E">
        <w:rPr>
          <w:rFonts w:ascii="Arial" w:hAnsi="Arial" w:cs="Arial"/>
          <w:lang w:val="nb-NO"/>
        </w:rPr>
        <w:t xml:space="preserve">Rapporten belyser en viktig utfordring med den nye betalingsøkosystemet, hvilket er mangel på standardisering grunnet forskjellige nasjonale </w:t>
      </w:r>
      <w:r w:rsidR="00BB10A3" w:rsidRPr="0001111E">
        <w:rPr>
          <w:rFonts w:ascii="Arial" w:hAnsi="Arial" w:cs="Arial"/>
          <w:lang w:val="nb-NO"/>
        </w:rPr>
        <w:t>standard</w:t>
      </w:r>
      <w:r w:rsidR="00BB10A3">
        <w:rPr>
          <w:rFonts w:ascii="Arial" w:hAnsi="Arial" w:cs="Arial"/>
          <w:lang w:val="nb-NO"/>
        </w:rPr>
        <w:t>er</w:t>
      </w:r>
      <w:r w:rsidR="00BB10A3" w:rsidRPr="0001111E">
        <w:rPr>
          <w:rFonts w:ascii="Arial" w:hAnsi="Arial" w:cs="Arial"/>
          <w:lang w:val="nb-NO"/>
        </w:rPr>
        <w:t xml:space="preserve"> </w:t>
      </w:r>
      <w:r w:rsidRPr="0001111E">
        <w:rPr>
          <w:rFonts w:ascii="Arial" w:hAnsi="Arial" w:cs="Arial"/>
          <w:lang w:val="nb-NO"/>
        </w:rPr>
        <w:t xml:space="preserve">og ulike tolkninger. Når PSD2 rulles ut i januar 2018, tar Europa et viktig skritt mot å bli en integrert digital marked. Mangel på regulativ koordinering kan true forventet standardisering og transparens. </w:t>
      </w:r>
    </w:p>
    <w:p w14:paraId="3D7645A3" w14:textId="77777777" w:rsidR="001571D6" w:rsidRPr="0001111E" w:rsidRDefault="001571D6" w:rsidP="0001111E">
      <w:pPr>
        <w:spacing w:line="360" w:lineRule="auto"/>
        <w:jc w:val="both"/>
        <w:rPr>
          <w:rFonts w:ascii="Arial" w:hAnsi="Arial" w:cs="Arial"/>
          <w:lang w:val="nb-NO"/>
        </w:rPr>
      </w:pPr>
    </w:p>
    <w:p w14:paraId="7D5A5AD3" w14:textId="77777777" w:rsidR="007E07EF" w:rsidRDefault="00857A01" w:rsidP="001571D6">
      <w:pPr>
        <w:rPr>
          <w:rFonts w:ascii="Arial" w:eastAsia="Calibri" w:hAnsi="Arial" w:cs="Arial"/>
          <w:b/>
          <w:lang w:val="en-GB"/>
        </w:rPr>
      </w:pPr>
      <w:r>
        <w:rPr>
          <w:rFonts w:ascii="Arial" w:eastAsia="Calibri" w:hAnsi="Arial" w:cs="Arial"/>
          <w:b/>
          <w:lang w:val="en-GB"/>
        </w:rPr>
        <w:t xml:space="preserve">World Payments Report 2017 </w:t>
      </w:r>
      <w:r w:rsidR="007E07EF" w:rsidRPr="007E07EF">
        <w:rPr>
          <w:rFonts w:ascii="Arial" w:eastAsia="Calibri" w:hAnsi="Arial" w:cs="Arial"/>
          <w:b/>
          <w:lang w:val="en-GB"/>
        </w:rPr>
        <w:t>Methodology:</w:t>
      </w:r>
    </w:p>
    <w:p w14:paraId="0E5B3DFA" w14:textId="77777777" w:rsidR="007E07EF" w:rsidRPr="00857A01" w:rsidRDefault="007E07EF" w:rsidP="001571D6">
      <w:pPr>
        <w:spacing w:after="120"/>
        <w:jc w:val="both"/>
        <w:rPr>
          <w:rFonts w:ascii="Arial" w:eastAsia="Calibri" w:hAnsi="Arial" w:cs="Arial"/>
          <w:lang w:val="en-GB"/>
        </w:rPr>
      </w:pPr>
      <w:r w:rsidRPr="00857A01">
        <w:rPr>
          <w:rFonts w:ascii="Arial" w:eastAsia="Calibri" w:hAnsi="Arial" w:cs="Arial"/>
          <w:lang w:val="en-GB"/>
        </w:rPr>
        <w:t>This year’s World Payments Report offers insights on the payments markets in the following regions grouped by geographic, economic, and non-cash payment market maturity criteria: North America: Canada and the United States, Europe, Mature Asia-Pacific, Emerging Asia, Latin America and C</w:t>
      </w:r>
      <w:r w:rsidR="007D6E44">
        <w:rPr>
          <w:rFonts w:ascii="Arial" w:eastAsia="Calibri" w:hAnsi="Arial" w:cs="Arial"/>
          <w:lang w:val="en-GB"/>
        </w:rPr>
        <w:t>E</w:t>
      </w:r>
      <w:r w:rsidRPr="00857A01">
        <w:rPr>
          <w:rFonts w:ascii="Arial" w:eastAsia="Calibri" w:hAnsi="Arial" w:cs="Arial"/>
          <w:lang w:val="en-GB"/>
        </w:rPr>
        <w:t>MEA</w:t>
      </w:r>
      <w:r w:rsidR="009A6CFD">
        <w:rPr>
          <w:rStyle w:val="Fotnotereferanse"/>
          <w:rFonts w:ascii="Arial" w:eastAsia="Calibri" w:hAnsi="Arial" w:cs="Arial"/>
          <w:lang w:val="en-GB"/>
        </w:rPr>
        <w:footnoteReference w:id="2"/>
      </w:r>
      <w:r w:rsidRPr="00857A01">
        <w:rPr>
          <w:rFonts w:ascii="Arial" w:eastAsia="Calibri" w:hAnsi="Arial" w:cs="Arial"/>
          <w:lang w:val="en-GB"/>
        </w:rPr>
        <w:t xml:space="preserve">. </w:t>
      </w:r>
      <w:r w:rsidR="00E866F2">
        <w:rPr>
          <w:rFonts w:ascii="Arial" w:eastAsia="Calibri" w:hAnsi="Arial" w:cs="Arial"/>
          <w:lang w:val="en-GB"/>
        </w:rPr>
        <w:t>P</w:t>
      </w:r>
      <w:r w:rsidRPr="00857A01">
        <w:rPr>
          <w:rFonts w:ascii="Arial" w:eastAsia="Calibri" w:hAnsi="Arial" w:cs="Arial"/>
          <w:lang w:val="en-GB"/>
        </w:rPr>
        <w:t xml:space="preserve">rimary research for WPR 2017 included an online survey that </w:t>
      </w:r>
      <w:proofErr w:type="gramStart"/>
      <w:r w:rsidRPr="00857A01">
        <w:rPr>
          <w:rFonts w:ascii="Arial" w:eastAsia="Calibri" w:hAnsi="Arial" w:cs="Arial"/>
          <w:lang w:val="en-GB"/>
        </w:rPr>
        <w:t>was distributed</w:t>
      </w:r>
      <w:proofErr w:type="gramEnd"/>
      <w:r w:rsidRPr="00857A01">
        <w:rPr>
          <w:rFonts w:ascii="Arial" w:eastAsia="Calibri" w:hAnsi="Arial" w:cs="Arial"/>
          <w:lang w:val="en-GB"/>
        </w:rPr>
        <w:t xml:space="preserve"> to industry participants across banks, </w:t>
      </w:r>
      <w:proofErr w:type="spellStart"/>
      <w:r w:rsidRPr="00857A01">
        <w:rPr>
          <w:rFonts w:ascii="Arial" w:eastAsia="Calibri" w:hAnsi="Arial" w:cs="Arial"/>
          <w:lang w:val="en-GB"/>
        </w:rPr>
        <w:t>FinTechs</w:t>
      </w:r>
      <w:proofErr w:type="spellEnd"/>
      <w:r w:rsidRPr="00857A01">
        <w:rPr>
          <w:rFonts w:ascii="Arial" w:eastAsia="Calibri" w:hAnsi="Arial" w:cs="Arial"/>
          <w:lang w:val="en-GB"/>
        </w:rPr>
        <w:t xml:space="preserve">, non-bank FSIs, and corporates in June 2017. Executive interviews </w:t>
      </w:r>
      <w:proofErr w:type="gramStart"/>
      <w:r w:rsidRPr="00857A01">
        <w:rPr>
          <w:rFonts w:ascii="Arial" w:eastAsia="Calibri" w:hAnsi="Arial" w:cs="Arial"/>
          <w:lang w:val="en-GB"/>
        </w:rPr>
        <w:t>were also conducted</w:t>
      </w:r>
      <w:proofErr w:type="gramEnd"/>
      <w:r w:rsidRPr="00857A01">
        <w:rPr>
          <w:rFonts w:ascii="Arial" w:eastAsia="Calibri" w:hAnsi="Arial" w:cs="Arial"/>
          <w:lang w:val="en-GB"/>
        </w:rPr>
        <w:t xml:space="preserve">. Findings from the survey and interviews </w:t>
      </w:r>
      <w:proofErr w:type="gramStart"/>
      <w:r w:rsidRPr="00857A01">
        <w:rPr>
          <w:rFonts w:ascii="Arial" w:eastAsia="Calibri" w:hAnsi="Arial" w:cs="Arial"/>
          <w:lang w:val="en-GB"/>
        </w:rPr>
        <w:t>have been incorporated</w:t>
      </w:r>
      <w:proofErr w:type="gramEnd"/>
      <w:r w:rsidRPr="00857A01">
        <w:rPr>
          <w:rFonts w:ascii="Arial" w:eastAsia="Calibri" w:hAnsi="Arial" w:cs="Arial"/>
          <w:lang w:val="en-GB"/>
        </w:rPr>
        <w:t xml:space="preserve"> into analysis throughout the report.</w:t>
      </w:r>
    </w:p>
    <w:p w14:paraId="5D6553E5" w14:textId="77777777" w:rsidR="00857A01" w:rsidRPr="00857A01" w:rsidRDefault="00857A01" w:rsidP="007E07EF">
      <w:pPr>
        <w:spacing w:after="120"/>
        <w:rPr>
          <w:rFonts w:ascii="Arial" w:eastAsia="Calibri" w:hAnsi="Arial" w:cs="Arial"/>
          <w:lang w:val="en-GB"/>
        </w:rPr>
      </w:pPr>
    </w:p>
    <w:p w14:paraId="13505B40" w14:textId="77777777" w:rsidR="00857A01" w:rsidRDefault="00857A01" w:rsidP="00857A01">
      <w:pPr>
        <w:spacing w:after="120" w:line="360" w:lineRule="auto"/>
        <w:jc w:val="both"/>
        <w:rPr>
          <w:rFonts w:ascii="Arial" w:eastAsia="Calibri" w:hAnsi="Arial" w:cs="Arial"/>
          <w:color w:val="0000FF"/>
          <w:u w:val="single"/>
          <w:lang w:val="en-GB"/>
        </w:rPr>
      </w:pPr>
      <w:r w:rsidRPr="006A68F2">
        <w:rPr>
          <w:rFonts w:ascii="Arial" w:hAnsi="Arial" w:cs="Arial"/>
          <w:lang w:val="en-GB"/>
        </w:rPr>
        <w:t xml:space="preserve">Download the </w:t>
      </w:r>
      <w:r w:rsidRPr="00857A01">
        <w:rPr>
          <w:rFonts w:ascii="Arial" w:hAnsi="Arial" w:cs="Arial"/>
          <w:lang w:val="en-GB"/>
        </w:rPr>
        <w:t>World Payments Report 2017</w:t>
      </w:r>
      <w:r>
        <w:rPr>
          <w:rFonts w:ascii="Arial" w:hAnsi="Arial" w:cs="Arial"/>
          <w:lang w:val="en-GB"/>
        </w:rPr>
        <w:t xml:space="preserve"> at</w:t>
      </w:r>
      <w:r w:rsidRPr="006A68F2">
        <w:rPr>
          <w:rFonts w:ascii="Arial" w:hAnsi="Arial" w:cs="Arial"/>
          <w:lang w:val="en-GB"/>
        </w:rPr>
        <w:t xml:space="preserve"> </w:t>
      </w:r>
      <w:hyperlink r:id="rId11" w:history="1">
        <w:r w:rsidRPr="006A68F2">
          <w:rPr>
            <w:rFonts w:ascii="Arial" w:eastAsia="Calibri" w:hAnsi="Arial" w:cs="Arial"/>
            <w:color w:val="0000FF"/>
            <w:u w:val="single"/>
            <w:lang w:val="en-GB"/>
          </w:rPr>
          <w:t>www.worldpaymentsreport.com</w:t>
        </w:r>
      </w:hyperlink>
      <w:r>
        <w:rPr>
          <w:rFonts w:ascii="Arial" w:eastAsia="Calibri" w:hAnsi="Arial" w:cs="Arial"/>
          <w:color w:val="0000FF"/>
          <w:u w:val="single"/>
          <w:lang w:val="en-GB"/>
        </w:rPr>
        <w:t>.</w:t>
      </w:r>
    </w:p>
    <w:p w14:paraId="0CC95EAD" w14:textId="77777777" w:rsidR="000213AB" w:rsidRPr="00427B8E" w:rsidRDefault="000213AB" w:rsidP="007E07EF">
      <w:pPr>
        <w:spacing w:before="200" w:line="276" w:lineRule="auto"/>
        <w:rPr>
          <w:rFonts w:ascii="Arial" w:hAnsi="Arial" w:cs="Arial"/>
          <w:b/>
          <w:bCs/>
        </w:rPr>
      </w:pPr>
      <w:r w:rsidRPr="00427B8E">
        <w:rPr>
          <w:rFonts w:ascii="Arial" w:hAnsi="Arial" w:cs="Arial"/>
          <w:b/>
          <w:bCs/>
        </w:rPr>
        <w:t>About Capgemini</w:t>
      </w:r>
    </w:p>
    <w:p w14:paraId="2441BDB5" w14:textId="77777777" w:rsidR="000213AB" w:rsidRPr="002A26F5" w:rsidRDefault="000213AB" w:rsidP="00D0749E">
      <w:pPr>
        <w:jc w:val="both"/>
        <w:rPr>
          <w:rFonts w:ascii="Arial" w:hAnsi="Arial" w:cs="Arial"/>
          <w:color w:val="1F497D"/>
        </w:rPr>
      </w:pPr>
      <w:r w:rsidRPr="002A26F5">
        <w:rPr>
          <w:rFonts w:ascii="Arial" w:hAnsi="Arial" w:cs="Arial"/>
          <w:color w:val="000000"/>
        </w:rPr>
        <w:t>With more than 190,000 people, Capgemini is present in over 40 countries and celebrates its 50</w:t>
      </w:r>
      <w:r w:rsidRPr="002A26F5">
        <w:rPr>
          <w:rFonts w:ascii="Arial" w:hAnsi="Arial" w:cs="Arial"/>
          <w:color w:val="000000"/>
          <w:vertAlign w:val="superscript"/>
        </w:rPr>
        <w:t>th</w:t>
      </w:r>
      <w:r w:rsidRPr="002A26F5">
        <w:rPr>
          <w:rFonts w:ascii="Arial" w:hAnsi="Arial" w:cs="Arial"/>
          <w:color w:val="000000"/>
        </w:rPr>
        <w:t xml:space="preserve"> anniversary in 2017. A global leader in consulting, technology and outsourcing services, the Group reported 2016 global revenues of EUR 12.5 </w:t>
      </w:r>
      <w:proofErr w:type="gramStart"/>
      <w:r w:rsidRPr="002A26F5">
        <w:rPr>
          <w:rFonts w:ascii="Arial" w:hAnsi="Arial" w:cs="Arial"/>
          <w:color w:val="000000"/>
        </w:rPr>
        <w:t>billion</w:t>
      </w:r>
      <w:proofErr w:type="gramEnd"/>
      <w:r w:rsidRPr="002A26F5">
        <w:rPr>
          <w:rFonts w:ascii="Arial" w:hAnsi="Arial" w:cs="Arial"/>
          <w:color w:val="000000"/>
        </w:rPr>
        <w:t xml:space="preserve">. Together with its clients, Capgemini creates and delivers business, </w:t>
      </w:r>
      <w:r w:rsidRPr="002A26F5">
        <w:rPr>
          <w:rFonts w:ascii="Arial" w:hAnsi="Arial" w:cs="Arial"/>
          <w:noProof/>
          <w:color w:val="000000"/>
        </w:rPr>
        <w:t>technology</w:t>
      </w:r>
      <w:r w:rsidRPr="002A26F5">
        <w:rPr>
          <w:rFonts w:ascii="Arial" w:hAnsi="Arial" w:cs="Arial"/>
          <w:color w:val="000000"/>
        </w:rPr>
        <w:t xml:space="preserve"> and digital solutions that fit their needs, enabling them to achieve innovation and competitiveness. A deeply multicultural organization, Capgemini has developed its </w:t>
      </w:r>
      <w:r w:rsidRPr="002A26F5">
        <w:rPr>
          <w:rFonts w:ascii="Arial" w:hAnsi="Arial" w:cs="Arial"/>
          <w:noProof/>
          <w:color w:val="000000"/>
        </w:rPr>
        <w:t>own</w:t>
      </w:r>
      <w:r w:rsidRPr="002A26F5">
        <w:rPr>
          <w:rFonts w:ascii="Arial" w:hAnsi="Arial" w:cs="Arial"/>
          <w:color w:val="000000"/>
        </w:rPr>
        <w:t xml:space="preserve"> way of working, </w:t>
      </w:r>
      <w:hyperlink r:id="rId12" w:history="1">
        <w:r w:rsidRPr="002A26F5">
          <w:rPr>
            <w:rStyle w:val="Hyperkobling"/>
            <w:rFonts w:ascii="Arial" w:hAnsi="Arial" w:cs="Arial"/>
          </w:rPr>
          <w:t xml:space="preserve">the Collaborative Business </w:t>
        </w:r>
        <w:proofErr w:type="spellStart"/>
        <w:r w:rsidRPr="002A26F5">
          <w:rPr>
            <w:rStyle w:val="Hyperkobling"/>
            <w:rFonts w:ascii="Arial" w:hAnsi="Arial" w:cs="Arial"/>
          </w:rPr>
          <w:t>Experience</w:t>
        </w:r>
        <w:r w:rsidRPr="002A26F5">
          <w:rPr>
            <w:rStyle w:val="Hyperkobling"/>
            <w:rFonts w:ascii="Arial" w:hAnsi="Arial" w:cs="Arial"/>
            <w:vertAlign w:val="superscript"/>
          </w:rPr>
          <w:t>TM</w:t>
        </w:r>
        <w:proofErr w:type="spellEnd"/>
      </w:hyperlink>
      <w:r w:rsidRPr="002A26F5">
        <w:rPr>
          <w:rFonts w:ascii="Arial" w:hAnsi="Arial" w:cs="Arial"/>
          <w:color w:val="000000"/>
        </w:rPr>
        <w:t>, and draws on </w:t>
      </w:r>
      <w:proofErr w:type="spellStart"/>
      <w:r w:rsidR="00877D1C">
        <w:fldChar w:fldCharType="begin"/>
      </w:r>
      <w:r w:rsidR="00877D1C">
        <w:instrText xml:space="preserve"> HYPERLINK "http://www.capgemini.com/about/how-we-work/rightshorer" </w:instrText>
      </w:r>
      <w:r w:rsidR="00877D1C">
        <w:fldChar w:fldCharType="separate"/>
      </w:r>
      <w:r w:rsidRPr="002A26F5">
        <w:rPr>
          <w:rStyle w:val="Hyperkobling"/>
          <w:rFonts w:ascii="Arial" w:hAnsi="Arial" w:cs="Arial"/>
        </w:rPr>
        <w:t>Rightshore</w:t>
      </w:r>
      <w:proofErr w:type="spellEnd"/>
      <w:r w:rsidRPr="002A26F5">
        <w:rPr>
          <w:rStyle w:val="Hyperkobling"/>
          <w:rFonts w:ascii="Arial" w:hAnsi="Arial" w:cs="Arial"/>
          <w:b/>
          <w:bCs/>
          <w:vertAlign w:val="superscript"/>
        </w:rPr>
        <w:t>®</w:t>
      </w:r>
      <w:r w:rsidR="00877D1C">
        <w:rPr>
          <w:rStyle w:val="Hyperkobling"/>
          <w:rFonts w:ascii="Arial" w:hAnsi="Arial" w:cs="Arial"/>
          <w:b/>
          <w:bCs/>
          <w:vertAlign w:val="superscript"/>
        </w:rPr>
        <w:fldChar w:fldCharType="end"/>
      </w:r>
      <w:r w:rsidRPr="002A26F5">
        <w:rPr>
          <w:rFonts w:ascii="Arial" w:hAnsi="Arial" w:cs="Arial"/>
          <w:color w:val="000000"/>
        </w:rPr>
        <w:t>, its worldwide delivery model.</w:t>
      </w:r>
    </w:p>
    <w:p w14:paraId="39A64A68" w14:textId="77777777" w:rsidR="00872AEB" w:rsidRDefault="00872AEB" w:rsidP="00D0749E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697CB5F4" w14:textId="705D3EA9" w:rsidR="00D27E31" w:rsidRDefault="000213AB" w:rsidP="00D27E31">
      <w:pPr>
        <w:spacing w:line="276" w:lineRule="auto"/>
        <w:jc w:val="both"/>
        <w:rPr>
          <w:rFonts w:ascii="Arial" w:hAnsi="Arial" w:cs="Arial"/>
          <w:i/>
          <w:iCs/>
          <w:color w:val="000000"/>
        </w:rPr>
      </w:pPr>
      <w:r w:rsidRPr="002A26F5">
        <w:rPr>
          <w:rFonts w:ascii="Arial" w:hAnsi="Arial" w:cs="Arial"/>
          <w:color w:val="000000"/>
        </w:rPr>
        <w:t>Learn more about us at </w:t>
      </w:r>
      <w:hyperlink r:id="rId13" w:history="1">
        <w:r w:rsidRPr="002A26F5">
          <w:rPr>
            <w:rStyle w:val="Hyperkobling"/>
            <w:rFonts w:ascii="Arial" w:hAnsi="Arial" w:cs="Arial"/>
          </w:rPr>
          <w:t>www.capgemini.com</w:t>
        </w:r>
      </w:hyperlink>
      <w:r w:rsidRPr="002A26F5">
        <w:rPr>
          <w:rFonts w:ascii="Arial" w:hAnsi="Arial" w:cs="Arial"/>
          <w:color w:val="000000"/>
        </w:rPr>
        <w:t>.</w:t>
      </w:r>
    </w:p>
    <w:p w14:paraId="4439BE40" w14:textId="77777777" w:rsidR="00D27E31" w:rsidRDefault="00D27E31" w:rsidP="00D27E31">
      <w:pPr>
        <w:spacing w:line="276" w:lineRule="auto"/>
        <w:jc w:val="both"/>
        <w:rPr>
          <w:rFonts w:ascii="Arial" w:hAnsi="Arial" w:cs="Arial"/>
          <w:i/>
          <w:iCs/>
          <w:color w:val="000000"/>
        </w:rPr>
      </w:pPr>
    </w:p>
    <w:p w14:paraId="6A2FF99D" w14:textId="77777777" w:rsidR="000213AB" w:rsidRPr="002A26F5" w:rsidRDefault="000213AB" w:rsidP="00D0749E">
      <w:pPr>
        <w:spacing w:after="200" w:line="276" w:lineRule="auto"/>
        <w:jc w:val="both"/>
        <w:rPr>
          <w:rFonts w:ascii="Arial" w:hAnsi="Arial" w:cs="Arial"/>
          <w:i/>
          <w:iCs/>
          <w:color w:val="000000"/>
        </w:rPr>
      </w:pPr>
      <w:proofErr w:type="spellStart"/>
      <w:r w:rsidRPr="002A26F5">
        <w:rPr>
          <w:rFonts w:ascii="Arial" w:hAnsi="Arial" w:cs="Arial"/>
          <w:i/>
          <w:iCs/>
          <w:color w:val="000000"/>
        </w:rPr>
        <w:t>Rightshore</w:t>
      </w:r>
      <w:proofErr w:type="spellEnd"/>
      <w:r w:rsidRPr="002A26F5">
        <w:rPr>
          <w:rFonts w:ascii="Arial" w:hAnsi="Arial" w:cs="Arial"/>
          <w:i/>
          <w:iCs/>
          <w:color w:val="000000"/>
          <w:vertAlign w:val="superscript"/>
        </w:rPr>
        <w:t>®</w:t>
      </w:r>
      <w:r w:rsidRPr="002A26F5">
        <w:rPr>
          <w:rFonts w:ascii="Arial" w:hAnsi="Arial" w:cs="Arial"/>
          <w:i/>
          <w:iCs/>
          <w:color w:val="000000"/>
        </w:rPr>
        <w:t> is a trademark belonging to Capgemini</w:t>
      </w:r>
    </w:p>
    <w:p w14:paraId="4D87EBE7" w14:textId="77777777" w:rsidR="001C3DC1" w:rsidRPr="001C3DC1" w:rsidRDefault="001C3DC1" w:rsidP="003E6364">
      <w:pPr>
        <w:spacing w:after="200"/>
        <w:jc w:val="both"/>
        <w:rPr>
          <w:rFonts w:ascii="Arial" w:eastAsia="Arial Unicode MS" w:hAnsi="Arial" w:cs="Arial"/>
          <w:b/>
          <w:bCs/>
          <w:lang w:eastAsia="fr-FR"/>
        </w:rPr>
      </w:pPr>
      <w:r w:rsidRPr="001C3DC1">
        <w:rPr>
          <w:rFonts w:ascii="Arial" w:eastAsia="Arial Unicode MS" w:hAnsi="Arial" w:cs="Arial"/>
          <w:b/>
          <w:bCs/>
          <w:lang w:eastAsia="fr-FR"/>
        </w:rPr>
        <w:t>About BNP Paribas</w:t>
      </w:r>
    </w:p>
    <w:p w14:paraId="7271DE06" w14:textId="77777777" w:rsidR="001C3DC1" w:rsidRPr="002A26F5" w:rsidRDefault="001C3DC1" w:rsidP="003E6364">
      <w:pPr>
        <w:spacing w:after="200"/>
        <w:jc w:val="both"/>
        <w:rPr>
          <w:rFonts w:ascii="Arial" w:eastAsia="Arial Unicode MS" w:hAnsi="Arial" w:cs="Arial"/>
          <w:bCs/>
          <w:lang w:eastAsia="fr-FR"/>
        </w:rPr>
      </w:pPr>
      <w:r w:rsidRPr="002A26F5">
        <w:rPr>
          <w:rFonts w:ascii="Arial" w:eastAsia="Arial Unicode MS" w:hAnsi="Arial" w:cs="Arial"/>
          <w:bCs/>
          <w:lang w:eastAsia="fr-FR"/>
        </w:rPr>
        <w:t xml:space="preserve">BNP Paribas is a leading bank in Europe with an international reach. It has a presence in 74 countries, with more than 192,000 employees, including more than 146,000 in Europe. The Group has key positions in its three main activities: Domestic Markets and International Financial Services (whose retail-banking networks and financial services are covered by Retail Banking &amp; Services) and Corporate &amp; Institutional Banking, which serves two client franchises: corporate clients and institutional investors. The Group helps all its clients (individuals, community associations, entrepreneurs, SMEs, </w:t>
      </w:r>
      <w:proofErr w:type="spellStart"/>
      <w:r w:rsidRPr="002A26F5">
        <w:rPr>
          <w:rFonts w:ascii="Arial" w:eastAsia="Arial Unicode MS" w:hAnsi="Arial" w:cs="Arial"/>
          <w:bCs/>
          <w:lang w:eastAsia="fr-FR"/>
        </w:rPr>
        <w:t>corporates</w:t>
      </w:r>
      <w:proofErr w:type="spellEnd"/>
      <w:r w:rsidRPr="002A26F5">
        <w:rPr>
          <w:rFonts w:ascii="Arial" w:eastAsia="Arial Unicode MS" w:hAnsi="Arial" w:cs="Arial"/>
          <w:bCs/>
          <w:lang w:eastAsia="fr-FR"/>
        </w:rPr>
        <w:t xml:space="preserve"> and institutional clients) to </w:t>
      </w:r>
      <w:proofErr w:type="spellStart"/>
      <w:r w:rsidRPr="002A26F5">
        <w:rPr>
          <w:rFonts w:ascii="Arial" w:eastAsia="Arial Unicode MS" w:hAnsi="Arial" w:cs="Arial"/>
          <w:bCs/>
          <w:lang w:eastAsia="fr-FR"/>
        </w:rPr>
        <w:t>realise</w:t>
      </w:r>
      <w:proofErr w:type="spellEnd"/>
      <w:r w:rsidRPr="002A26F5">
        <w:rPr>
          <w:rFonts w:ascii="Arial" w:eastAsia="Arial Unicode MS" w:hAnsi="Arial" w:cs="Arial"/>
          <w:bCs/>
          <w:lang w:eastAsia="fr-FR"/>
        </w:rPr>
        <w:t xml:space="preserve"> their projects through solutions spanning financing, investment, savings and protection insurance. </w:t>
      </w:r>
    </w:p>
    <w:p w14:paraId="155F759B" w14:textId="77777777" w:rsidR="001C3DC1" w:rsidRPr="002A26F5" w:rsidRDefault="001C3DC1" w:rsidP="003E6364">
      <w:pPr>
        <w:spacing w:after="200"/>
        <w:jc w:val="both"/>
        <w:rPr>
          <w:rFonts w:ascii="Arial" w:eastAsia="Arial Unicode MS" w:hAnsi="Arial" w:cs="Arial"/>
          <w:bCs/>
          <w:lang w:eastAsia="fr-FR"/>
        </w:rPr>
      </w:pPr>
      <w:r w:rsidRPr="002A26F5">
        <w:rPr>
          <w:rFonts w:ascii="Arial" w:eastAsia="Arial Unicode MS" w:hAnsi="Arial" w:cs="Arial"/>
          <w:bCs/>
          <w:lang w:eastAsia="fr-FR"/>
        </w:rPr>
        <w:t>In Europe, the Group has four domestic markets (Belgium, France, Italy and Luxembourg) and BNP Paribas Personal Finance is the European leader in consumer lending.</w:t>
      </w:r>
    </w:p>
    <w:p w14:paraId="0A2F84AB" w14:textId="77777777" w:rsidR="00CD4CC6" w:rsidRPr="006A68F2" w:rsidRDefault="001C3DC1" w:rsidP="003E6364">
      <w:pPr>
        <w:rPr>
          <w:rFonts w:ascii="Arial" w:hAnsi="Arial" w:cs="Arial"/>
          <w:bCs/>
          <w:szCs w:val="22"/>
          <w:lang w:val="en-GB"/>
        </w:rPr>
      </w:pPr>
      <w:r w:rsidRPr="002A26F5">
        <w:rPr>
          <w:rFonts w:ascii="Arial" w:eastAsia="Arial Unicode MS" w:hAnsi="Arial" w:cs="Arial"/>
          <w:bCs/>
          <w:lang w:eastAsia="fr-FR"/>
        </w:rPr>
        <w:t>BNP Paribas is rolling out its integrated retail-banking model in Mediterranean countries, in Turkey, in Eastern Europe and a large network in the western part of the United States. In its Corporate &amp; Institutional Banking and International Financial Services activities, BNP Paribas also enjoys top positions in Europe, a strong presence in the Americas as well as a solid and fast-growing business in Asia-Pacific.</w:t>
      </w:r>
    </w:p>
    <w:sectPr w:rsidR="00CD4CC6" w:rsidRPr="006A68F2" w:rsidSect="00A45131"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680" w:right="1140" w:bottom="692" w:left="11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EA35A" w14:textId="77777777" w:rsidR="00877D1C" w:rsidRDefault="00877D1C">
      <w:r>
        <w:separator/>
      </w:r>
    </w:p>
  </w:endnote>
  <w:endnote w:type="continuationSeparator" w:id="0">
    <w:p w14:paraId="1B46DC04" w14:textId="77777777" w:rsidR="00877D1C" w:rsidRDefault="0087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B37C7" w14:textId="77777777" w:rsidR="001571D6" w:rsidRDefault="001571D6" w:rsidP="00DD2F2C">
    <w:pPr>
      <w:pStyle w:val="Bunntekst"/>
      <w:rPr>
        <w:rFonts w:ascii="Arial" w:hAnsi="Arial" w:cs="Arial"/>
        <w:i/>
        <w:sz w:val="16"/>
        <w:lang w:val="en-GB"/>
      </w:rPr>
    </w:pPr>
  </w:p>
  <w:p w14:paraId="7FF77B4C" w14:textId="62EFD611" w:rsidR="00DD2F2C" w:rsidRPr="001558EF" w:rsidRDefault="00DD2F2C" w:rsidP="00DD2F2C">
    <w:pPr>
      <w:pStyle w:val="Bunntekst"/>
      <w:rPr>
        <w:rFonts w:ascii="Arial" w:hAnsi="Arial" w:cs="Arial"/>
        <w:i/>
        <w:sz w:val="16"/>
        <w:lang w:val="en-GB"/>
      </w:rPr>
    </w:pPr>
    <w:proofErr w:type="spellStart"/>
    <w:r w:rsidRPr="001558EF">
      <w:rPr>
        <w:rFonts w:ascii="Arial" w:hAnsi="Arial" w:cs="Arial"/>
        <w:i/>
        <w:sz w:val="16"/>
        <w:lang w:val="en-GB"/>
      </w:rPr>
      <w:t>Press</w:t>
    </w:r>
    <w:r w:rsidR="00872AEB">
      <w:rPr>
        <w:rFonts w:ascii="Arial" w:hAnsi="Arial" w:cs="Arial"/>
        <w:i/>
        <w:sz w:val="16"/>
        <w:lang w:val="en-GB"/>
      </w:rPr>
      <w:t>emelding</w:t>
    </w:r>
    <w:proofErr w:type="spellEnd"/>
  </w:p>
  <w:p w14:paraId="544200AE" w14:textId="77777777" w:rsidR="00DD2F2C" w:rsidRPr="00DD2F2C" w:rsidRDefault="00DD2F2C" w:rsidP="00DD2F2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BA885" w14:textId="77777777" w:rsidR="00DD2F2C" w:rsidRPr="001558EF" w:rsidRDefault="00DD2F2C" w:rsidP="00DD2F2C">
    <w:pPr>
      <w:pStyle w:val="Bunntekst"/>
      <w:rPr>
        <w:rFonts w:ascii="Arial" w:hAnsi="Arial" w:cs="Arial"/>
        <w:i/>
        <w:sz w:val="16"/>
        <w:lang w:val="en-GB"/>
      </w:rPr>
    </w:pPr>
    <w:r w:rsidRPr="001558EF">
      <w:rPr>
        <w:rFonts w:ascii="Arial" w:hAnsi="Arial" w:cs="Arial"/>
        <w:i/>
        <w:sz w:val="16"/>
        <w:lang w:val="en-GB"/>
      </w:rPr>
      <w:t>Press Release</w:t>
    </w:r>
  </w:p>
  <w:p w14:paraId="2BBCB27D" w14:textId="77777777" w:rsidR="008F4B2A" w:rsidRPr="00513975" w:rsidRDefault="008F4B2A" w:rsidP="00513975">
    <w:pPr>
      <w:pStyle w:val="Footer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51655" w14:textId="77777777" w:rsidR="00011FBB" w:rsidRDefault="00011FBB">
    <w:pPr>
      <w:pStyle w:val="Bunntekst"/>
      <w:rPr>
        <w:rFonts w:ascii="Arial" w:hAnsi="Arial" w:cs="Arial"/>
        <w:i/>
        <w:sz w:val="16"/>
        <w:lang w:val="en-GB"/>
      </w:rPr>
    </w:pPr>
  </w:p>
  <w:p w14:paraId="59F16AFB" w14:textId="77777777" w:rsidR="00844A13" w:rsidRPr="003819E0" w:rsidRDefault="00844A13">
    <w:pPr>
      <w:pStyle w:val="Bunntekst"/>
      <w:rPr>
        <w:rFonts w:ascii="Arial" w:hAnsi="Arial" w:cs="Arial"/>
        <w:i/>
        <w:sz w:val="16"/>
        <w:lang w:val="en-GB"/>
      </w:rPr>
    </w:pPr>
    <w:proofErr w:type="spellStart"/>
    <w:r w:rsidRPr="003819E0">
      <w:rPr>
        <w:rFonts w:ascii="Arial" w:hAnsi="Arial" w:cs="Arial"/>
        <w:i/>
        <w:sz w:val="16"/>
        <w:lang w:val="en-GB"/>
      </w:rPr>
      <w:t>P</w:t>
    </w:r>
    <w:r w:rsidR="001571D6">
      <w:rPr>
        <w:rFonts w:ascii="Arial" w:hAnsi="Arial" w:cs="Arial"/>
        <w:i/>
        <w:sz w:val="16"/>
        <w:lang w:val="en-GB"/>
      </w:rPr>
      <w:t>ressemelding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04310" w14:textId="77777777" w:rsidR="00877D1C" w:rsidRDefault="00877D1C">
      <w:r>
        <w:separator/>
      </w:r>
    </w:p>
  </w:footnote>
  <w:footnote w:type="continuationSeparator" w:id="0">
    <w:p w14:paraId="17E0DA14" w14:textId="77777777" w:rsidR="00877D1C" w:rsidRDefault="00877D1C">
      <w:r>
        <w:continuationSeparator/>
      </w:r>
    </w:p>
  </w:footnote>
  <w:footnote w:id="1">
    <w:p w14:paraId="1AD0CFDF" w14:textId="77777777" w:rsidR="0001111E" w:rsidRPr="0001111E" w:rsidRDefault="0001111E" w:rsidP="0001111E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01111E">
        <w:rPr>
          <w:lang w:val="nb-NO"/>
        </w:rPr>
        <w:t xml:space="preserve"> </w:t>
      </w:r>
      <w:proofErr w:type="spellStart"/>
      <w:r w:rsidRPr="0001111E">
        <w:rPr>
          <w:lang w:val="nb-NO"/>
        </w:rPr>
        <w:t>Payment</w:t>
      </w:r>
      <w:proofErr w:type="spellEnd"/>
      <w:r w:rsidRPr="0001111E">
        <w:rPr>
          <w:lang w:val="nb-NO"/>
        </w:rPr>
        <w:t xml:space="preserve"> Services Directive 2 (PSD2) er et EU direktiv, ledet av EU-kommisjonen som gir tilgang til bankenes kundedata for å øke konkurransen i betalingstjenester.</w:t>
      </w:r>
    </w:p>
  </w:footnote>
  <w:footnote w:id="2">
    <w:p w14:paraId="57C357DB" w14:textId="77777777" w:rsidR="009A6CFD" w:rsidRPr="003819E0" w:rsidRDefault="009A6CFD">
      <w:pPr>
        <w:pStyle w:val="Fotnotetekst"/>
        <w:rPr>
          <w:rFonts w:asciiTheme="minorHAnsi" w:hAnsiTheme="minorHAnsi"/>
          <w:sz w:val="16"/>
          <w:szCs w:val="16"/>
        </w:rPr>
      </w:pPr>
      <w:r w:rsidRPr="003819E0">
        <w:rPr>
          <w:rStyle w:val="Fotnotereferanse"/>
          <w:rFonts w:asciiTheme="minorHAnsi" w:hAnsiTheme="minorHAnsi"/>
          <w:sz w:val="16"/>
          <w:szCs w:val="16"/>
        </w:rPr>
        <w:footnoteRef/>
      </w:r>
      <w:r w:rsidRPr="003819E0">
        <w:rPr>
          <w:rFonts w:asciiTheme="minorHAnsi" w:hAnsiTheme="minorHAnsi"/>
          <w:sz w:val="16"/>
          <w:szCs w:val="16"/>
        </w:rPr>
        <w:t xml:space="preserve"> CEMEA includes Poland, Russia, Saudi Arabia, South Africa, Turkey, Ukraine, Hungary, Czech Republic, Romania, and other Central European and Middle Eastern markets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02FE1" w14:textId="77777777" w:rsidR="00041DF8" w:rsidRPr="003819E0" w:rsidRDefault="00041DF8" w:rsidP="006A68F2">
    <w:pPr>
      <w:pStyle w:val="Topptekst"/>
      <w:tabs>
        <w:tab w:val="clear" w:pos="4536"/>
        <w:tab w:val="clear" w:pos="9072"/>
        <w:tab w:val="center" w:pos="4950"/>
      </w:tabs>
      <w:spacing w:after="360"/>
      <w:rPr>
        <w:rFonts w:ascii="Arial" w:hAnsi="Arial" w:cs="Arial"/>
        <w:i/>
      </w:rPr>
    </w:pPr>
    <w:r w:rsidRPr="003819E0">
      <w:rPr>
        <w:rFonts w:ascii="Arial" w:hAnsi="Arial" w:cs="Arial"/>
        <w:i/>
        <w:noProof/>
        <w:lang w:val="nb-NO" w:eastAsia="nb-NO"/>
      </w:rPr>
      <w:drawing>
        <wp:anchor distT="0" distB="0" distL="114300" distR="114300" simplePos="0" relativeHeight="251658240" behindDoc="1" locked="0" layoutInCell="1" allowOverlap="1" wp14:anchorId="316B6CBD" wp14:editId="0137503A">
          <wp:simplePos x="0" y="0"/>
          <wp:positionH relativeFrom="column">
            <wp:posOffset>3902710</wp:posOffset>
          </wp:positionH>
          <wp:positionV relativeFrom="paragraph">
            <wp:posOffset>-58420</wp:posOffset>
          </wp:positionV>
          <wp:extent cx="2354580" cy="560705"/>
          <wp:effectExtent l="0" t="0" r="7620" b="0"/>
          <wp:wrapTight wrapText="bothSides">
            <wp:wrapPolygon edited="0">
              <wp:start x="0" y="0"/>
              <wp:lineTo x="0" y="20548"/>
              <wp:lineTo x="21495" y="20548"/>
              <wp:lineTo x="2149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19E0">
      <w:rPr>
        <w:rFonts w:ascii="Arial" w:hAnsi="Arial" w:cs="Arial"/>
        <w:i/>
        <w:noProof/>
        <w:lang w:val="nb-NO" w:eastAsia="nb-NO"/>
      </w:rPr>
      <w:drawing>
        <wp:inline distT="0" distB="0" distL="0" distR="0" wp14:anchorId="420D7213" wp14:editId="18DE14CE">
          <wp:extent cx="2158365" cy="5245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3NDM0NTAwMTA0NTVU0lEKTi0uzszPAymwqAUAmI6mfiwAAAA="/>
  </w:docVars>
  <w:rsids>
    <w:rsidRoot w:val="000713EB"/>
    <w:rsid w:val="0001111E"/>
    <w:rsid w:val="00011FBB"/>
    <w:rsid w:val="00012A3F"/>
    <w:rsid w:val="000213AB"/>
    <w:rsid w:val="00024040"/>
    <w:rsid w:val="00027276"/>
    <w:rsid w:val="00037EF2"/>
    <w:rsid w:val="00041DF8"/>
    <w:rsid w:val="0007100C"/>
    <w:rsid w:val="000713EB"/>
    <w:rsid w:val="0009189C"/>
    <w:rsid w:val="000A4137"/>
    <w:rsid w:val="000A444F"/>
    <w:rsid w:val="000A5F08"/>
    <w:rsid w:val="000B467C"/>
    <w:rsid w:val="000D2A4A"/>
    <w:rsid w:val="001079F6"/>
    <w:rsid w:val="001571D6"/>
    <w:rsid w:val="001657EC"/>
    <w:rsid w:val="0017180B"/>
    <w:rsid w:val="001772CF"/>
    <w:rsid w:val="001C3DC1"/>
    <w:rsid w:val="001F77E4"/>
    <w:rsid w:val="001F7B00"/>
    <w:rsid w:val="002077EF"/>
    <w:rsid w:val="00210897"/>
    <w:rsid w:val="0021221F"/>
    <w:rsid w:val="00215DDC"/>
    <w:rsid w:val="002168EF"/>
    <w:rsid w:val="002176AF"/>
    <w:rsid w:val="0022197D"/>
    <w:rsid w:val="00224737"/>
    <w:rsid w:val="00225633"/>
    <w:rsid w:val="002268C8"/>
    <w:rsid w:val="0023652D"/>
    <w:rsid w:val="0024406F"/>
    <w:rsid w:val="00265B54"/>
    <w:rsid w:val="00270C0C"/>
    <w:rsid w:val="00272789"/>
    <w:rsid w:val="002771E9"/>
    <w:rsid w:val="002A26F5"/>
    <w:rsid w:val="002A5E25"/>
    <w:rsid w:val="002B4874"/>
    <w:rsid w:val="002C4C6E"/>
    <w:rsid w:val="002D057F"/>
    <w:rsid w:val="002E180C"/>
    <w:rsid w:val="002E7130"/>
    <w:rsid w:val="002F20F3"/>
    <w:rsid w:val="002F32DB"/>
    <w:rsid w:val="002F35F1"/>
    <w:rsid w:val="003010A6"/>
    <w:rsid w:val="00317068"/>
    <w:rsid w:val="00321E07"/>
    <w:rsid w:val="00330FA4"/>
    <w:rsid w:val="003433A7"/>
    <w:rsid w:val="00362EBA"/>
    <w:rsid w:val="003637B4"/>
    <w:rsid w:val="00370452"/>
    <w:rsid w:val="00374C62"/>
    <w:rsid w:val="003819E0"/>
    <w:rsid w:val="003915EB"/>
    <w:rsid w:val="00396EF1"/>
    <w:rsid w:val="003D4D56"/>
    <w:rsid w:val="003E6364"/>
    <w:rsid w:val="0040478D"/>
    <w:rsid w:val="00414B5A"/>
    <w:rsid w:val="0041762D"/>
    <w:rsid w:val="00420610"/>
    <w:rsid w:val="00434102"/>
    <w:rsid w:val="00446D97"/>
    <w:rsid w:val="00466B85"/>
    <w:rsid w:val="00473C41"/>
    <w:rsid w:val="00474B63"/>
    <w:rsid w:val="004841C6"/>
    <w:rsid w:val="00484205"/>
    <w:rsid w:val="004B1BC1"/>
    <w:rsid w:val="004E0333"/>
    <w:rsid w:val="004F2A29"/>
    <w:rsid w:val="005005D3"/>
    <w:rsid w:val="00503476"/>
    <w:rsid w:val="005050DE"/>
    <w:rsid w:val="00507C6D"/>
    <w:rsid w:val="00513975"/>
    <w:rsid w:val="00521BC0"/>
    <w:rsid w:val="00525F9B"/>
    <w:rsid w:val="00533563"/>
    <w:rsid w:val="00533E04"/>
    <w:rsid w:val="00534186"/>
    <w:rsid w:val="00542188"/>
    <w:rsid w:val="00552A54"/>
    <w:rsid w:val="005761C8"/>
    <w:rsid w:val="00591F8B"/>
    <w:rsid w:val="005959D4"/>
    <w:rsid w:val="005B2A05"/>
    <w:rsid w:val="005B4D01"/>
    <w:rsid w:val="005C08F9"/>
    <w:rsid w:val="0060002B"/>
    <w:rsid w:val="0060276F"/>
    <w:rsid w:val="00604140"/>
    <w:rsid w:val="006132B8"/>
    <w:rsid w:val="00624A11"/>
    <w:rsid w:val="00652416"/>
    <w:rsid w:val="0065707D"/>
    <w:rsid w:val="00670345"/>
    <w:rsid w:val="006738A3"/>
    <w:rsid w:val="00695171"/>
    <w:rsid w:val="006A64DD"/>
    <w:rsid w:val="006A68F2"/>
    <w:rsid w:val="006B42D6"/>
    <w:rsid w:val="006D234F"/>
    <w:rsid w:val="006D2D63"/>
    <w:rsid w:val="006F0F7C"/>
    <w:rsid w:val="007038D8"/>
    <w:rsid w:val="00741BE1"/>
    <w:rsid w:val="00754DA0"/>
    <w:rsid w:val="0075736F"/>
    <w:rsid w:val="007728D4"/>
    <w:rsid w:val="00785612"/>
    <w:rsid w:val="007A72F6"/>
    <w:rsid w:val="007B152B"/>
    <w:rsid w:val="007B7E8A"/>
    <w:rsid w:val="007C6156"/>
    <w:rsid w:val="007D3DAF"/>
    <w:rsid w:val="007D6E44"/>
    <w:rsid w:val="007E01F3"/>
    <w:rsid w:val="007E07EF"/>
    <w:rsid w:val="007E60EF"/>
    <w:rsid w:val="007E7D52"/>
    <w:rsid w:val="007F5031"/>
    <w:rsid w:val="007F73C4"/>
    <w:rsid w:val="00806D1F"/>
    <w:rsid w:val="00831336"/>
    <w:rsid w:val="00836B20"/>
    <w:rsid w:val="00844A13"/>
    <w:rsid w:val="00846043"/>
    <w:rsid w:val="00857A01"/>
    <w:rsid w:val="00864B86"/>
    <w:rsid w:val="00872AEB"/>
    <w:rsid w:val="00874F3D"/>
    <w:rsid w:val="00877D1C"/>
    <w:rsid w:val="00887273"/>
    <w:rsid w:val="00897F27"/>
    <w:rsid w:val="008A6E51"/>
    <w:rsid w:val="008B1640"/>
    <w:rsid w:val="008D5633"/>
    <w:rsid w:val="008E35DA"/>
    <w:rsid w:val="008F4B2A"/>
    <w:rsid w:val="00904AF5"/>
    <w:rsid w:val="0090586C"/>
    <w:rsid w:val="009102D4"/>
    <w:rsid w:val="009175DA"/>
    <w:rsid w:val="00921606"/>
    <w:rsid w:val="0093785F"/>
    <w:rsid w:val="009426DD"/>
    <w:rsid w:val="00946FA2"/>
    <w:rsid w:val="00971511"/>
    <w:rsid w:val="00973558"/>
    <w:rsid w:val="00991214"/>
    <w:rsid w:val="009A6CFD"/>
    <w:rsid w:val="009B7252"/>
    <w:rsid w:val="009B79D2"/>
    <w:rsid w:val="009D6B86"/>
    <w:rsid w:val="009F75BD"/>
    <w:rsid w:val="00A03C0C"/>
    <w:rsid w:val="00A07D99"/>
    <w:rsid w:val="00A11E26"/>
    <w:rsid w:val="00A13587"/>
    <w:rsid w:val="00A22400"/>
    <w:rsid w:val="00A2399C"/>
    <w:rsid w:val="00A3010C"/>
    <w:rsid w:val="00A32961"/>
    <w:rsid w:val="00A352E0"/>
    <w:rsid w:val="00A35EF1"/>
    <w:rsid w:val="00A40E44"/>
    <w:rsid w:val="00A45131"/>
    <w:rsid w:val="00A46337"/>
    <w:rsid w:val="00A468D5"/>
    <w:rsid w:val="00A55845"/>
    <w:rsid w:val="00A75185"/>
    <w:rsid w:val="00A97724"/>
    <w:rsid w:val="00A97FF8"/>
    <w:rsid w:val="00AA1EA6"/>
    <w:rsid w:val="00AA7447"/>
    <w:rsid w:val="00AC0EB9"/>
    <w:rsid w:val="00AE2B46"/>
    <w:rsid w:val="00AE41B5"/>
    <w:rsid w:val="00AF1350"/>
    <w:rsid w:val="00B16B1E"/>
    <w:rsid w:val="00B17DB1"/>
    <w:rsid w:val="00B2166F"/>
    <w:rsid w:val="00B21DA7"/>
    <w:rsid w:val="00B30478"/>
    <w:rsid w:val="00B55258"/>
    <w:rsid w:val="00B65DD5"/>
    <w:rsid w:val="00B77690"/>
    <w:rsid w:val="00B803E1"/>
    <w:rsid w:val="00B804C1"/>
    <w:rsid w:val="00BB10A3"/>
    <w:rsid w:val="00BC0C86"/>
    <w:rsid w:val="00BD0173"/>
    <w:rsid w:val="00BE3AFC"/>
    <w:rsid w:val="00BF418C"/>
    <w:rsid w:val="00C05C7E"/>
    <w:rsid w:val="00C20B79"/>
    <w:rsid w:val="00C3011D"/>
    <w:rsid w:val="00C35D1B"/>
    <w:rsid w:val="00C54A78"/>
    <w:rsid w:val="00C63758"/>
    <w:rsid w:val="00C762CA"/>
    <w:rsid w:val="00C83426"/>
    <w:rsid w:val="00C949F1"/>
    <w:rsid w:val="00CA4EB1"/>
    <w:rsid w:val="00CA7A1D"/>
    <w:rsid w:val="00CB2680"/>
    <w:rsid w:val="00CC091C"/>
    <w:rsid w:val="00CC30B5"/>
    <w:rsid w:val="00CD0F71"/>
    <w:rsid w:val="00CD1844"/>
    <w:rsid w:val="00CD4CC6"/>
    <w:rsid w:val="00CE2EE3"/>
    <w:rsid w:val="00D016E3"/>
    <w:rsid w:val="00D0749E"/>
    <w:rsid w:val="00D22696"/>
    <w:rsid w:val="00D23AE6"/>
    <w:rsid w:val="00D27E31"/>
    <w:rsid w:val="00D30463"/>
    <w:rsid w:val="00D44841"/>
    <w:rsid w:val="00D53410"/>
    <w:rsid w:val="00D556FE"/>
    <w:rsid w:val="00D675EE"/>
    <w:rsid w:val="00D7204D"/>
    <w:rsid w:val="00D722F3"/>
    <w:rsid w:val="00D75664"/>
    <w:rsid w:val="00D83C66"/>
    <w:rsid w:val="00D85989"/>
    <w:rsid w:val="00D92002"/>
    <w:rsid w:val="00DD0454"/>
    <w:rsid w:val="00DD2F2C"/>
    <w:rsid w:val="00DD58B6"/>
    <w:rsid w:val="00DE4C8C"/>
    <w:rsid w:val="00DF2DF1"/>
    <w:rsid w:val="00DF413F"/>
    <w:rsid w:val="00E26377"/>
    <w:rsid w:val="00E44D89"/>
    <w:rsid w:val="00E541E4"/>
    <w:rsid w:val="00E603AA"/>
    <w:rsid w:val="00E866F2"/>
    <w:rsid w:val="00EB4E37"/>
    <w:rsid w:val="00EC0AB0"/>
    <w:rsid w:val="00ED5F89"/>
    <w:rsid w:val="00F12072"/>
    <w:rsid w:val="00F121CC"/>
    <w:rsid w:val="00F2056E"/>
    <w:rsid w:val="00F41B49"/>
    <w:rsid w:val="00F63E13"/>
    <w:rsid w:val="00F67E53"/>
    <w:rsid w:val="00F757DE"/>
    <w:rsid w:val="00F9589F"/>
    <w:rsid w:val="00FA2FA7"/>
    <w:rsid w:val="00FB0635"/>
    <w:rsid w:val="00FB07C3"/>
    <w:rsid w:val="00FD5EB6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062DB"/>
  <w15:docId w15:val="{1EAF678F-59E2-48EE-AE7D-AB26161C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C86"/>
    <w:rPr>
      <w:lang w:val="en-US" w:eastAsia="en-US"/>
    </w:rPr>
  </w:style>
  <w:style w:type="paragraph" w:styleId="Overskrift3">
    <w:name w:val="heading 3"/>
    <w:basedOn w:val="Normal"/>
    <w:next w:val="Normal"/>
    <w:qFormat/>
    <w:rsid w:val="00BC0C86"/>
    <w:pPr>
      <w:keepNext/>
      <w:outlineLvl w:val="2"/>
    </w:pPr>
    <w:rPr>
      <w:b/>
      <w:color w:val="000000"/>
      <w:sz w:val="22"/>
      <w:lang w:val="en-GB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2404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BC0C86"/>
    <w:rPr>
      <w:b/>
      <w:color w:val="000000"/>
      <w:sz w:val="28"/>
      <w:lang w:val="en-GB"/>
    </w:rPr>
  </w:style>
  <w:style w:type="character" w:styleId="Hyperkobling">
    <w:name w:val="Hyperlink"/>
    <w:basedOn w:val="Standardskriftforavsnitt"/>
    <w:rsid w:val="00BC0C86"/>
    <w:rPr>
      <w:color w:val="0000FF"/>
      <w:u w:val="single"/>
    </w:rPr>
  </w:style>
  <w:style w:type="paragraph" w:styleId="NormalWeb">
    <w:name w:val="Normal (Web)"/>
    <w:basedOn w:val="Normal"/>
    <w:rsid w:val="00BC0C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fr-FR" w:eastAsia="fr-FR"/>
    </w:rPr>
  </w:style>
  <w:style w:type="paragraph" w:styleId="Topptekst">
    <w:name w:val="header"/>
    <w:basedOn w:val="Normal"/>
    <w:link w:val="TopptekstTegn"/>
    <w:rsid w:val="00C05C7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05C7E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22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rsid w:val="00224737"/>
  </w:style>
  <w:style w:type="character" w:styleId="Fotnotereferanse">
    <w:name w:val="footnote reference"/>
    <w:basedOn w:val="Standardskriftforavsnitt"/>
    <w:uiPriority w:val="99"/>
    <w:semiHidden/>
    <w:rsid w:val="00224737"/>
    <w:rPr>
      <w:vertAlign w:val="superscript"/>
    </w:rPr>
  </w:style>
  <w:style w:type="paragraph" w:styleId="Bobletekst">
    <w:name w:val="Balloon Text"/>
    <w:basedOn w:val="Normal"/>
    <w:semiHidden/>
    <w:rsid w:val="00A97724"/>
    <w:rPr>
      <w:rFonts w:ascii="Tahoma" w:hAnsi="Tahoma" w:cs="Tahoma"/>
      <w:sz w:val="16"/>
      <w:szCs w:val="16"/>
    </w:rPr>
  </w:style>
  <w:style w:type="paragraph" w:customStyle="1" w:styleId="AboutCapgemini">
    <w:name w:val="About Capgemini"/>
    <w:basedOn w:val="Overskrift3"/>
    <w:next w:val="Normal"/>
    <w:autoRedefine/>
    <w:rsid w:val="00A11E26"/>
    <w:pPr>
      <w:jc w:val="both"/>
    </w:pPr>
    <w:rPr>
      <w:b w:val="0"/>
      <w:lang w:eastAsia="fr-FR"/>
    </w:rPr>
  </w:style>
  <w:style w:type="paragraph" w:customStyle="1" w:styleId="Footer1">
    <w:name w:val="Footer1"/>
    <w:basedOn w:val="Normal"/>
    <w:autoRedefine/>
    <w:rsid w:val="00513975"/>
    <w:pPr>
      <w:tabs>
        <w:tab w:val="left" w:pos="9540"/>
      </w:tabs>
      <w:ind w:right="360"/>
      <w:jc w:val="both"/>
    </w:pPr>
    <w:rPr>
      <w:rFonts w:ascii="Arial" w:hAnsi="Arial" w:cs="Arial"/>
      <w:i/>
      <w:color w:val="909090"/>
      <w:sz w:val="16"/>
      <w:lang w:val="fr-FR"/>
    </w:rPr>
  </w:style>
  <w:style w:type="character" w:customStyle="1" w:styleId="TopptekstTegn">
    <w:name w:val="Topptekst Tegn"/>
    <w:basedOn w:val="Standardskriftforavsnitt"/>
    <w:link w:val="Topptekst"/>
    <w:rsid w:val="005B2A05"/>
  </w:style>
  <w:style w:type="character" w:customStyle="1" w:styleId="Overskrift5Tegn">
    <w:name w:val="Overskrift 5 Tegn"/>
    <w:basedOn w:val="Standardskriftforavsnitt"/>
    <w:link w:val="Overskrift5"/>
    <w:semiHidden/>
    <w:rsid w:val="00024040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Revisjon">
    <w:name w:val="Revision"/>
    <w:hidden/>
    <w:uiPriority w:val="99"/>
    <w:semiHidden/>
    <w:rsid w:val="007E07EF"/>
    <w:rPr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42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4205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4205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484205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484205"/>
    <w:rPr>
      <w:b/>
      <w:bCs/>
      <w:lang w:val="en-US" w:eastAsia="en-US"/>
    </w:rPr>
  </w:style>
  <w:style w:type="character" w:styleId="Utheving">
    <w:name w:val="Emphasis"/>
    <w:basedOn w:val="Standardskriftforavsnitt"/>
    <w:uiPriority w:val="20"/>
    <w:qFormat/>
    <w:rsid w:val="00B17DB1"/>
    <w:rPr>
      <w:i/>
      <w:iCs/>
    </w:rPr>
  </w:style>
  <w:style w:type="character" w:styleId="Fulgthyperkobling">
    <w:name w:val="FollowedHyperlink"/>
    <w:basedOn w:val="Standardskriftforavsnitt"/>
    <w:semiHidden/>
    <w:unhideWhenUsed/>
    <w:rsid w:val="00857A01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21BC0"/>
    <w:pPr>
      <w:spacing w:before="100" w:beforeAutospacing="1" w:after="100" w:afterAutospacing="1"/>
    </w:pPr>
    <w:rPr>
      <w:sz w:val="24"/>
      <w:szCs w:val="24"/>
    </w:rPr>
  </w:style>
  <w:style w:type="character" w:customStyle="1" w:styleId="xsection-info-text1">
    <w:name w:val="x_section-info-text1"/>
    <w:basedOn w:val="Standardskriftforavsnitt"/>
    <w:rsid w:val="00521BC0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1111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paymentsreport.com/" TargetMode="External"/><Relationship Id="rId13" Type="http://schemas.openxmlformats.org/officeDocument/2006/relationships/hyperlink" Target="http://www.capgemini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ka.nusynowicz@bnpparibas.com" TargetMode="External"/><Relationship Id="rId12" Type="http://schemas.openxmlformats.org/officeDocument/2006/relationships/hyperlink" Target="http://www.capgemini.com/about/how-we-work/the-collaborative-business-experiencetm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orldpaymentsrepor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nppariba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pgemini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00-Corporate%20Identity%20Guidelines%202010-2011\Press%20Release\PressRelease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D3C6-EFF4-4334-888D-55AFDC4B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PressRelease_A4.dotx</Template>
  <TotalTime>7</TotalTime>
  <Pages>2</Pages>
  <Words>1051</Words>
  <Characters>5575</Characters>
  <Application>Microsoft Office Word</Application>
  <DocSecurity>0</DocSecurity>
  <Lines>46</Lines>
  <Paragraphs>13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Press Release Template</vt:lpstr>
      <vt:lpstr>Press Release Template</vt:lpstr>
      <vt:lpstr>Press Release Template</vt:lpstr>
    </vt:vector>
  </TitlesOfParts>
  <Company>Capgemini</Company>
  <LinksUpToDate>false</LinksUpToDate>
  <CharactersWithSpaces>6613</CharactersWithSpaces>
  <SharedDoc>false</SharedDoc>
  <HLinks>
    <vt:vector size="24" baseType="variant">
      <vt:variant>
        <vt:i4>5439508</vt:i4>
      </vt:variant>
      <vt:variant>
        <vt:i4>9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  <vt:variant>
        <vt:i4>6357110</vt:i4>
      </vt:variant>
      <vt:variant>
        <vt:i4>6</vt:i4>
      </vt:variant>
      <vt:variant>
        <vt:i4>0</vt:i4>
      </vt:variant>
      <vt:variant>
        <vt:i4>5</vt:i4>
      </vt:variant>
      <vt:variant>
        <vt:lpwstr>http://www.capgemini.com/about/how-we-work/rightshorer</vt:lpwstr>
      </vt:variant>
      <vt:variant>
        <vt:lpwstr/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>http://www.capgemini.com/about/how-we-work/the-collaborative-business-experiencetm</vt:lpwstr>
      </vt:variant>
      <vt:variant>
        <vt:lpwstr/>
      </vt:variant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Tamara McKinney Berry</dc:creator>
  <cp:keywords>World Payments Report</cp:keywords>
  <cp:lastModifiedBy>Resare, Gunilla</cp:lastModifiedBy>
  <cp:revision>3</cp:revision>
  <cp:lastPrinted>2017-10-10T09:17:00Z</cp:lastPrinted>
  <dcterms:created xsi:type="dcterms:W3CDTF">2017-10-10T09:16:00Z</dcterms:created>
  <dcterms:modified xsi:type="dcterms:W3CDTF">2017-10-10T09:22:00Z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-985420394</vt:i4>
  </property>
  <property fmtid="{D5CDD505-2E9C-101B-9397-08002B2CF9AE}" pid="3" name="_NewReviewCycle">
    <vt:lpwstr/>
  </property>
  <property fmtid="{D5CDD505-2E9C-101B-9397-08002B2CF9AE}" pid="4" name="_DocHome">
    <vt:i4>293985478</vt:i4>
  </property>
  <property fmtid="{D5CDD505-2E9C-101B-9397-08002B2CF9AE}" pid="5" name="_ReviewingToolsShownOnce">
    <vt:lpwstr/>
  </property>
</Properties>
</file>