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E7F" w:rsidRPr="00F262D8" w:rsidRDefault="00130E7F" w:rsidP="007D5E18">
      <w:pPr>
        <w:spacing w:line="360" w:lineRule="auto"/>
        <w:rPr>
          <w:rFonts w:asciiTheme="minorHAnsi" w:hAnsiTheme="minorHAnsi"/>
          <w:b/>
          <w:sz w:val="28"/>
          <w:lang w:val="sv-SE"/>
        </w:rPr>
      </w:pPr>
      <w:r w:rsidRPr="00F262D8">
        <w:rPr>
          <w:rFonts w:asciiTheme="minorHAnsi" w:hAnsiTheme="minorHAnsi"/>
          <w:b/>
          <w:sz w:val="28"/>
          <w:lang w:val="sv-SE"/>
        </w:rPr>
        <w:t>Press</w:t>
      </w:r>
      <w:r w:rsidR="000463B2" w:rsidRPr="00F262D8">
        <w:rPr>
          <w:rFonts w:asciiTheme="minorHAnsi" w:hAnsiTheme="minorHAnsi"/>
          <w:b/>
          <w:sz w:val="28"/>
          <w:lang w:val="sv-SE"/>
        </w:rPr>
        <w:t>meddelande</w:t>
      </w:r>
    </w:p>
    <w:p w:rsidR="00130E7F" w:rsidRPr="00F262D8" w:rsidRDefault="00C034B9" w:rsidP="007D5E18">
      <w:pPr>
        <w:spacing w:line="360" w:lineRule="auto"/>
        <w:rPr>
          <w:rFonts w:asciiTheme="minorHAnsi" w:hAnsiTheme="minorHAnsi"/>
          <w:sz w:val="22"/>
          <w:szCs w:val="20"/>
          <w:lang w:val="sv-SE"/>
        </w:rPr>
      </w:pPr>
      <w:r w:rsidRPr="00C034B9">
        <w:rPr>
          <w:rFonts w:asciiTheme="minorHAnsi" w:hAnsiTheme="minorHAnsi"/>
          <w:color w:val="000000" w:themeColor="text1"/>
          <w:sz w:val="22"/>
          <w:szCs w:val="20"/>
          <w:lang w:val="sv-SE"/>
        </w:rPr>
        <w:t>2</w:t>
      </w:r>
      <w:r w:rsidR="00B412D1" w:rsidRPr="00C034B9">
        <w:rPr>
          <w:rFonts w:asciiTheme="minorHAnsi" w:hAnsiTheme="minorHAnsi"/>
          <w:color w:val="000000" w:themeColor="text1"/>
          <w:sz w:val="22"/>
          <w:szCs w:val="20"/>
          <w:lang w:val="sv-SE"/>
        </w:rPr>
        <w:t xml:space="preserve"> </w:t>
      </w:r>
      <w:r w:rsidR="00DF54E5" w:rsidRPr="00C034B9">
        <w:rPr>
          <w:rFonts w:asciiTheme="minorHAnsi" w:hAnsiTheme="minorHAnsi"/>
          <w:color w:val="000000" w:themeColor="text1"/>
          <w:sz w:val="22"/>
          <w:szCs w:val="20"/>
          <w:lang w:val="sv-SE"/>
        </w:rPr>
        <w:t>m</w:t>
      </w:r>
      <w:r w:rsidR="00DF54E5" w:rsidRPr="00F262D8">
        <w:rPr>
          <w:rFonts w:asciiTheme="minorHAnsi" w:hAnsiTheme="minorHAnsi"/>
          <w:sz w:val="22"/>
          <w:szCs w:val="20"/>
          <w:lang w:val="sv-SE"/>
        </w:rPr>
        <w:t>ars</w:t>
      </w:r>
      <w:r w:rsidR="00B412D1" w:rsidRPr="00F262D8">
        <w:rPr>
          <w:rFonts w:asciiTheme="minorHAnsi" w:hAnsiTheme="minorHAnsi"/>
          <w:sz w:val="22"/>
          <w:szCs w:val="20"/>
          <w:lang w:val="sv-SE"/>
        </w:rPr>
        <w:t xml:space="preserve"> </w:t>
      </w:r>
      <w:r w:rsidR="008B039B" w:rsidRPr="00F262D8">
        <w:rPr>
          <w:rFonts w:asciiTheme="minorHAnsi" w:hAnsiTheme="minorHAnsi"/>
          <w:sz w:val="22"/>
          <w:szCs w:val="20"/>
          <w:lang w:val="sv-SE"/>
        </w:rPr>
        <w:t>2016</w:t>
      </w:r>
    </w:p>
    <w:p w:rsidR="00BC769D" w:rsidRPr="00F262D8" w:rsidRDefault="00BC769D" w:rsidP="007D5E18">
      <w:pPr>
        <w:spacing w:line="360" w:lineRule="auto"/>
        <w:rPr>
          <w:rFonts w:asciiTheme="minorHAnsi" w:hAnsiTheme="minorHAnsi"/>
          <w:b/>
          <w:sz w:val="32"/>
          <w:szCs w:val="28"/>
          <w:lang w:val="sv-SE"/>
        </w:rPr>
      </w:pPr>
    </w:p>
    <w:p w:rsidR="00797AFD" w:rsidRPr="000463B2" w:rsidRDefault="00661563" w:rsidP="00AD2835">
      <w:pPr>
        <w:spacing w:line="336" w:lineRule="auto"/>
        <w:rPr>
          <w:rFonts w:asciiTheme="minorHAnsi" w:hAnsiTheme="minorHAnsi"/>
          <w:b/>
          <w:sz w:val="32"/>
          <w:szCs w:val="28"/>
          <w:lang w:val="sv-SE"/>
        </w:rPr>
      </w:pPr>
      <w:r w:rsidRPr="000463B2">
        <w:rPr>
          <w:rFonts w:asciiTheme="minorHAnsi" w:hAnsiTheme="minorHAnsi"/>
          <w:b/>
          <w:sz w:val="32"/>
          <w:szCs w:val="28"/>
          <w:lang w:val="sv-SE"/>
        </w:rPr>
        <w:t>Solid</w:t>
      </w:r>
      <w:r w:rsidR="000463B2" w:rsidRPr="000463B2">
        <w:rPr>
          <w:rFonts w:asciiTheme="minorHAnsi" w:hAnsiTheme="minorHAnsi"/>
          <w:b/>
          <w:sz w:val="32"/>
          <w:szCs w:val="28"/>
          <w:lang w:val="sv-SE"/>
        </w:rPr>
        <w:t xml:space="preserve"> tillväxt fö</w:t>
      </w:r>
      <w:r w:rsidR="00FB1B5A" w:rsidRPr="000463B2">
        <w:rPr>
          <w:rFonts w:asciiTheme="minorHAnsi" w:hAnsiTheme="minorHAnsi"/>
          <w:b/>
          <w:sz w:val="32"/>
          <w:szCs w:val="28"/>
          <w:lang w:val="sv-SE"/>
        </w:rPr>
        <w:t>r Komplett</w:t>
      </w:r>
      <w:r w:rsidR="00445935" w:rsidRPr="000463B2">
        <w:rPr>
          <w:rFonts w:asciiTheme="minorHAnsi" w:hAnsiTheme="minorHAnsi"/>
          <w:b/>
          <w:sz w:val="32"/>
          <w:szCs w:val="28"/>
          <w:lang w:val="sv-SE"/>
        </w:rPr>
        <w:br/>
      </w:r>
      <w:r w:rsidR="004D7E49" w:rsidRPr="000463B2">
        <w:rPr>
          <w:rFonts w:asciiTheme="minorHAnsi" w:hAnsiTheme="minorHAnsi"/>
          <w:b/>
          <w:szCs w:val="22"/>
          <w:lang w:val="sv-SE"/>
        </w:rPr>
        <w:br/>
      </w:r>
      <w:r w:rsidR="000463B2" w:rsidRPr="000463B2">
        <w:rPr>
          <w:rFonts w:asciiTheme="minorHAnsi" w:hAnsiTheme="minorHAnsi"/>
          <w:b/>
          <w:szCs w:val="22"/>
          <w:lang w:val="sv-SE"/>
        </w:rPr>
        <w:t>Nor</w:t>
      </w:r>
      <w:r w:rsidR="00F262D8">
        <w:rPr>
          <w:rFonts w:asciiTheme="minorHAnsi" w:hAnsiTheme="minorHAnsi"/>
          <w:b/>
          <w:szCs w:val="22"/>
          <w:lang w:val="sv-SE"/>
        </w:rPr>
        <w:t xml:space="preserve">dens största näthandelskoncern </w:t>
      </w:r>
      <w:r w:rsidR="000463B2" w:rsidRPr="000463B2">
        <w:rPr>
          <w:rFonts w:asciiTheme="minorHAnsi" w:hAnsiTheme="minorHAnsi"/>
          <w:b/>
          <w:szCs w:val="22"/>
          <w:lang w:val="sv-SE"/>
        </w:rPr>
        <w:t>Komplett Group had</w:t>
      </w:r>
      <w:r w:rsidR="000463B2">
        <w:rPr>
          <w:rFonts w:asciiTheme="minorHAnsi" w:hAnsiTheme="minorHAnsi"/>
          <w:b/>
          <w:szCs w:val="22"/>
          <w:lang w:val="sv-SE"/>
        </w:rPr>
        <w:t>e en omsättning på 7,</w:t>
      </w:r>
      <w:r w:rsidR="00E66EEF">
        <w:rPr>
          <w:rFonts w:asciiTheme="minorHAnsi" w:hAnsiTheme="minorHAnsi"/>
          <w:b/>
          <w:szCs w:val="22"/>
          <w:lang w:val="sv-SE"/>
        </w:rPr>
        <w:t>6</w:t>
      </w:r>
      <w:r w:rsidR="000463B2">
        <w:rPr>
          <w:rFonts w:asciiTheme="minorHAnsi" w:hAnsiTheme="minorHAnsi"/>
          <w:b/>
          <w:szCs w:val="22"/>
          <w:lang w:val="sv-SE"/>
        </w:rPr>
        <w:t xml:space="preserve"> miljarder</w:t>
      </w:r>
      <w:r w:rsidR="000463B2" w:rsidRPr="000463B2">
        <w:rPr>
          <w:rFonts w:asciiTheme="minorHAnsi" w:hAnsiTheme="minorHAnsi"/>
          <w:b/>
          <w:szCs w:val="22"/>
          <w:lang w:val="sv-SE"/>
        </w:rPr>
        <w:t xml:space="preserve"> </w:t>
      </w:r>
      <w:r w:rsidR="00E66EEF">
        <w:rPr>
          <w:rFonts w:asciiTheme="minorHAnsi" w:hAnsiTheme="minorHAnsi"/>
          <w:b/>
          <w:szCs w:val="22"/>
          <w:lang w:val="sv-SE"/>
        </w:rPr>
        <w:t>SEK</w:t>
      </w:r>
      <w:r w:rsidR="00DF77B1">
        <w:rPr>
          <w:rFonts w:asciiTheme="minorHAnsi" w:hAnsiTheme="minorHAnsi"/>
          <w:b/>
          <w:szCs w:val="22"/>
          <w:lang w:val="sv-SE"/>
        </w:rPr>
        <w:t xml:space="preserve"> i</w:t>
      </w:r>
      <w:r w:rsidR="000463B2" w:rsidRPr="000463B2">
        <w:rPr>
          <w:rFonts w:asciiTheme="minorHAnsi" w:hAnsiTheme="minorHAnsi"/>
          <w:b/>
          <w:szCs w:val="22"/>
          <w:lang w:val="sv-SE"/>
        </w:rPr>
        <w:t xml:space="preserve"> 2015, en tillväxt</w:t>
      </w:r>
      <w:r w:rsidR="000463B2">
        <w:rPr>
          <w:rFonts w:asciiTheme="minorHAnsi" w:hAnsiTheme="minorHAnsi"/>
          <w:b/>
          <w:szCs w:val="22"/>
          <w:lang w:val="sv-SE"/>
        </w:rPr>
        <w:t xml:space="preserve"> på hela </w:t>
      </w:r>
      <w:r w:rsidR="00DF77B1">
        <w:rPr>
          <w:rFonts w:asciiTheme="minorHAnsi" w:hAnsiTheme="minorHAnsi"/>
          <w:b/>
          <w:szCs w:val="22"/>
          <w:lang w:val="sv-SE"/>
        </w:rPr>
        <w:t>20</w:t>
      </w:r>
      <w:r w:rsidR="000463B2">
        <w:rPr>
          <w:rFonts w:asciiTheme="minorHAnsi" w:hAnsiTheme="minorHAnsi"/>
          <w:b/>
          <w:szCs w:val="22"/>
          <w:lang w:val="sv-SE"/>
        </w:rPr>
        <w:t xml:space="preserve"> procent gentemot 2014.</w:t>
      </w:r>
    </w:p>
    <w:p w:rsidR="00797AFD" w:rsidRPr="000463B2" w:rsidRDefault="00797AFD" w:rsidP="00AD2835">
      <w:pPr>
        <w:spacing w:line="336" w:lineRule="auto"/>
        <w:rPr>
          <w:rFonts w:asciiTheme="minorHAnsi" w:hAnsiTheme="minorHAnsi"/>
          <w:b/>
          <w:szCs w:val="22"/>
          <w:lang w:val="sv-SE"/>
        </w:rPr>
      </w:pPr>
    </w:p>
    <w:p w:rsidR="008E6CA8" w:rsidRPr="000463B2" w:rsidRDefault="000463B2" w:rsidP="00AD2835">
      <w:pPr>
        <w:pStyle w:val="ListParagraph"/>
        <w:numPr>
          <w:ilvl w:val="0"/>
          <w:numId w:val="30"/>
        </w:numPr>
        <w:spacing w:line="336" w:lineRule="auto"/>
        <w:rPr>
          <w:rFonts w:asciiTheme="minorHAnsi" w:hAnsiTheme="minorHAnsi"/>
          <w:lang w:val="sv-SE"/>
        </w:rPr>
      </w:pPr>
      <w:r w:rsidRPr="000463B2">
        <w:rPr>
          <w:rFonts w:asciiTheme="minorHAnsi" w:hAnsiTheme="minorHAnsi"/>
          <w:lang w:val="sv-SE"/>
        </w:rPr>
        <w:t>Tillväxten i näthandeln fo</w:t>
      </w:r>
      <w:r>
        <w:rPr>
          <w:rFonts w:asciiTheme="minorHAnsi" w:hAnsiTheme="minorHAnsi"/>
          <w:lang w:val="sv-SE"/>
        </w:rPr>
        <w:t xml:space="preserve">rtsätter med samma styrka och </w:t>
      </w:r>
      <w:r w:rsidRPr="000463B2">
        <w:rPr>
          <w:rFonts w:asciiTheme="minorHAnsi" w:hAnsiTheme="minorHAnsi"/>
          <w:lang w:val="sv-SE"/>
        </w:rPr>
        <w:t>fler kategorier</w:t>
      </w:r>
      <w:r>
        <w:rPr>
          <w:rFonts w:asciiTheme="minorHAnsi" w:hAnsiTheme="minorHAnsi"/>
          <w:lang w:val="sv-SE"/>
        </w:rPr>
        <w:t xml:space="preserve"> är intressanta för oss, säger Ole Vinje, koncernchef i Komplett Group. Vi lägger ett aktivt år bakom oss med uppköp, lansering av nya kategorier och rekord.</w:t>
      </w:r>
    </w:p>
    <w:p w:rsidR="00B272EE" w:rsidRPr="000463B2" w:rsidRDefault="00B272EE" w:rsidP="00AD2835">
      <w:pPr>
        <w:pStyle w:val="ListParagraph"/>
        <w:spacing w:line="336" w:lineRule="auto"/>
        <w:rPr>
          <w:rFonts w:asciiTheme="minorHAnsi" w:hAnsiTheme="minorHAnsi"/>
          <w:lang w:val="sv-SE"/>
        </w:rPr>
      </w:pPr>
    </w:p>
    <w:p w:rsidR="00AA1AD9" w:rsidRPr="000463B2" w:rsidRDefault="000463B2" w:rsidP="00AD2835">
      <w:pPr>
        <w:spacing w:line="336" w:lineRule="auto"/>
        <w:rPr>
          <w:rFonts w:asciiTheme="minorHAnsi" w:hAnsiTheme="minorHAnsi"/>
          <w:sz w:val="22"/>
          <w:szCs w:val="22"/>
          <w:lang w:val="sv-SE"/>
        </w:rPr>
      </w:pPr>
      <w:r w:rsidRPr="000463B2">
        <w:rPr>
          <w:rFonts w:asciiTheme="minorHAnsi" w:hAnsiTheme="minorHAnsi"/>
          <w:sz w:val="22"/>
          <w:szCs w:val="22"/>
          <w:lang w:val="sv-SE"/>
        </w:rPr>
        <w:t>I februari 2015 köpte Komplett Group aktiemajoriteten i den tyska näthandelsaktören Comtech</w:t>
      </w:r>
      <w:r>
        <w:rPr>
          <w:rFonts w:asciiTheme="minorHAnsi" w:hAnsiTheme="minorHAnsi"/>
          <w:sz w:val="22"/>
          <w:szCs w:val="22"/>
          <w:lang w:val="sv-SE"/>
        </w:rPr>
        <w:t>. Investeringen markerar en ny satsning utanför Norden, ökade volymer och större inköpskraft. I november lanserades Komplett Apotek</w:t>
      </w:r>
      <w:r w:rsidR="00E66EEF">
        <w:rPr>
          <w:rFonts w:asciiTheme="minorHAnsi" w:hAnsiTheme="minorHAnsi"/>
          <w:sz w:val="22"/>
          <w:szCs w:val="22"/>
          <w:lang w:val="sv-SE"/>
        </w:rPr>
        <w:t xml:space="preserve"> i Norge</w:t>
      </w:r>
      <w:r>
        <w:rPr>
          <w:rFonts w:asciiTheme="minorHAnsi" w:hAnsiTheme="minorHAnsi"/>
          <w:sz w:val="22"/>
          <w:szCs w:val="22"/>
          <w:lang w:val="sv-SE"/>
        </w:rPr>
        <w:t>. Ambitionen är att bl</w:t>
      </w:r>
      <w:r w:rsidR="00F262D8">
        <w:rPr>
          <w:rFonts w:asciiTheme="minorHAnsi" w:hAnsiTheme="minorHAnsi"/>
          <w:sz w:val="22"/>
          <w:szCs w:val="22"/>
          <w:lang w:val="sv-SE"/>
        </w:rPr>
        <w:t>i landets största nätapotek</w:t>
      </w:r>
      <w:r>
        <w:rPr>
          <w:rFonts w:asciiTheme="minorHAnsi" w:hAnsiTheme="minorHAnsi"/>
          <w:sz w:val="22"/>
          <w:szCs w:val="22"/>
          <w:lang w:val="sv-SE"/>
        </w:rPr>
        <w:t xml:space="preserve"> oc</w:t>
      </w:r>
      <w:r w:rsidR="0070239E">
        <w:rPr>
          <w:rFonts w:asciiTheme="minorHAnsi" w:hAnsiTheme="minorHAnsi"/>
          <w:sz w:val="22"/>
          <w:szCs w:val="22"/>
          <w:lang w:val="sv-SE"/>
        </w:rPr>
        <w:t>h inte minst</w:t>
      </w:r>
      <w:r>
        <w:rPr>
          <w:rFonts w:asciiTheme="minorHAnsi" w:hAnsiTheme="minorHAnsi"/>
          <w:sz w:val="22"/>
          <w:szCs w:val="22"/>
          <w:lang w:val="sv-SE"/>
        </w:rPr>
        <w:t xml:space="preserve"> utmana en stor samt etablerad bransch.</w:t>
      </w:r>
    </w:p>
    <w:p w:rsidR="003B565F" w:rsidRPr="000463B2" w:rsidRDefault="003B565F" w:rsidP="00AD2835">
      <w:pPr>
        <w:spacing w:line="336" w:lineRule="auto"/>
        <w:rPr>
          <w:rFonts w:asciiTheme="minorHAnsi" w:hAnsiTheme="minorHAnsi"/>
          <w:sz w:val="22"/>
          <w:szCs w:val="22"/>
          <w:lang w:val="sv-SE"/>
        </w:rPr>
      </w:pPr>
    </w:p>
    <w:p w:rsidR="00AD2835" w:rsidRPr="00A666C6" w:rsidRDefault="000463B2" w:rsidP="00AD2835">
      <w:pPr>
        <w:pStyle w:val="ListParagraph"/>
        <w:numPr>
          <w:ilvl w:val="0"/>
          <w:numId w:val="30"/>
        </w:numPr>
        <w:spacing w:line="336" w:lineRule="auto"/>
        <w:rPr>
          <w:rFonts w:asciiTheme="minorHAnsi" w:hAnsiTheme="minorHAnsi"/>
          <w:lang w:val="sv-SE"/>
        </w:rPr>
      </w:pPr>
      <w:r w:rsidRPr="00A666C6">
        <w:rPr>
          <w:rFonts w:asciiTheme="minorHAnsi" w:hAnsiTheme="minorHAnsi"/>
          <w:lang w:val="sv-SE"/>
        </w:rPr>
        <w:t>Vår strategi är att utveckla koncernen från elek</w:t>
      </w:r>
      <w:r w:rsidR="0070239E">
        <w:rPr>
          <w:rFonts w:asciiTheme="minorHAnsi" w:hAnsiTheme="minorHAnsi"/>
          <w:lang w:val="sv-SE"/>
        </w:rPr>
        <w:t xml:space="preserve">tronik till ett </w:t>
      </w:r>
      <w:r w:rsidR="00F262D8">
        <w:rPr>
          <w:rFonts w:asciiTheme="minorHAnsi" w:hAnsiTheme="minorHAnsi"/>
          <w:lang w:val="sv-SE"/>
        </w:rPr>
        <w:t>shoppingparadis</w:t>
      </w:r>
      <w:r w:rsidRPr="00A666C6">
        <w:rPr>
          <w:rFonts w:asciiTheme="minorHAnsi" w:hAnsiTheme="minorHAnsi"/>
          <w:lang w:val="sv-SE"/>
        </w:rPr>
        <w:t xml:space="preserve">, fortsätter Vinje. Vi är kontinuerligt på jakt efter spännande </w:t>
      </w:r>
      <w:r w:rsidR="00E94EB0" w:rsidRPr="00A666C6">
        <w:rPr>
          <w:rFonts w:asciiTheme="minorHAnsi" w:hAnsiTheme="minorHAnsi"/>
          <w:lang w:val="sv-SE"/>
        </w:rPr>
        <w:t>tillväxtbranscher</w:t>
      </w:r>
      <w:r w:rsidR="00A666C6" w:rsidRPr="00A666C6">
        <w:rPr>
          <w:rFonts w:asciiTheme="minorHAnsi" w:hAnsiTheme="minorHAnsi"/>
          <w:lang w:val="sv-SE"/>
        </w:rPr>
        <w:t xml:space="preserve"> och upplever att riktig spetskompetens samt kontaktnät är avgörande succékriterier. </w:t>
      </w:r>
      <w:r w:rsidR="00A666C6">
        <w:rPr>
          <w:rFonts w:asciiTheme="minorHAnsi" w:hAnsiTheme="minorHAnsi"/>
          <w:lang w:val="sv-SE"/>
        </w:rPr>
        <w:t>Babybanden där vi gick in på ägarsidan 2014 är ett bra exempel på det. I fjol tredubblades deras omsättning.</w:t>
      </w:r>
    </w:p>
    <w:p w:rsidR="00313DAD" w:rsidRPr="00A666C6" w:rsidRDefault="00313DAD" w:rsidP="00AD2835">
      <w:pPr>
        <w:pStyle w:val="ListParagraph"/>
        <w:spacing w:line="336" w:lineRule="auto"/>
        <w:rPr>
          <w:rFonts w:asciiTheme="minorHAnsi" w:hAnsiTheme="minorHAnsi"/>
          <w:lang w:val="sv-SE"/>
        </w:rPr>
      </w:pPr>
    </w:p>
    <w:p w:rsidR="00906623" w:rsidRPr="00A666C6" w:rsidRDefault="00A666C6" w:rsidP="00AD2835">
      <w:pPr>
        <w:spacing w:line="336" w:lineRule="auto"/>
        <w:rPr>
          <w:rFonts w:asciiTheme="minorHAnsi" w:hAnsiTheme="minorHAnsi"/>
          <w:sz w:val="22"/>
          <w:lang w:val="sv-SE"/>
        </w:rPr>
      </w:pPr>
      <w:r w:rsidRPr="00A666C6">
        <w:rPr>
          <w:rFonts w:asciiTheme="minorHAnsi" w:hAnsiTheme="minorHAnsi"/>
          <w:sz w:val="22"/>
          <w:lang w:val="sv-SE"/>
        </w:rPr>
        <w:t>Komple</w:t>
      </w:r>
      <w:r w:rsidR="00F262D8">
        <w:rPr>
          <w:rFonts w:asciiTheme="minorHAnsi" w:hAnsiTheme="minorHAnsi"/>
          <w:sz w:val="22"/>
          <w:lang w:val="sv-SE"/>
        </w:rPr>
        <w:t xml:space="preserve">tts ambitioner i 2016 är stora </w:t>
      </w:r>
      <w:r w:rsidRPr="00A666C6">
        <w:rPr>
          <w:rFonts w:asciiTheme="minorHAnsi" w:hAnsiTheme="minorHAnsi"/>
          <w:sz w:val="22"/>
          <w:lang w:val="sv-SE"/>
        </w:rPr>
        <w:t>och målet är att passera 8 miljarder vid årsskiftet. Kompletts nya marknadsplats är under utveckling.</w:t>
      </w:r>
    </w:p>
    <w:p w:rsidR="00906623" w:rsidRPr="00A666C6" w:rsidRDefault="00906623" w:rsidP="00AD2835">
      <w:pPr>
        <w:spacing w:line="336" w:lineRule="auto"/>
        <w:rPr>
          <w:rFonts w:asciiTheme="minorHAnsi" w:hAnsiTheme="minorHAnsi"/>
          <w:sz w:val="22"/>
          <w:lang w:val="sv-SE"/>
        </w:rPr>
      </w:pPr>
    </w:p>
    <w:p w:rsidR="00AD2835" w:rsidRPr="00A666C6" w:rsidRDefault="00A666C6" w:rsidP="00906623">
      <w:pPr>
        <w:pStyle w:val="ListParagraph"/>
        <w:numPr>
          <w:ilvl w:val="0"/>
          <w:numId w:val="30"/>
        </w:numPr>
        <w:spacing w:line="336" w:lineRule="auto"/>
        <w:rPr>
          <w:rFonts w:asciiTheme="minorHAnsi" w:hAnsiTheme="minorHAnsi"/>
          <w:lang w:val="sv-SE"/>
        </w:rPr>
      </w:pPr>
      <w:r w:rsidRPr="00A666C6">
        <w:rPr>
          <w:rFonts w:asciiTheme="minorHAnsi" w:hAnsiTheme="minorHAnsi"/>
          <w:lang w:val="sv-SE"/>
        </w:rPr>
        <w:t>Genom lösningen vill</w:t>
      </w:r>
      <w:r w:rsidR="0070239E">
        <w:rPr>
          <w:rFonts w:asciiTheme="minorHAnsi" w:hAnsiTheme="minorHAnsi"/>
          <w:lang w:val="sv-SE"/>
        </w:rPr>
        <w:t xml:space="preserve"> vi</w:t>
      </w:r>
      <w:r w:rsidRPr="00A666C6">
        <w:rPr>
          <w:rFonts w:asciiTheme="minorHAnsi" w:hAnsiTheme="minorHAnsi"/>
          <w:lang w:val="sv-SE"/>
        </w:rPr>
        <w:t xml:space="preserve"> låta andra näthandelsaktörer sälja sina produkter via våra nätbutiker. </w:t>
      </w:r>
      <w:r>
        <w:rPr>
          <w:rFonts w:asciiTheme="minorHAnsi" w:hAnsiTheme="minorHAnsi"/>
          <w:lang w:val="sv-SE"/>
        </w:rPr>
        <w:t>Vi ska lyfta shoppingupplevelsen till en helt ny nivå, avslutar Ole Vinje.</w:t>
      </w:r>
    </w:p>
    <w:p w:rsidR="00313DAD" w:rsidRPr="00A666C6" w:rsidRDefault="00313DAD" w:rsidP="00AD2835">
      <w:pPr>
        <w:pStyle w:val="ListParagraph"/>
        <w:spacing w:line="336" w:lineRule="auto"/>
        <w:rPr>
          <w:rFonts w:asciiTheme="minorHAnsi" w:hAnsiTheme="minorHAnsi"/>
          <w:lang w:val="sv-SE"/>
        </w:rPr>
      </w:pPr>
    </w:p>
    <w:p w:rsidR="00F25C18" w:rsidRPr="00A666C6" w:rsidRDefault="00A666C6" w:rsidP="00AD2835">
      <w:pPr>
        <w:spacing w:line="336" w:lineRule="auto"/>
        <w:rPr>
          <w:rFonts w:asciiTheme="minorHAnsi" w:hAnsiTheme="minorHAnsi"/>
          <w:b/>
          <w:sz w:val="22"/>
          <w:lang w:val="sv-SE"/>
        </w:rPr>
      </w:pPr>
      <w:r w:rsidRPr="00A666C6">
        <w:rPr>
          <w:rFonts w:asciiTheme="minorHAnsi" w:hAnsiTheme="minorHAnsi"/>
          <w:b/>
          <w:sz w:val="22"/>
          <w:lang w:val="sv-SE"/>
        </w:rPr>
        <w:t>Fö</w:t>
      </w:r>
      <w:r w:rsidR="00F25C18" w:rsidRPr="00A666C6">
        <w:rPr>
          <w:rFonts w:asciiTheme="minorHAnsi" w:hAnsiTheme="minorHAnsi"/>
          <w:b/>
          <w:sz w:val="22"/>
          <w:lang w:val="sv-SE"/>
        </w:rPr>
        <w:t>r mer informa</w:t>
      </w:r>
      <w:r w:rsidRPr="00A666C6">
        <w:rPr>
          <w:rFonts w:asciiTheme="minorHAnsi" w:hAnsiTheme="minorHAnsi"/>
          <w:b/>
          <w:sz w:val="22"/>
          <w:lang w:val="sv-SE"/>
        </w:rPr>
        <w:t>ti</w:t>
      </w:r>
      <w:r w:rsidR="00F25C18" w:rsidRPr="00A666C6">
        <w:rPr>
          <w:rFonts w:asciiTheme="minorHAnsi" w:hAnsiTheme="minorHAnsi"/>
          <w:b/>
          <w:sz w:val="22"/>
          <w:lang w:val="sv-SE"/>
        </w:rPr>
        <w:t>on kontakt</w:t>
      </w:r>
      <w:r w:rsidRPr="00A666C6">
        <w:rPr>
          <w:rFonts w:asciiTheme="minorHAnsi" w:hAnsiTheme="minorHAnsi"/>
          <w:b/>
          <w:sz w:val="22"/>
          <w:lang w:val="sv-SE"/>
        </w:rPr>
        <w:t>a</w:t>
      </w:r>
      <w:r w:rsidR="00F25C18" w:rsidRPr="00A666C6">
        <w:rPr>
          <w:rFonts w:asciiTheme="minorHAnsi" w:hAnsiTheme="minorHAnsi"/>
          <w:b/>
          <w:sz w:val="22"/>
          <w:lang w:val="sv-SE"/>
        </w:rPr>
        <w:t>:</w:t>
      </w:r>
    </w:p>
    <w:p w:rsidR="00F25C18" w:rsidRPr="00A666C6" w:rsidRDefault="0070239E" w:rsidP="00AD2835">
      <w:pPr>
        <w:spacing w:line="336" w:lineRule="auto"/>
        <w:rPr>
          <w:rFonts w:asciiTheme="minorHAnsi" w:hAnsiTheme="minorHAnsi"/>
          <w:b/>
          <w:sz w:val="22"/>
          <w:lang w:val="sv-SE"/>
        </w:rPr>
      </w:pPr>
      <w:r>
        <w:rPr>
          <w:rFonts w:asciiTheme="minorHAnsi" w:hAnsiTheme="minorHAnsi"/>
          <w:sz w:val="22"/>
          <w:lang w:val="sv-SE"/>
        </w:rPr>
        <w:t>Ole Vinje, konc</w:t>
      </w:r>
      <w:r w:rsidR="00F25C18" w:rsidRPr="00A666C6">
        <w:rPr>
          <w:rFonts w:asciiTheme="minorHAnsi" w:hAnsiTheme="minorHAnsi"/>
          <w:sz w:val="22"/>
          <w:lang w:val="sv-SE"/>
        </w:rPr>
        <w:t>ern</w:t>
      </w:r>
      <w:r w:rsidR="00A666C6" w:rsidRPr="00A666C6">
        <w:rPr>
          <w:rFonts w:asciiTheme="minorHAnsi" w:hAnsiTheme="minorHAnsi"/>
          <w:sz w:val="22"/>
          <w:lang w:val="sv-SE"/>
        </w:rPr>
        <w:t>chef</w:t>
      </w:r>
      <w:r w:rsidR="00F25C18" w:rsidRPr="00A666C6">
        <w:rPr>
          <w:rFonts w:asciiTheme="minorHAnsi" w:hAnsiTheme="minorHAnsi"/>
          <w:sz w:val="22"/>
          <w:lang w:val="sv-SE"/>
        </w:rPr>
        <w:t xml:space="preserve"> Komplett Group – mobil</w:t>
      </w:r>
      <w:r w:rsidR="00E66EEF">
        <w:rPr>
          <w:rFonts w:asciiTheme="minorHAnsi" w:hAnsiTheme="minorHAnsi"/>
          <w:sz w:val="22"/>
          <w:lang w:val="sv-SE"/>
        </w:rPr>
        <w:t xml:space="preserve"> +47</w:t>
      </w:r>
      <w:r w:rsidR="00F25C18" w:rsidRPr="00A666C6">
        <w:rPr>
          <w:rFonts w:asciiTheme="minorHAnsi" w:hAnsiTheme="minorHAnsi"/>
          <w:sz w:val="22"/>
          <w:lang w:val="sv-SE"/>
        </w:rPr>
        <w:t xml:space="preserve"> 90 08 94 21</w:t>
      </w:r>
      <w:r w:rsidR="00F25C18" w:rsidRPr="00A666C6">
        <w:rPr>
          <w:rFonts w:asciiTheme="minorHAnsi" w:hAnsiTheme="minorHAnsi"/>
          <w:sz w:val="22"/>
          <w:lang w:val="sv-SE"/>
        </w:rPr>
        <w:br/>
      </w:r>
    </w:p>
    <w:p w:rsidR="00F25C18" w:rsidRPr="00A666C6" w:rsidRDefault="00F25C18" w:rsidP="00AD2835">
      <w:pPr>
        <w:spacing w:line="336" w:lineRule="auto"/>
        <w:rPr>
          <w:rFonts w:asciiTheme="minorHAnsi" w:hAnsiTheme="minorHAnsi"/>
          <w:lang w:val="sv-SE"/>
        </w:rPr>
      </w:pPr>
    </w:p>
    <w:p w:rsidR="00BC5F56" w:rsidRDefault="00CA389E" w:rsidP="00AD2835">
      <w:pPr>
        <w:spacing w:line="336" w:lineRule="auto"/>
        <w:rPr>
          <w:rFonts w:asciiTheme="minorHAnsi" w:hAnsiTheme="minorHAnsi"/>
          <w:b/>
          <w:noProof/>
          <w:sz w:val="22"/>
        </w:rPr>
      </w:pPr>
      <w:r w:rsidRPr="00A666C6">
        <w:rPr>
          <w:rFonts w:asciiTheme="minorHAnsi" w:eastAsiaTheme="minorEastAsia" w:hAnsiTheme="minorHAnsi"/>
          <w:sz w:val="22"/>
          <w:lang w:val="sv-SE"/>
        </w:rPr>
        <w:lastRenderedPageBreak/>
        <w:br/>
      </w:r>
      <w:r w:rsidR="00BC5F56">
        <w:rPr>
          <w:rFonts w:asciiTheme="minorHAnsi" w:hAnsiTheme="minorHAnsi"/>
          <w:b/>
          <w:noProof/>
          <w:sz w:val="22"/>
        </w:rPr>
        <w:t>Komplett Group årsresultat 2015</w:t>
      </w:r>
      <w:r w:rsidR="00BC5F56">
        <w:rPr>
          <w:rFonts w:asciiTheme="minorHAnsi" w:hAnsiTheme="minorHAnsi"/>
          <w:b/>
          <w:noProof/>
          <w:sz w:val="22"/>
        </w:rPr>
        <w:br/>
      </w:r>
    </w:p>
    <w:tbl>
      <w:tblPr>
        <w:tblW w:w="7300" w:type="dxa"/>
        <w:tblInd w:w="-10" w:type="dxa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2320"/>
        <w:gridCol w:w="1660"/>
        <w:gridCol w:w="1660"/>
        <w:gridCol w:w="1660"/>
      </w:tblGrid>
      <w:tr w:rsidR="00BC5F56" w:rsidTr="00BC5F56">
        <w:trPr>
          <w:trHeight w:val="315"/>
        </w:trPr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83786F"/>
            <w:vAlign w:val="center"/>
            <w:hideMark/>
          </w:tcPr>
          <w:p w:rsidR="00BC5F56" w:rsidRDefault="00BC5F56" w:rsidP="00AD2835">
            <w:pPr>
              <w:spacing w:line="336" w:lineRule="auto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Resultat</w:t>
            </w:r>
          </w:p>
        </w:tc>
        <w:tc>
          <w:tcPr>
            <w:tcW w:w="166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83786F"/>
            <w:vAlign w:val="center"/>
            <w:hideMark/>
          </w:tcPr>
          <w:p w:rsidR="00BC5F56" w:rsidRDefault="00BC5F56" w:rsidP="00AD2835">
            <w:pPr>
              <w:spacing w:line="336" w:lineRule="auto"/>
              <w:ind w:firstLineChars="100" w:firstLine="181"/>
              <w:jc w:val="right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2015</w:t>
            </w:r>
          </w:p>
        </w:tc>
        <w:tc>
          <w:tcPr>
            <w:tcW w:w="166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83786F"/>
            <w:vAlign w:val="center"/>
            <w:hideMark/>
          </w:tcPr>
          <w:p w:rsidR="00BC5F56" w:rsidRDefault="00BC5F56" w:rsidP="00AD2835">
            <w:pPr>
              <w:spacing w:line="336" w:lineRule="auto"/>
              <w:ind w:firstLineChars="100" w:firstLine="181"/>
              <w:jc w:val="right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2014</w:t>
            </w:r>
          </w:p>
        </w:tc>
        <w:tc>
          <w:tcPr>
            <w:tcW w:w="166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83786F"/>
            <w:vAlign w:val="center"/>
            <w:hideMark/>
          </w:tcPr>
          <w:p w:rsidR="00BC5F56" w:rsidRDefault="00A666C6" w:rsidP="00AD2835">
            <w:pPr>
              <w:spacing w:line="336" w:lineRule="auto"/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Ä</w:t>
            </w:r>
            <w:r w:rsidR="00BC5F56"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ndring</w:t>
            </w:r>
          </w:p>
        </w:tc>
      </w:tr>
      <w:tr w:rsidR="00BC5F56" w:rsidTr="00BC5F56">
        <w:trPr>
          <w:trHeight w:val="330"/>
        </w:trPr>
        <w:tc>
          <w:tcPr>
            <w:tcW w:w="23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BC5F56" w:rsidRDefault="00A666C6" w:rsidP="00AD2835">
            <w:pPr>
              <w:spacing w:line="336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(Alla ta</w:t>
            </w:r>
            <w:r w:rsidR="00DF77B1">
              <w:rPr>
                <w:rFonts w:ascii="Calibri" w:hAnsi="Calibri"/>
                <w:color w:val="000000"/>
                <w:sz w:val="16"/>
                <w:szCs w:val="16"/>
              </w:rPr>
              <w:t>l i SEK</w:t>
            </w:r>
            <w:r w:rsidR="00BC5F56">
              <w:rPr>
                <w:rFonts w:ascii="Calibri" w:hAnsi="Calibri"/>
                <w:color w:val="000000"/>
                <w:sz w:val="16"/>
                <w:szCs w:val="16"/>
              </w:rPr>
              <w:t xml:space="preserve"> 1000)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hideMark/>
          </w:tcPr>
          <w:p w:rsidR="00BC5F56" w:rsidRDefault="00BC5F56" w:rsidP="00AD2835">
            <w:pPr>
              <w:spacing w:line="33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hideMark/>
          </w:tcPr>
          <w:p w:rsidR="00BC5F56" w:rsidRDefault="00BC5F56" w:rsidP="00AD2835">
            <w:pPr>
              <w:spacing w:line="33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hideMark/>
          </w:tcPr>
          <w:p w:rsidR="00BC5F56" w:rsidRDefault="00BC5F56" w:rsidP="00AD2835">
            <w:pPr>
              <w:spacing w:line="33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C5F56" w:rsidTr="00BC5F56">
        <w:trPr>
          <w:trHeight w:val="315"/>
        </w:trPr>
        <w:tc>
          <w:tcPr>
            <w:tcW w:w="23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CEB"/>
            <w:vAlign w:val="center"/>
            <w:hideMark/>
          </w:tcPr>
          <w:p w:rsidR="00BC5F56" w:rsidRDefault="00A666C6" w:rsidP="00AD2835">
            <w:pPr>
              <w:spacing w:line="33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Intäkter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CEB"/>
            <w:vAlign w:val="center"/>
            <w:hideMark/>
          </w:tcPr>
          <w:p w:rsidR="00BC5F56" w:rsidRDefault="00DF77B1" w:rsidP="00AD2835">
            <w:pPr>
              <w:spacing w:line="336" w:lineRule="auto"/>
              <w:ind w:firstLineChars="100" w:firstLine="18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7 613 361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CEB"/>
            <w:vAlign w:val="center"/>
            <w:hideMark/>
          </w:tcPr>
          <w:p w:rsidR="00BC5F56" w:rsidRDefault="00DF77B1" w:rsidP="00AD2835">
            <w:pPr>
              <w:spacing w:line="336" w:lineRule="auto"/>
              <w:ind w:firstLineChars="100" w:firstLine="18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6 338 966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CEB"/>
            <w:vAlign w:val="center"/>
            <w:hideMark/>
          </w:tcPr>
          <w:p w:rsidR="00BC5F56" w:rsidRDefault="00DF77B1" w:rsidP="00DF77B1">
            <w:pPr>
              <w:spacing w:line="33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  <w:r w:rsidR="00E66EEF">
              <w:rPr>
                <w:rFonts w:ascii="Calibri" w:hAnsi="Calibri"/>
                <w:color w:val="000000"/>
                <w:sz w:val="18"/>
                <w:szCs w:val="18"/>
              </w:rPr>
              <w:t>,1</w:t>
            </w:r>
            <w:r w:rsidR="00BC5F56">
              <w:rPr>
                <w:rFonts w:ascii="Calibri" w:hAnsi="Calibri"/>
                <w:color w:val="000000"/>
                <w:sz w:val="18"/>
                <w:szCs w:val="18"/>
              </w:rPr>
              <w:t>%</w:t>
            </w:r>
          </w:p>
        </w:tc>
      </w:tr>
      <w:tr w:rsidR="00BC5F56" w:rsidTr="00BC5F56">
        <w:trPr>
          <w:trHeight w:val="315"/>
        </w:trPr>
        <w:tc>
          <w:tcPr>
            <w:tcW w:w="23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6D5"/>
            <w:vAlign w:val="center"/>
            <w:hideMark/>
          </w:tcPr>
          <w:p w:rsidR="00BC5F56" w:rsidRDefault="00A666C6" w:rsidP="00AD2835">
            <w:pPr>
              <w:spacing w:line="33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Resultat</w:t>
            </w:r>
            <w:r w:rsidR="00BC5F56">
              <w:rPr>
                <w:rFonts w:ascii="Calibri" w:hAnsi="Calibri"/>
                <w:color w:val="000000"/>
                <w:sz w:val="18"/>
                <w:szCs w:val="18"/>
              </w:rPr>
              <w:t xml:space="preserve"> (EBITDA)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6D5"/>
            <w:vAlign w:val="center"/>
            <w:hideMark/>
          </w:tcPr>
          <w:p w:rsidR="00BC5F56" w:rsidRDefault="00DF77B1" w:rsidP="00AD2835">
            <w:pPr>
              <w:spacing w:line="336" w:lineRule="auto"/>
              <w:ind w:firstLineChars="100" w:firstLine="18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191 187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6D5"/>
            <w:vAlign w:val="center"/>
            <w:hideMark/>
          </w:tcPr>
          <w:p w:rsidR="00BC5F56" w:rsidRDefault="00DF77B1" w:rsidP="00AD2835">
            <w:pPr>
              <w:spacing w:line="336" w:lineRule="auto"/>
              <w:ind w:firstLineChars="100" w:firstLine="18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163 730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6D5"/>
            <w:vAlign w:val="center"/>
            <w:hideMark/>
          </w:tcPr>
          <w:p w:rsidR="00BC5F56" w:rsidRDefault="00E66EEF" w:rsidP="00AD2835">
            <w:pPr>
              <w:spacing w:line="33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16,8</w:t>
            </w:r>
            <w:r w:rsidR="00BC5F56">
              <w:rPr>
                <w:rFonts w:ascii="Calibri" w:hAnsi="Calibri"/>
                <w:color w:val="000000"/>
                <w:sz w:val="18"/>
                <w:szCs w:val="18"/>
              </w:rPr>
              <w:t>%</w:t>
            </w:r>
          </w:p>
        </w:tc>
      </w:tr>
      <w:tr w:rsidR="00BC5F56" w:rsidTr="00BC5F56">
        <w:trPr>
          <w:trHeight w:val="315"/>
        </w:trPr>
        <w:tc>
          <w:tcPr>
            <w:tcW w:w="23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CEB"/>
            <w:vAlign w:val="center"/>
            <w:hideMark/>
          </w:tcPr>
          <w:p w:rsidR="00BC5F56" w:rsidRDefault="00A666C6" w:rsidP="00AD2835">
            <w:pPr>
              <w:spacing w:line="33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Resultat</w:t>
            </w:r>
            <w:r w:rsidR="00BC5F56">
              <w:rPr>
                <w:rFonts w:ascii="Calibri" w:hAnsi="Calibri"/>
                <w:color w:val="000000"/>
                <w:sz w:val="18"/>
                <w:szCs w:val="18"/>
              </w:rPr>
              <w:t xml:space="preserve"> (EBIT)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CEB"/>
            <w:vAlign w:val="center"/>
            <w:hideMark/>
          </w:tcPr>
          <w:p w:rsidR="00BC5F56" w:rsidRDefault="00DF77B1" w:rsidP="00AD2835">
            <w:pPr>
              <w:spacing w:line="336" w:lineRule="auto"/>
              <w:ind w:firstLineChars="100" w:firstLine="18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141 543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CEB"/>
            <w:vAlign w:val="center"/>
            <w:hideMark/>
          </w:tcPr>
          <w:p w:rsidR="00BC5F56" w:rsidRDefault="00DF77B1" w:rsidP="00AD2835">
            <w:pPr>
              <w:spacing w:line="336" w:lineRule="auto"/>
              <w:ind w:firstLineChars="100" w:firstLine="18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116 469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CEB"/>
            <w:vAlign w:val="center"/>
            <w:hideMark/>
          </w:tcPr>
          <w:p w:rsidR="00BC5F56" w:rsidRDefault="00DF77B1" w:rsidP="00AD2835">
            <w:pPr>
              <w:spacing w:line="33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21,5</w:t>
            </w:r>
            <w:r w:rsidR="00BC5F56">
              <w:rPr>
                <w:rFonts w:ascii="Calibri" w:hAnsi="Calibri"/>
                <w:color w:val="000000"/>
                <w:sz w:val="18"/>
                <w:szCs w:val="18"/>
              </w:rPr>
              <w:t>%</w:t>
            </w:r>
          </w:p>
        </w:tc>
      </w:tr>
      <w:tr w:rsidR="00BC5F56" w:rsidTr="00BC5F56">
        <w:trPr>
          <w:trHeight w:val="315"/>
        </w:trPr>
        <w:tc>
          <w:tcPr>
            <w:tcW w:w="23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6D5"/>
            <w:vAlign w:val="center"/>
            <w:hideMark/>
          </w:tcPr>
          <w:p w:rsidR="00BC5F56" w:rsidRDefault="00A666C6" w:rsidP="00AD2835">
            <w:pPr>
              <w:spacing w:line="33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Resultat fö</w:t>
            </w:r>
            <w:r w:rsidR="00BC5F56">
              <w:rPr>
                <w:rFonts w:ascii="Calibri" w:hAnsi="Calibri"/>
                <w:color w:val="000000"/>
                <w:sz w:val="18"/>
                <w:szCs w:val="18"/>
              </w:rPr>
              <w:t>r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e</w:t>
            </w:r>
            <w:r w:rsidR="00BC5F56">
              <w:rPr>
                <w:rFonts w:ascii="Calibri" w:hAnsi="Calibri"/>
                <w:color w:val="000000"/>
                <w:sz w:val="18"/>
                <w:szCs w:val="18"/>
              </w:rPr>
              <w:t xml:space="preserve"> skatt (EBT)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6D5"/>
            <w:vAlign w:val="center"/>
            <w:hideMark/>
          </w:tcPr>
          <w:p w:rsidR="00BC5F56" w:rsidRDefault="00DF77B1" w:rsidP="00AD2835">
            <w:pPr>
              <w:spacing w:line="336" w:lineRule="auto"/>
              <w:ind w:firstLineChars="100" w:firstLine="18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126 401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6D5"/>
            <w:vAlign w:val="center"/>
            <w:hideMark/>
          </w:tcPr>
          <w:p w:rsidR="00BC5F56" w:rsidRDefault="00DF77B1" w:rsidP="00AD2835">
            <w:pPr>
              <w:spacing w:line="336" w:lineRule="auto"/>
              <w:ind w:firstLineChars="100" w:firstLine="18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81 662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6D5"/>
            <w:vAlign w:val="center"/>
            <w:hideMark/>
          </w:tcPr>
          <w:p w:rsidR="00BC5F56" w:rsidRDefault="00DF77B1" w:rsidP="00AD2835">
            <w:pPr>
              <w:spacing w:line="33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54,8</w:t>
            </w:r>
            <w:r w:rsidR="00BC5F56">
              <w:rPr>
                <w:rFonts w:ascii="Calibri" w:hAnsi="Calibri"/>
                <w:color w:val="000000"/>
                <w:sz w:val="18"/>
                <w:szCs w:val="18"/>
              </w:rPr>
              <w:t>%</w:t>
            </w:r>
          </w:p>
        </w:tc>
      </w:tr>
    </w:tbl>
    <w:p w:rsidR="00A10982" w:rsidRPr="00CA389E" w:rsidRDefault="00431019" w:rsidP="00AD2835">
      <w:pPr>
        <w:spacing w:line="336" w:lineRule="auto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br/>
      </w:r>
      <w:r w:rsidR="00784BD9" w:rsidRPr="00CA389E">
        <w:rPr>
          <w:rFonts w:asciiTheme="minorHAnsi" w:hAnsiTheme="minorHAnsi"/>
          <w:b/>
          <w:sz w:val="22"/>
        </w:rPr>
        <w:t>Komplett Group</w:t>
      </w:r>
    </w:p>
    <w:p w:rsidR="00F85F12" w:rsidRPr="0070239E" w:rsidRDefault="0070239E" w:rsidP="00AD2835">
      <w:pPr>
        <w:spacing w:line="336" w:lineRule="auto"/>
        <w:rPr>
          <w:rFonts w:asciiTheme="minorHAnsi" w:hAnsiTheme="minorHAnsi"/>
          <w:sz w:val="22"/>
          <w:lang w:val="sv-SE"/>
        </w:rPr>
      </w:pPr>
      <w:r w:rsidRPr="0070239E">
        <w:rPr>
          <w:rFonts w:asciiTheme="minorHAnsi" w:hAnsiTheme="minorHAnsi"/>
          <w:sz w:val="22"/>
          <w:lang w:val="sv-SE"/>
        </w:rPr>
        <w:t>Komplett Group är Nordens största nä</w:t>
      </w:r>
      <w:r>
        <w:rPr>
          <w:rFonts w:asciiTheme="minorHAnsi" w:hAnsiTheme="minorHAnsi"/>
          <w:sz w:val="22"/>
          <w:lang w:val="sv-SE"/>
        </w:rPr>
        <w:t>thandelsaktö</w:t>
      </w:r>
      <w:r w:rsidR="00A10982" w:rsidRPr="0070239E">
        <w:rPr>
          <w:rFonts w:asciiTheme="minorHAnsi" w:hAnsiTheme="minorHAnsi"/>
          <w:sz w:val="22"/>
          <w:lang w:val="sv-SE"/>
        </w:rPr>
        <w:t>r med 1</w:t>
      </w:r>
      <w:r w:rsidR="0084220E" w:rsidRPr="0070239E">
        <w:rPr>
          <w:rFonts w:asciiTheme="minorHAnsi" w:hAnsiTheme="minorHAnsi"/>
          <w:sz w:val="22"/>
          <w:lang w:val="sv-SE"/>
        </w:rPr>
        <w:t>6</w:t>
      </w:r>
      <w:r>
        <w:rPr>
          <w:rFonts w:asciiTheme="minorHAnsi" w:hAnsiTheme="minorHAnsi"/>
          <w:sz w:val="22"/>
          <w:lang w:val="sv-SE"/>
        </w:rPr>
        <w:t xml:space="preserve"> nätbuti</w:t>
      </w:r>
      <w:r w:rsidR="0084220E" w:rsidRPr="0070239E">
        <w:rPr>
          <w:rFonts w:asciiTheme="minorHAnsi" w:hAnsiTheme="minorHAnsi"/>
          <w:sz w:val="22"/>
          <w:lang w:val="sv-SE"/>
        </w:rPr>
        <w:t>ker. Komplett Group har 8</w:t>
      </w:r>
      <w:r w:rsidRPr="0070239E">
        <w:rPr>
          <w:rFonts w:asciiTheme="minorHAnsi" w:hAnsiTheme="minorHAnsi"/>
          <w:sz w:val="22"/>
          <w:lang w:val="sv-SE"/>
        </w:rPr>
        <w:t>00 ans</w:t>
      </w:r>
      <w:r w:rsidR="00A10982" w:rsidRPr="0070239E">
        <w:rPr>
          <w:rFonts w:asciiTheme="minorHAnsi" w:hAnsiTheme="minorHAnsi"/>
          <w:sz w:val="22"/>
          <w:lang w:val="sv-SE"/>
        </w:rPr>
        <w:t>t</w:t>
      </w:r>
      <w:r w:rsidRPr="0070239E">
        <w:rPr>
          <w:rFonts w:asciiTheme="minorHAnsi" w:hAnsiTheme="minorHAnsi"/>
          <w:sz w:val="22"/>
          <w:lang w:val="sv-SE"/>
        </w:rPr>
        <w:t>ällda och huvudkontor i Sande</w:t>
      </w:r>
      <w:bookmarkStart w:id="0" w:name="_GoBack"/>
      <w:bookmarkEnd w:id="0"/>
      <w:r w:rsidRPr="0070239E">
        <w:rPr>
          <w:rFonts w:asciiTheme="minorHAnsi" w:hAnsiTheme="minorHAnsi"/>
          <w:sz w:val="22"/>
          <w:lang w:val="sv-SE"/>
        </w:rPr>
        <w:t>fjord. Lä</w:t>
      </w:r>
      <w:r w:rsidR="00A10982" w:rsidRPr="0070239E">
        <w:rPr>
          <w:rFonts w:asciiTheme="minorHAnsi" w:hAnsiTheme="minorHAnsi"/>
          <w:sz w:val="22"/>
          <w:lang w:val="sv-SE"/>
        </w:rPr>
        <w:t xml:space="preserve">s mer på: </w:t>
      </w:r>
      <w:hyperlink r:id="rId8" w:history="1">
        <w:r w:rsidR="00A10982" w:rsidRPr="0070239E">
          <w:rPr>
            <w:rStyle w:val="Hyperlink"/>
            <w:rFonts w:asciiTheme="minorHAnsi" w:hAnsiTheme="minorHAnsi" w:cs="Arial"/>
            <w:sz w:val="22"/>
            <w:lang w:val="sv-SE"/>
          </w:rPr>
          <w:t>www.komplettgroup.com</w:t>
        </w:r>
      </w:hyperlink>
    </w:p>
    <w:sectPr w:rsidR="00F85F12" w:rsidRPr="0070239E" w:rsidSect="0041558E">
      <w:headerReference w:type="default" r:id="rId9"/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0C1" w:rsidRDefault="002410C1">
      <w:r>
        <w:separator/>
      </w:r>
    </w:p>
  </w:endnote>
  <w:endnote w:type="continuationSeparator" w:id="0">
    <w:p w:rsidR="002410C1" w:rsidRDefault="0024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0C1" w:rsidRDefault="002410C1">
      <w:r>
        <w:separator/>
      </w:r>
    </w:p>
  </w:footnote>
  <w:footnote w:type="continuationSeparator" w:id="0">
    <w:p w:rsidR="002410C1" w:rsidRDefault="00241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E60" w:rsidRDefault="0042782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4514850</wp:posOffset>
          </wp:positionH>
          <wp:positionV relativeFrom="paragraph">
            <wp:posOffset>83820</wp:posOffset>
          </wp:positionV>
          <wp:extent cx="1428750" cy="409575"/>
          <wp:effectExtent l="0" t="0" r="0" b="9525"/>
          <wp:wrapTopAndBottom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plett_GROUP_linkd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1E60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42CA"/>
    <w:multiLevelType w:val="hybridMultilevel"/>
    <w:tmpl w:val="CBD8D1EA"/>
    <w:lvl w:ilvl="0" w:tplc="407AFF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B0C71"/>
    <w:multiLevelType w:val="hybridMultilevel"/>
    <w:tmpl w:val="1944946E"/>
    <w:lvl w:ilvl="0" w:tplc="8218478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451D9"/>
    <w:multiLevelType w:val="hybridMultilevel"/>
    <w:tmpl w:val="12D26BAA"/>
    <w:lvl w:ilvl="0" w:tplc="5A805568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56225"/>
    <w:multiLevelType w:val="hybridMultilevel"/>
    <w:tmpl w:val="986008CE"/>
    <w:lvl w:ilvl="0" w:tplc="594C233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C2748"/>
    <w:multiLevelType w:val="hybridMultilevel"/>
    <w:tmpl w:val="4DC4CE4E"/>
    <w:lvl w:ilvl="0" w:tplc="C58AF6B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258A2"/>
    <w:multiLevelType w:val="hybridMultilevel"/>
    <w:tmpl w:val="1AA80548"/>
    <w:lvl w:ilvl="0" w:tplc="0706CDFE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13407"/>
    <w:multiLevelType w:val="hybridMultilevel"/>
    <w:tmpl w:val="6DC8F98E"/>
    <w:lvl w:ilvl="0" w:tplc="5F6AE70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03DFB"/>
    <w:multiLevelType w:val="hybridMultilevel"/>
    <w:tmpl w:val="D2E2E702"/>
    <w:lvl w:ilvl="0" w:tplc="E27C2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9AD8BA">
      <w:start w:val="9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9BA54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2CE50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0BE1A0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A5029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BEC970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000B5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1E6C6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7990871"/>
    <w:multiLevelType w:val="hybridMultilevel"/>
    <w:tmpl w:val="262AA1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026CB"/>
    <w:multiLevelType w:val="hybridMultilevel"/>
    <w:tmpl w:val="EC30A608"/>
    <w:lvl w:ilvl="0" w:tplc="1EDAE17C">
      <w:start w:val="2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833753"/>
    <w:multiLevelType w:val="hybridMultilevel"/>
    <w:tmpl w:val="3578C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AC3529"/>
    <w:multiLevelType w:val="hybridMultilevel"/>
    <w:tmpl w:val="8E18A9D8"/>
    <w:lvl w:ilvl="0" w:tplc="ECBC99D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C1B1C"/>
    <w:multiLevelType w:val="hybridMultilevel"/>
    <w:tmpl w:val="E7901224"/>
    <w:lvl w:ilvl="0" w:tplc="A9C09FBE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16D75"/>
    <w:multiLevelType w:val="hybridMultilevel"/>
    <w:tmpl w:val="AB986486"/>
    <w:lvl w:ilvl="0" w:tplc="C4A6942A">
      <w:start w:val="33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E733D"/>
    <w:multiLevelType w:val="hybridMultilevel"/>
    <w:tmpl w:val="E3BC1DFC"/>
    <w:lvl w:ilvl="0" w:tplc="770C926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23560"/>
    <w:multiLevelType w:val="hybridMultilevel"/>
    <w:tmpl w:val="7B24B120"/>
    <w:lvl w:ilvl="0" w:tplc="FC24BAB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D662A"/>
    <w:multiLevelType w:val="hybridMultilevel"/>
    <w:tmpl w:val="D47E6638"/>
    <w:lvl w:ilvl="0" w:tplc="F6CED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0E087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CFC7B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2FE825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4DC66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812F3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3EC59C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3A2C5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5843F6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FEF536B"/>
    <w:multiLevelType w:val="hybridMultilevel"/>
    <w:tmpl w:val="3000F622"/>
    <w:lvl w:ilvl="0" w:tplc="0BB43AA4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D7E43"/>
    <w:multiLevelType w:val="hybridMultilevel"/>
    <w:tmpl w:val="BBF40A02"/>
    <w:lvl w:ilvl="0" w:tplc="CF822A30">
      <w:start w:val="33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92AB3"/>
    <w:multiLevelType w:val="hybridMultilevel"/>
    <w:tmpl w:val="C18EF0FC"/>
    <w:lvl w:ilvl="0" w:tplc="B86C8B40">
      <w:start w:val="2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A15B3D"/>
    <w:multiLevelType w:val="hybridMultilevel"/>
    <w:tmpl w:val="D47E93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95938"/>
    <w:multiLevelType w:val="singleLevel"/>
    <w:tmpl w:val="F52E662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A89117F"/>
    <w:multiLevelType w:val="hybridMultilevel"/>
    <w:tmpl w:val="D96489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80F5980"/>
    <w:multiLevelType w:val="hybridMultilevel"/>
    <w:tmpl w:val="3E665684"/>
    <w:lvl w:ilvl="0" w:tplc="90A20BB4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143015"/>
    <w:multiLevelType w:val="hybridMultilevel"/>
    <w:tmpl w:val="C702362E"/>
    <w:lvl w:ilvl="0" w:tplc="D7BE568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8F0AFF"/>
    <w:multiLevelType w:val="hybridMultilevel"/>
    <w:tmpl w:val="F08CEA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04474"/>
    <w:multiLevelType w:val="hybridMultilevel"/>
    <w:tmpl w:val="BACCC190"/>
    <w:lvl w:ilvl="0" w:tplc="3034C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340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80D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926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EAA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CEE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44F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CD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C00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44005C0"/>
    <w:multiLevelType w:val="hybridMultilevel"/>
    <w:tmpl w:val="07349928"/>
    <w:lvl w:ilvl="0" w:tplc="6566901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477B7"/>
    <w:multiLevelType w:val="hybridMultilevel"/>
    <w:tmpl w:val="02C6E8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C4C400A"/>
    <w:multiLevelType w:val="hybridMultilevel"/>
    <w:tmpl w:val="0AE44A4E"/>
    <w:lvl w:ilvl="0" w:tplc="B294689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16"/>
  </w:num>
  <w:num w:numId="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6"/>
  </w:num>
  <w:num w:numId="12">
    <w:abstractNumId w:val="2"/>
  </w:num>
  <w:num w:numId="13">
    <w:abstractNumId w:val="25"/>
  </w:num>
  <w:num w:numId="14">
    <w:abstractNumId w:val="11"/>
  </w:num>
  <w:num w:numId="15">
    <w:abstractNumId w:val="19"/>
  </w:num>
  <w:num w:numId="16">
    <w:abstractNumId w:val="14"/>
  </w:num>
  <w:num w:numId="17">
    <w:abstractNumId w:val="20"/>
  </w:num>
  <w:num w:numId="18">
    <w:abstractNumId w:val="29"/>
  </w:num>
  <w:num w:numId="19">
    <w:abstractNumId w:val="17"/>
  </w:num>
  <w:num w:numId="20">
    <w:abstractNumId w:val="6"/>
  </w:num>
  <w:num w:numId="21">
    <w:abstractNumId w:val="12"/>
  </w:num>
  <w:num w:numId="22">
    <w:abstractNumId w:val="9"/>
  </w:num>
  <w:num w:numId="23">
    <w:abstractNumId w:val="4"/>
  </w:num>
  <w:num w:numId="24">
    <w:abstractNumId w:val="13"/>
  </w:num>
  <w:num w:numId="25">
    <w:abstractNumId w:val="0"/>
  </w:num>
  <w:num w:numId="26">
    <w:abstractNumId w:val="18"/>
  </w:num>
  <w:num w:numId="27">
    <w:abstractNumId w:val="15"/>
  </w:num>
  <w:num w:numId="28">
    <w:abstractNumId w:val="23"/>
  </w:num>
  <w:num w:numId="29">
    <w:abstractNumId w:val="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17"/>
    <w:rsid w:val="00000AC2"/>
    <w:rsid w:val="00005B47"/>
    <w:rsid w:val="000157E8"/>
    <w:rsid w:val="0002438B"/>
    <w:rsid w:val="000404AA"/>
    <w:rsid w:val="00043113"/>
    <w:rsid w:val="000456B2"/>
    <w:rsid w:val="000463B2"/>
    <w:rsid w:val="00051B3F"/>
    <w:rsid w:val="000538C2"/>
    <w:rsid w:val="00057A14"/>
    <w:rsid w:val="00066981"/>
    <w:rsid w:val="00074E1E"/>
    <w:rsid w:val="00091147"/>
    <w:rsid w:val="00094263"/>
    <w:rsid w:val="000A2E9F"/>
    <w:rsid w:val="000C0D67"/>
    <w:rsid w:val="000D4F18"/>
    <w:rsid w:val="000E2083"/>
    <w:rsid w:val="000E69BC"/>
    <w:rsid w:val="000E7099"/>
    <w:rsid w:val="000F1DA2"/>
    <w:rsid w:val="000F6534"/>
    <w:rsid w:val="000F7EA5"/>
    <w:rsid w:val="0010045F"/>
    <w:rsid w:val="00102EB6"/>
    <w:rsid w:val="00104E70"/>
    <w:rsid w:val="00106C1F"/>
    <w:rsid w:val="00112FE6"/>
    <w:rsid w:val="001176C7"/>
    <w:rsid w:val="001259E6"/>
    <w:rsid w:val="00126DEB"/>
    <w:rsid w:val="00130E7F"/>
    <w:rsid w:val="001416A7"/>
    <w:rsid w:val="00143777"/>
    <w:rsid w:val="001467E8"/>
    <w:rsid w:val="00150B12"/>
    <w:rsid w:val="00153EE9"/>
    <w:rsid w:val="00154626"/>
    <w:rsid w:val="00161599"/>
    <w:rsid w:val="00163094"/>
    <w:rsid w:val="001641EF"/>
    <w:rsid w:val="00170AB3"/>
    <w:rsid w:val="00170C5F"/>
    <w:rsid w:val="00171DF7"/>
    <w:rsid w:val="00172BE2"/>
    <w:rsid w:val="00181E44"/>
    <w:rsid w:val="001929F4"/>
    <w:rsid w:val="00193886"/>
    <w:rsid w:val="001968A3"/>
    <w:rsid w:val="001B224E"/>
    <w:rsid w:val="001B40F7"/>
    <w:rsid w:val="001D16CD"/>
    <w:rsid w:val="001D1EC8"/>
    <w:rsid w:val="001E1658"/>
    <w:rsid w:val="001E5FCD"/>
    <w:rsid w:val="001F3537"/>
    <w:rsid w:val="00204679"/>
    <w:rsid w:val="002046B4"/>
    <w:rsid w:val="00212534"/>
    <w:rsid w:val="00224007"/>
    <w:rsid w:val="00240CD9"/>
    <w:rsid w:val="002410C1"/>
    <w:rsid w:val="00245F5F"/>
    <w:rsid w:val="0024703D"/>
    <w:rsid w:val="00250E87"/>
    <w:rsid w:val="002530DE"/>
    <w:rsid w:val="0026008E"/>
    <w:rsid w:val="0026257A"/>
    <w:rsid w:val="00270FB3"/>
    <w:rsid w:val="0027449F"/>
    <w:rsid w:val="00284232"/>
    <w:rsid w:val="00284A1E"/>
    <w:rsid w:val="0028508D"/>
    <w:rsid w:val="00285A17"/>
    <w:rsid w:val="00287113"/>
    <w:rsid w:val="00291055"/>
    <w:rsid w:val="002969E8"/>
    <w:rsid w:val="00297B7E"/>
    <w:rsid w:val="002A27FB"/>
    <w:rsid w:val="002B0569"/>
    <w:rsid w:val="002B1E72"/>
    <w:rsid w:val="002B4EFD"/>
    <w:rsid w:val="002B52EF"/>
    <w:rsid w:val="002C2B7F"/>
    <w:rsid w:val="002C2E95"/>
    <w:rsid w:val="002C3110"/>
    <w:rsid w:val="002C3941"/>
    <w:rsid w:val="002D2B85"/>
    <w:rsid w:val="002D2FB6"/>
    <w:rsid w:val="002E3486"/>
    <w:rsid w:val="002F3ABC"/>
    <w:rsid w:val="002F3D3A"/>
    <w:rsid w:val="002F4A67"/>
    <w:rsid w:val="002F6747"/>
    <w:rsid w:val="002F71D4"/>
    <w:rsid w:val="0030036E"/>
    <w:rsid w:val="00303EC8"/>
    <w:rsid w:val="00305A16"/>
    <w:rsid w:val="00306CEF"/>
    <w:rsid w:val="00307A8B"/>
    <w:rsid w:val="00313DAD"/>
    <w:rsid w:val="003374C9"/>
    <w:rsid w:val="00342CF3"/>
    <w:rsid w:val="00346423"/>
    <w:rsid w:val="0034662D"/>
    <w:rsid w:val="00361D5E"/>
    <w:rsid w:val="00363A17"/>
    <w:rsid w:val="003720EB"/>
    <w:rsid w:val="00380427"/>
    <w:rsid w:val="003865DA"/>
    <w:rsid w:val="0039261C"/>
    <w:rsid w:val="003A1D0E"/>
    <w:rsid w:val="003B05C6"/>
    <w:rsid w:val="003B1D8F"/>
    <w:rsid w:val="003B565F"/>
    <w:rsid w:val="003C032D"/>
    <w:rsid w:val="003C4F71"/>
    <w:rsid w:val="003C5896"/>
    <w:rsid w:val="003D2296"/>
    <w:rsid w:val="003D29AD"/>
    <w:rsid w:val="003D3558"/>
    <w:rsid w:val="003E413F"/>
    <w:rsid w:val="003F7CE0"/>
    <w:rsid w:val="00411AC5"/>
    <w:rsid w:val="0041558E"/>
    <w:rsid w:val="00424084"/>
    <w:rsid w:val="00427820"/>
    <w:rsid w:val="00431019"/>
    <w:rsid w:val="0043159B"/>
    <w:rsid w:val="00432028"/>
    <w:rsid w:val="00445935"/>
    <w:rsid w:val="0045422A"/>
    <w:rsid w:val="004775C2"/>
    <w:rsid w:val="0048743C"/>
    <w:rsid w:val="00497680"/>
    <w:rsid w:val="00497D24"/>
    <w:rsid w:val="004A3683"/>
    <w:rsid w:val="004A5B97"/>
    <w:rsid w:val="004A7836"/>
    <w:rsid w:val="004A7C67"/>
    <w:rsid w:val="004B4343"/>
    <w:rsid w:val="004B4707"/>
    <w:rsid w:val="004D1323"/>
    <w:rsid w:val="004D33CC"/>
    <w:rsid w:val="004D4E72"/>
    <w:rsid w:val="004D7E49"/>
    <w:rsid w:val="004E4989"/>
    <w:rsid w:val="004F60ED"/>
    <w:rsid w:val="004F7268"/>
    <w:rsid w:val="004F7591"/>
    <w:rsid w:val="00506167"/>
    <w:rsid w:val="00506DC5"/>
    <w:rsid w:val="00514C50"/>
    <w:rsid w:val="00516210"/>
    <w:rsid w:val="00516397"/>
    <w:rsid w:val="0052194A"/>
    <w:rsid w:val="005275B5"/>
    <w:rsid w:val="005346F1"/>
    <w:rsid w:val="00545470"/>
    <w:rsid w:val="0055784A"/>
    <w:rsid w:val="00561B5E"/>
    <w:rsid w:val="00574034"/>
    <w:rsid w:val="0057744F"/>
    <w:rsid w:val="005807FA"/>
    <w:rsid w:val="005812FA"/>
    <w:rsid w:val="00581821"/>
    <w:rsid w:val="0058210C"/>
    <w:rsid w:val="00582556"/>
    <w:rsid w:val="00585ED4"/>
    <w:rsid w:val="00590066"/>
    <w:rsid w:val="0059037B"/>
    <w:rsid w:val="00593400"/>
    <w:rsid w:val="00596099"/>
    <w:rsid w:val="0059622D"/>
    <w:rsid w:val="005A025D"/>
    <w:rsid w:val="005A748A"/>
    <w:rsid w:val="005C4581"/>
    <w:rsid w:val="005C66F1"/>
    <w:rsid w:val="005D7F9B"/>
    <w:rsid w:val="005F0198"/>
    <w:rsid w:val="005F3CD1"/>
    <w:rsid w:val="005F60F5"/>
    <w:rsid w:val="005F725D"/>
    <w:rsid w:val="00602FED"/>
    <w:rsid w:val="00627AED"/>
    <w:rsid w:val="00635625"/>
    <w:rsid w:val="00641B9C"/>
    <w:rsid w:val="00651CC5"/>
    <w:rsid w:val="00651CE5"/>
    <w:rsid w:val="006608B5"/>
    <w:rsid w:val="00661563"/>
    <w:rsid w:val="00672D49"/>
    <w:rsid w:val="0068211D"/>
    <w:rsid w:val="006861F9"/>
    <w:rsid w:val="006A0028"/>
    <w:rsid w:val="006A468D"/>
    <w:rsid w:val="006B2203"/>
    <w:rsid w:val="006B47EB"/>
    <w:rsid w:val="006C2568"/>
    <w:rsid w:val="006C3E2F"/>
    <w:rsid w:val="006D41C4"/>
    <w:rsid w:val="006D43AC"/>
    <w:rsid w:val="006D6E6C"/>
    <w:rsid w:val="006E6C24"/>
    <w:rsid w:val="006F3962"/>
    <w:rsid w:val="006F497E"/>
    <w:rsid w:val="0070239E"/>
    <w:rsid w:val="00712810"/>
    <w:rsid w:val="00715372"/>
    <w:rsid w:val="00723C77"/>
    <w:rsid w:val="00730A4E"/>
    <w:rsid w:val="00732E9D"/>
    <w:rsid w:val="00734369"/>
    <w:rsid w:val="007418CA"/>
    <w:rsid w:val="007469E0"/>
    <w:rsid w:val="007472AB"/>
    <w:rsid w:val="007757A1"/>
    <w:rsid w:val="00780951"/>
    <w:rsid w:val="00780F5C"/>
    <w:rsid w:val="00784BD9"/>
    <w:rsid w:val="00797AFD"/>
    <w:rsid w:val="007A39A9"/>
    <w:rsid w:val="007A56D1"/>
    <w:rsid w:val="007B002E"/>
    <w:rsid w:val="007B2487"/>
    <w:rsid w:val="007B3DE6"/>
    <w:rsid w:val="007C48B7"/>
    <w:rsid w:val="007D04A9"/>
    <w:rsid w:val="007D20A3"/>
    <w:rsid w:val="007D5E18"/>
    <w:rsid w:val="007E047F"/>
    <w:rsid w:val="007E22B6"/>
    <w:rsid w:val="007E2593"/>
    <w:rsid w:val="007F7C34"/>
    <w:rsid w:val="00803C1C"/>
    <w:rsid w:val="00812513"/>
    <w:rsid w:val="00812FC2"/>
    <w:rsid w:val="00831737"/>
    <w:rsid w:val="0084220E"/>
    <w:rsid w:val="008611C2"/>
    <w:rsid w:val="00866182"/>
    <w:rsid w:val="00867C44"/>
    <w:rsid w:val="008718E1"/>
    <w:rsid w:val="00873DFB"/>
    <w:rsid w:val="00874B23"/>
    <w:rsid w:val="008768E8"/>
    <w:rsid w:val="00887DFC"/>
    <w:rsid w:val="00890562"/>
    <w:rsid w:val="00892365"/>
    <w:rsid w:val="00895E18"/>
    <w:rsid w:val="00897D58"/>
    <w:rsid w:val="008A607B"/>
    <w:rsid w:val="008B039B"/>
    <w:rsid w:val="008B5FE5"/>
    <w:rsid w:val="008B7528"/>
    <w:rsid w:val="008C0553"/>
    <w:rsid w:val="008C0DD4"/>
    <w:rsid w:val="008E6CA8"/>
    <w:rsid w:val="008F2EB7"/>
    <w:rsid w:val="00906623"/>
    <w:rsid w:val="009223E9"/>
    <w:rsid w:val="00925D80"/>
    <w:rsid w:val="009339A7"/>
    <w:rsid w:val="00937DC7"/>
    <w:rsid w:val="00947900"/>
    <w:rsid w:val="00953156"/>
    <w:rsid w:val="009562A8"/>
    <w:rsid w:val="0096013E"/>
    <w:rsid w:val="0097268A"/>
    <w:rsid w:val="009779D2"/>
    <w:rsid w:val="00977E49"/>
    <w:rsid w:val="00984F77"/>
    <w:rsid w:val="009851EC"/>
    <w:rsid w:val="0098525A"/>
    <w:rsid w:val="009A18AE"/>
    <w:rsid w:val="009A31F5"/>
    <w:rsid w:val="009A771A"/>
    <w:rsid w:val="009C14B6"/>
    <w:rsid w:val="009D3688"/>
    <w:rsid w:val="009D7163"/>
    <w:rsid w:val="009F29EC"/>
    <w:rsid w:val="009F37C0"/>
    <w:rsid w:val="009F3A5F"/>
    <w:rsid w:val="009F3AE5"/>
    <w:rsid w:val="009F4509"/>
    <w:rsid w:val="009F5D72"/>
    <w:rsid w:val="009F7473"/>
    <w:rsid w:val="00A10982"/>
    <w:rsid w:val="00A13786"/>
    <w:rsid w:val="00A16D48"/>
    <w:rsid w:val="00A24249"/>
    <w:rsid w:val="00A31A31"/>
    <w:rsid w:val="00A352C3"/>
    <w:rsid w:val="00A53101"/>
    <w:rsid w:val="00A56EB8"/>
    <w:rsid w:val="00A618CD"/>
    <w:rsid w:val="00A666C6"/>
    <w:rsid w:val="00A67779"/>
    <w:rsid w:val="00A7264D"/>
    <w:rsid w:val="00A75772"/>
    <w:rsid w:val="00A86909"/>
    <w:rsid w:val="00A90AF2"/>
    <w:rsid w:val="00AA1AD9"/>
    <w:rsid w:val="00AB5D91"/>
    <w:rsid w:val="00AC2676"/>
    <w:rsid w:val="00AD1507"/>
    <w:rsid w:val="00AD2835"/>
    <w:rsid w:val="00AD7414"/>
    <w:rsid w:val="00AE0432"/>
    <w:rsid w:val="00AE7757"/>
    <w:rsid w:val="00AE7C0D"/>
    <w:rsid w:val="00AF1E60"/>
    <w:rsid w:val="00AF50AC"/>
    <w:rsid w:val="00AF6518"/>
    <w:rsid w:val="00AF7C1E"/>
    <w:rsid w:val="00B11F2B"/>
    <w:rsid w:val="00B13359"/>
    <w:rsid w:val="00B15322"/>
    <w:rsid w:val="00B217EA"/>
    <w:rsid w:val="00B272EE"/>
    <w:rsid w:val="00B412D1"/>
    <w:rsid w:val="00B502FB"/>
    <w:rsid w:val="00B57B58"/>
    <w:rsid w:val="00B656F7"/>
    <w:rsid w:val="00B65FC2"/>
    <w:rsid w:val="00B66CCC"/>
    <w:rsid w:val="00B678B9"/>
    <w:rsid w:val="00B77E0B"/>
    <w:rsid w:val="00B84BE0"/>
    <w:rsid w:val="00B84CEA"/>
    <w:rsid w:val="00BA373C"/>
    <w:rsid w:val="00BA4C18"/>
    <w:rsid w:val="00BB0694"/>
    <w:rsid w:val="00BC3D39"/>
    <w:rsid w:val="00BC5F56"/>
    <w:rsid w:val="00BC769D"/>
    <w:rsid w:val="00BF038E"/>
    <w:rsid w:val="00BF35FE"/>
    <w:rsid w:val="00C02920"/>
    <w:rsid w:val="00C03333"/>
    <w:rsid w:val="00C034B9"/>
    <w:rsid w:val="00C044E7"/>
    <w:rsid w:val="00C12BD4"/>
    <w:rsid w:val="00C27B7B"/>
    <w:rsid w:val="00C30D2B"/>
    <w:rsid w:val="00C41E63"/>
    <w:rsid w:val="00C47708"/>
    <w:rsid w:val="00C52B47"/>
    <w:rsid w:val="00C753AC"/>
    <w:rsid w:val="00C803C1"/>
    <w:rsid w:val="00C84596"/>
    <w:rsid w:val="00C97ED1"/>
    <w:rsid w:val="00CA389E"/>
    <w:rsid w:val="00CA78FD"/>
    <w:rsid w:val="00CC2B40"/>
    <w:rsid w:val="00CC7F13"/>
    <w:rsid w:val="00CE578D"/>
    <w:rsid w:val="00CF55D6"/>
    <w:rsid w:val="00D03F76"/>
    <w:rsid w:val="00D07119"/>
    <w:rsid w:val="00D10E88"/>
    <w:rsid w:val="00D47D06"/>
    <w:rsid w:val="00D5146E"/>
    <w:rsid w:val="00D54794"/>
    <w:rsid w:val="00D56039"/>
    <w:rsid w:val="00D634CA"/>
    <w:rsid w:val="00D63CA3"/>
    <w:rsid w:val="00D6621C"/>
    <w:rsid w:val="00D6770E"/>
    <w:rsid w:val="00D92721"/>
    <w:rsid w:val="00DA01CB"/>
    <w:rsid w:val="00DB1305"/>
    <w:rsid w:val="00DB3177"/>
    <w:rsid w:val="00DC63AB"/>
    <w:rsid w:val="00DC6409"/>
    <w:rsid w:val="00DD0F89"/>
    <w:rsid w:val="00DD1677"/>
    <w:rsid w:val="00DD59CF"/>
    <w:rsid w:val="00DD692E"/>
    <w:rsid w:val="00DE3D92"/>
    <w:rsid w:val="00DE5FD9"/>
    <w:rsid w:val="00DF33E0"/>
    <w:rsid w:val="00DF54E5"/>
    <w:rsid w:val="00DF667A"/>
    <w:rsid w:val="00DF69AD"/>
    <w:rsid w:val="00DF77B1"/>
    <w:rsid w:val="00E11CE9"/>
    <w:rsid w:val="00E12687"/>
    <w:rsid w:val="00E24DF7"/>
    <w:rsid w:val="00E33439"/>
    <w:rsid w:val="00E43463"/>
    <w:rsid w:val="00E43D3C"/>
    <w:rsid w:val="00E443D1"/>
    <w:rsid w:val="00E57B87"/>
    <w:rsid w:val="00E6017C"/>
    <w:rsid w:val="00E64C3E"/>
    <w:rsid w:val="00E66EEF"/>
    <w:rsid w:val="00E72605"/>
    <w:rsid w:val="00E774FA"/>
    <w:rsid w:val="00E804E7"/>
    <w:rsid w:val="00E856F2"/>
    <w:rsid w:val="00E87D86"/>
    <w:rsid w:val="00E94EB0"/>
    <w:rsid w:val="00E97F38"/>
    <w:rsid w:val="00EA05B5"/>
    <w:rsid w:val="00EA11D8"/>
    <w:rsid w:val="00EA4EC0"/>
    <w:rsid w:val="00EB4B5E"/>
    <w:rsid w:val="00EB4ED0"/>
    <w:rsid w:val="00EB68BF"/>
    <w:rsid w:val="00EC51AF"/>
    <w:rsid w:val="00ED39FB"/>
    <w:rsid w:val="00EE76F6"/>
    <w:rsid w:val="00F03CF7"/>
    <w:rsid w:val="00F04F54"/>
    <w:rsid w:val="00F244C8"/>
    <w:rsid w:val="00F25C18"/>
    <w:rsid w:val="00F262D8"/>
    <w:rsid w:val="00F32828"/>
    <w:rsid w:val="00F362C3"/>
    <w:rsid w:val="00F42D94"/>
    <w:rsid w:val="00F430D7"/>
    <w:rsid w:val="00F6261B"/>
    <w:rsid w:val="00F642C9"/>
    <w:rsid w:val="00F64840"/>
    <w:rsid w:val="00F67EA3"/>
    <w:rsid w:val="00F71A3F"/>
    <w:rsid w:val="00F7546E"/>
    <w:rsid w:val="00F76153"/>
    <w:rsid w:val="00F76B84"/>
    <w:rsid w:val="00F85F12"/>
    <w:rsid w:val="00FA25D4"/>
    <w:rsid w:val="00FA368F"/>
    <w:rsid w:val="00FA5149"/>
    <w:rsid w:val="00FA6AE1"/>
    <w:rsid w:val="00FB1B5A"/>
    <w:rsid w:val="00FC436E"/>
    <w:rsid w:val="00FD28DF"/>
    <w:rsid w:val="00FD67EE"/>
    <w:rsid w:val="00FD6B9D"/>
    <w:rsid w:val="00FE0C1D"/>
    <w:rsid w:val="00FE4FE4"/>
    <w:rsid w:val="00FF7A74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docId w15:val="{F5B9C29C-B7EF-4441-974B-43FA39F7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5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558E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DefaultParagraphFont"/>
    <w:semiHidden/>
    <w:rsid w:val="0041558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41558E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DefaultParagraphFont"/>
    <w:semiHidden/>
    <w:rsid w:val="0041558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semiHidden/>
    <w:rsid w:val="0041558E"/>
    <w:rPr>
      <w:sz w:val="16"/>
      <w:szCs w:val="16"/>
    </w:rPr>
  </w:style>
  <w:style w:type="character" w:customStyle="1" w:styleId="BobletekstTegn">
    <w:name w:val="Bobletekst Tegn"/>
    <w:basedOn w:val="DefaultParagraphFont"/>
    <w:semiHidden/>
    <w:rsid w:val="0041558E"/>
    <w:rPr>
      <w:rFonts w:ascii="Times New Roman" w:hAnsi="Times New Roman" w:cs="Times New Roman"/>
      <w:sz w:val="16"/>
      <w:szCs w:val="16"/>
    </w:rPr>
  </w:style>
  <w:style w:type="paragraph" w:styleId="BodyText">
    <w:name w:val="Body Text"/>
    <w:basedOn w:val="Normal"/>
    <w:rsid w:val="0041558E"/>
    <w:pPr>
      <w:spacing w:line="360" w:lineRule="auto"/>
    </w:pPr>
    <w:rPr>
      <w:rFonts w:ascii="Arial" w:hAnsi="Arial" w:cs="Arial"/>
      <w:color w:val="FF0000"/>
      <w:sz w:val="20"/>
      <w:szCs w:val="20"/>
      <w:lang w:val="en-GB"/>
    </w:rPr>
  </w:style>
  <w:style w:type="paragraph" w:styleId="BodyText2">
    <w:name w:val="Body Text 2"/>
    <w:basedOn w:val="Normal"/>
    <w:rsid w:val="0041558E"/>
    <w:pPr>
      <w:spacing w:line="360" w:lineRule="auto"/>
    </w:pPr>
    <w:rPr>
      <w:rFonts w:ascii="Arial" w:hAnsi="Arial" w:cs="Arial"/>
      <w:b/>
      <w:bCs/>
      <w:color w:val="FF0000"/>
      <w:sz w:val="20"/>
      <w:szCs w:val="20"/>
      <w:lang w:val="en-GB"/>
    </w:rPr>
  </w:style>
  <w:style w:type="paragraph" w:styleId="PlainText">
    <w:name w:val="Plain Text"/>
    <w:basedOn w:val="Normal"/>
    <w:rsid w:val="0041558E"/>
    <w:rPr>
      <w:sz w:val="21"/>
      <w:szCs w:val="21"/>
    </w:rPr>
  </w:style>
  <w:style w:type="character" w:customStyle="1" w:styleId="TegnTegn1">
    <w:name w:val="Tegn Tegn1"/>
    <w:basedOn w:val="DefaultParagraphFont"/>
    <w:locked/>
    <w:rsid w:val="0041558E"/>
    <w:rPr>
      <w:rFonts w:ascii="Times New Roman" w:eastAsia="Times New Roman" w:hAnsi="Times New Roman" w:cs="Times New Roman"/>
      <w:sz w:val="21"/>
      <w:szCs w:val="21"/>
    </w:rPr>
  </w:style>
  <w:style w:type="character" w:customStyle="1" w:styleId="black1">
    <w:name w:val="black1"/>
    <w:basedOn w:val="DefaultParagraphFont"/>
    <w:rsid w:val="0041558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"/>
    <w:rsid w:val="0041558E"/>
    <w:rPr>
      <w:color w:val="0000FF"/>
      <w:u w:val="single"/>
    </w:rPr>
  </w:style>
  <w:style w:type="paragraph" w:styleId="HTMLPreformatted">
    <w:name w:val="HTML Preformatted"/>
    <w:basedOn w:val="Normal"/>
    <w:rsid w:val="00415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egnTegn">
    <w:name w:val="Tegn Tegn"/>
    <w:basedOn w:val="DefaultParagraphFont"/>
    <w:locked/>
    <w:rsid w:val="0041558E"/>
    <w:rPr>
      <w:rFonts w:ascii="Courier New" w:eastAsia="Times New Roman" w:hAnsi="Courier New" w:cs="Courier New"/>
    </w:rPr>
  </w:style>
  <w:style w:type="paragraph" w:styleId="ListParagraph">
    <w:name w:val="List Paragraph"/>
    <w:basedOn w:val="Normal"/>
    <w:uiPriority w:val="34"/>
    <w:qFormat/>
    <w:rsid w:val="0041558E"/>
    <w:pPr>
      <w:ind w:left="720"/>
    </w:pPr>
    <w:rPr>
      <w:rFonts w:ascii="Calibri" w:hAnsi="Calibri" w:cs="Calibri"/>
      <w:sz w:val="22"/>
      <w:szCs w:val="22"/>
    </w:rPr>
  </w:style>
  <w:style w:type="character" w:customStyle="1" w:styleId="tw4winMark">
    <w:name w:val="tw4winMark"/>
    <w:rsid w:val="0041558E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41558E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41558E"/>
    <w:rPr>
      <w:color w:val="0000FF"/>
    </w:rPr>
  </w:style>
  <w:style w:type="character" w:customStyle="1" w:styleId="tw4winPopup">
    <w:name w:val="tw4winPopup"/>
    <w:rsid w:val="0041558E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41558E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41558E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41558E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41558E"/>
    <w:rPr>
      <w:rFonts w:ascii="Courier New" w:hAnsi="Courier New" w:cs="Courier New"/>
      <w:noProof/>
      <w:color w:val="800000"/>
    </w:rPr>
  </w:style>
  <w:style w:type="character" w:styleId="CommentReference">
    <w:name w:val="annotation reference"/>
    <w:basedOn w:val="DefaultParagraphFont"/>
    <w:semiHidden/>
    <w:rsid w:val="0030036E"/>
    <w:rPr>
      <w:sz w:val="16"/>
      <w:szCs w:val="16"/>
    </w:rPr>
  </w:style>
  <w:style w:type="paragraph" w:styleId="CommentText">
    <w:name w:val="annotation text"/>
    <w:basedOn w:val="Normal"/>
    <w:semiHidden/>
    <w:rsid w:val="0030036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0036E"/>
    <w:rPr>
      <w:b/>
      <w:bCs/>
    </w:rPr>
  </w:style>
  <w:style w:type="character" w:styleId="Strong">
    <w:name w:val="Strong"/>
    <w:basedOn w:val="DefaultParagraphFont"/>
    <w:uiPriority w:val="22"/>
    <w:qFormat/>
    <w:rsid w:val="00641B9C"/>
    <w:rPr>
      <w:b/>
      <w:bCs/>
    </w:rPr>
  </w:style>
  <w:style w:type="character" w:customStyle="1" w:styleId="street-address">
    <w:name w:val="street-address"/>
    <w:basedOn w:val="DefaultParagraphFont"/>
    <w:rsid w:val="00641B9C"/>
  </w:style>
  <w:style w:type="character" w:customStyle="1" w:styleId="postal-code">
    <w:name w:val="postal-code"/>
    <w:basedOn w:val="DefaultParagraphFont"/>
    <w:rsid w:val="00641B9C"/>
  </w:style>
  <w:style w:type="character" w:customStyle="1" w:styleId="locality">
    <w:name w:val="locality"/>
    <w:basedOn w:val="DefaultParagraphFont"/>
    <w:rsid w:val="00641B9C"/>
  </w:style>
  <w:style w:type="paragraph" w:styleId="NormalWeb">
    <w:name w:val="Normal (Web)"/>
    <w:basedOn w:val="Normal"/>
    <w:uiPriority w:val="99"/>
    <w:unhideWhenUsed/>
    <w:rsid w:val="00AF1E60"/>
    <w:pPr>
      <w:spacing w:before="100" w:beforeAutospacing="1" w:after="100" w:afterAutospacing="1"/>
    </w:pPr>
    <w:rPr>
      <w:lang w:bidi="ne-NP"/>
    </w:rPr>
  </w:style>
  <w:style w:type="character" w:styleId="FollowedHyperlink">
    <w:name w:val="FollowedHyperlink"/>
    <w:basedOn w:val="DefaultParagraphFont"/>
    <w:semiHidden/>
    <w:unhideWhenUsed/>
    <w:rsid w:val="002F4A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single" w:sz="2" w:space="0" w:color="183163"/>
            <w:left w:val="single" w:sz="2" w:space="0" w:color="183163"/>
            <w:bottom w:val="single" w:sz="2" w:space="0" w:color="183163"/>
            <w:right w:val="single" w:sz="2" w:space="0" w:color="183163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7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41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2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105184">
                                      <w:marLeft w:val="0"/>
                                      <w:marRight w:val="0"/>
                                      <w:marTop w:val="0"/>
                                      <w:marBottom w:val="8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85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52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89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59144">
              <w:marLeft w:val="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0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2564">
              <w:marLeft w:val="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2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4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49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817648">
                                      <w:marLeft w:val="0"/>
                                      <w:marRight w:val="0"/>
                                      <w:marTop w:val="0"/>
                                      <w:marBottom w:val="8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33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0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plett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7B9C3-B6F5-4A21-AEBF-5B747F1B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Intern informasjon 2</vt:lpstr>
      <vt:lpstr>Intern informasjon 2</vt:lpstr>
    </vt:vector>
  </TitlesOfParts>
  <Company>Torp Computing Group</Company>
  <LinksUpToDate>false</LinksUpToDate>
  <CharactersWithSpaces>2007</CharactersWithSpaces>
  <SharedDoc>false</SharedDoc>
  <HLinks>
    <vt:vector size="6" baseType="variant">
      <vt:variant>
        <vt:i4>5963856</vt:i4>
      </vt:variant>
      <vt:variant>
        <vt:i4>0</vt:i4>
      </vt:variant>
      <vt:variant>
        <vt:i4>0</vt:i4>
      </vt:variant>
      <vt:variant>
        <vt:i4>5</vt:i4>
      </vt:variant>
      <vt:variant>
        <vt:lpwstr>http://www.komplett.com/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 informasjon 2</dc:title>
  <dc:creator>itollnes</dc:creator>
  <cp:lastModifiedBy>Ingebjørg Tollnes</cp:lastModifiedBy>
  <cp:revision>5</cp:revision>
  <cp:lastPrinted>2016-02-29T07:00:00Z</cp:lastPrinted>
  <dcterms:created xsi:type="dcterms:W3CDTF">2016-03-01T07:33:00Z</dcterms:created>
  <dcterms:modified xsi:type="dcterms:W3CDTF">2016-03-01T19:11:00Z</dcterms:modified>
</cp:coreProperties>
</file>