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C8970" w14:textId="77777777" w:rsidR="00A325C3" w:rsidRDefault="00A325C3" w:rsidP="00802590">
      <w:pPr>
        <w:pStyle w:val="NoSpacing"/>
        <w:rPr>
          <w:rFonts w:ascii="Trebuchet MS" w:hAnsi="Trebuchet MS"/>
          <w:b/>
          <w:sz w:val="28"/>
          <w:szCs w:val="28"/>
        </w:rPr>
      </w:pPr>
    </w:p>
    <w:p w14:paraId="08A3EB87" w14:textId="7903421F" w:rsidR="00802590" w:rsidRDefault="00275A64" w:rsidP="00802590">
      <w:pPr>
        <w:pStyle w:val="NoSpacing"/>
        <w:rPr>
          <w:rFonts w:ascii="Trebuchet MS" w:hAnsi="Trebuchet MS"/>
          <w:b/>
          <w:sz w:val="28"/>
          <w:szCs w:val="28"/>
        </w:rPr>
      </w:pPr>
      <w:bookmarkStart w:id="0" w:name="_GoBack"/>
      <w:bookmarkEnd w:id="0"/>
      <w:r w:rsidRPr="00196D83">
        <w:rPr>
          <w:rFonts w:ascii="Trebuchet MS" w:hAnsi="Trebuchet MS"/>
          <w:b/>
          <w:sz w:val="28"/>
          <w:szCs w:val="28"/>
        </w:rPr>
        <w:t xml:space="preserve">Flowrox </w:t>
      </w:r>
      <w:r w:rsidR="00E360F9">
        <w:rPr>
          <w:rFonts w:ascii="Trebuchet MS" w:hAnsi="Trebuchet MS"/>
          <w:b/>
          <w:sz w:val="28"/>
          <w:szCs w:val="28"/>
        </w:rPr>
        <w:t xml:space="preserve">launches new </w:t>
      </w:r>
      <w:r w:rsidRPr="00196D83">
        <w:rPr>
          <w:rFonts w:ascii="Trebuchet MS" w:hAnsi="Trebuchet MS"/>
          <w:b/>
          <w:sz w:val="28"/>
          <w:szCs w:val="28"/>
        </w:rPr>
        <w:t>Centrifugal</w:t>
      </w:r>
      <w:r w:rsidR="00804449" w:rsidRPr="00196D83">
        <w:rPr>
          <w:rFonts w:ascii="Trebuchet MS" w:hAnsi="Trebuchet MS"/>
          <w:b/>
          <w:sz w:val="28"/>
          <w:szCs w:val="28"/>
        </w:rPr>
        <w:t xml:space="preserve"> Slurry</w:t>
      </w:r>
      <w:r w:rsidRPr="00196D83">
        <w:rPr>
          <w:rFonts w:ascii="Trebuchet MS" w:hAnsi="Trebuchet MS"/>
          <w:b/>
          <w:sz w:val="28"/>
          <w:szCs w:val="28"/>
        </w:rPr>
        <w:t xml:space="preserve"> Pump </w:t>
      </w:r>
    </w:p>
    <w:p w14:paraId="48E7C983" w14:textId="77777777" w:rsidR="00831B50" w:rsidRPr="00196D83" w:rsidRDefault="00831B50" w:rsidP="00802590">
      <w:pPr>
        <w:pStyle w:val="NoSpacing"/>
        <w:rPr>
          <w:rFonts w:ascii="Trebuchet MS" w:hAnsi="Trebuchet MS"/>
          <w:b/>
          <w:sz w:val="28"/>
          <w:szCs w:val="28"/>
        </w:rPr>
      </w:pPr>
    </w:p>
    <w:p w14:paraId="138F5683" w14:textId="77777777" w:rsidR="00802590" w:rsidRPr="00196D83" w:rsidRDefault="00802590" w:rsidP="00802590">
      <w:pPr>
        <w:pStyle w:val="NoSpacing"/>
        <w:rPr>
          <w:rFonts w:ascii="Trebuchet MS" w:hAnsi="Trebuchet MS"/>
          <w:bCs/>
        </w:rPr>
      </w:pPr>
    </w:p>
    <w:p w14:paraId="2D218BDE" w14:textId="208E86DC" w:rsidR="00B93C71" w:rsidRPr="00196D83" w:rsidRDefault="00802590" w:rsidP="00913D5E">
      <w:pPr>
        <w:pStyle w:val="NoSpacing"/>
        <w:jc w:val="both"/>
        <w:rPr>
          <w:rFonts w:ascii="Trebuchet MS" w:hAnsi="Trebuchet MS"/>
          <w:bCs/>
        </w:rPr>
      </w:pPr>
      <w:r w:rsidRPr="00196D83">
        <w:rPr>
          <w:rFonts w:ascii="Trebuchet MS" w:hAnsi="Trebuchet MS"/>
          <w:bCs/>
        </w:rPr>
        <w:t xml:space="preserve">Flowrox </w:t>
      </w:r>
      <w:r w:rsidR="00AE7205" w:rsidRPr="00196D83">
        <w:rPr>
          <w:rFonts w:ascii="Trebuchet MS" w:hAnsi="Trebuchet MS"/>
          <w:bCs/>
        </w:rPr>
        <w:t>has</w:t>
      </w:r>
      <w:r w:rsidR="00C27B5E" w:rsidRPr="00196D83">
        <w:rPr>
          <w:rFonts w:ascii="Trebuchet MS" w:hAnsi="Trebuchet MS"/>
          <w:bCs/>
        </w:rPr>
        <w:t xml:space="preserve"> launc</w:t>
      </w:r>
      <w:r w:rsidR="004642DC" w:rsidRPr="00196D83">
        <w:rPr>
          <w:rFonts w:ascii="Trebuchet MS" w:hAnsi="Trebuchet MS"/>
          <w:bCs/>
        </w:rPr>
        <w:t>h</w:t>
      </w:r>
      <w:r w:rsidR="00AE7205" w:rsidRPr="00196D83">
        <w:rPr>
          <w:rFonts w:ascii="Trebuchet MS" w:hAnsi="Trebuchet MS"/>
          <w:bCs/>
        </w:rPr>
        <w:t>ed</w:t>
      </w:r>
      <w:r w:rsidR="00C27B5E" w:rsidRPr="00196D83">
        <w:rPr>
          <w:rFonts w:ascii="Trebuchet MS" w:hAnsi="Trebuchet MS"/>
          <w:bCs/>
        </w:rPr>
        <w:t xml:space="preserve"> </w:t>
      </w:r>
      <w:r w:rsidR="00913D5E" w:rsidRPr="00196D83">
        <w:rPr>
          <w:rFonts w:ascii="Trebuchet MS" w:hAnsi="Trebuchet MS"/>
          <w:bCs/>
        </w:rPr>
        <w:t xml:space="preserve">a </w:t>
      </w:r>
      <w:r w:rsidR="004642DC" w:rsidRPr="00196D83">
        <w:rPr>
          <w:rFonts w:ascii="Trebuchet MS" w:hAnsi="Trebuchet MS"/>
          <w:bCs/>
        </w:rPr>
        <w:t xml:space="preserve">new </w:t>
      </w:r>
      <w:r w:rsidR="00D73E53" w:rsidRPr="00196D83">
        <w:rPr>
          <w:rFonts w:ascii="Trebuchet MS" w:hAnsi="Trebuchet MS"/>
          <w:bCs/>
        </w:rPr>
        <w:t>heavy</w:t>
      </w:r>
      <w:r w:rsidR="00913D5E" w:rsidRPr="00196D83">
        <w:rPr>
          <w:rFonts w:ascii="Trebuchet MS" w:hAnsi="Trebuchet MS"/>
          <w:bCs/>
        </w:rPr>
        <w:t>-</w:t>
      </w:r>
      <w:r w:rsidR="00D73E53" w:rsidRPr="00196D83">
        <w:rPr>
          <w:rFonts w:ascii="Trebuchet MS" w:hAnsi="Trebuchet MS"/>
          <w:bCs/>
        </w:rPr>
        <w:t xml:space="preserve">duty </w:t>
      </w:r>
      <w:r w:rsidR="005A2FC0" w:rsidRPr="00196D83">
        <w:rPr>
          <w:rFonts w:ascii="Trebuchet MS" w:hAnsi="Trebuchet MS"/>
          <w:bCs/>
        </w:rPr>
        <w:t>CF-S h</w:t>
      </w:r>
      <w:r w:rsidR="00C27B5E" w:rsidRPr="00196D83">
        <w:rPr>
          <w:rFonts w:ascii="Trebuchet MS" w:hAnsi="Trebuchet MS"/>
          <w:bCs/>
        </w:rPr>
        <w:t>orizontal centrifugal pump</w:t>
      </w:r>
      <w:r w:rsidR="005A2FC0" w:rsidRPr="00196D83">
        <w:rPr>
          <w:rFonts w:ascii="Trebuchet MS" w:hAnsi="Trebuchet MS"/>
          <w:bCs/>
        </w:rPr>
        <w:t xml:space="preserve"> that </w:t>
      </w:r>
      <w:r w:rsidR="00D73E53" w:rsidRPr="00196D83">
        <w:rPr>
          <w:rFonts w:ascii="Trebuchet MS" w:hAnsi="Trebuchet MS"/>
          <w:bCs/>
        </w:rPr>
        <w:t>is</w:t>
      </w:r>
      <w:r w:rsidR="00674B53" w:rsidRPr="00196D83">
        <w:rPr>
          <w:rFonts w:ascii="Trebuchet MS" w:hAnsi="Trebuchet MS"/>
          <w:bCs/>
        </w:rPr>
        <w:t xml:space="preserve"> design</w:t>
      </w:r>
      <w:r w:rsidR="00B93C71" w:rsidRPr="00196D83">
        <w:rPr>
          <w:rFonts w:ascii="Trebuchet MS" w:hAnsi="Trebuchet MS"/>
          <w:bCs/>
        </w:rPr>
        <w:t xml:space="preserve">ed </w:t>
      </w:r>
      <w:r w:rsidR="00674B53" w:rsidRPr="00196D83">
        <w:rPr>
          <w:rFonts w:ascii="Trebuchet MS" w:hAnsi="Trebuchet MS"/>
          <w:bCs/>
        </w:rPr>
        <w:t xml:space="preserve">for continuous pumping of highly abrasive and </w:t>
      </w:r>
      <w:r w:rsidR="00B93C71" w:rsidRPr="00196D83">
        <w:rPr>
          <w:rFonts w:ascii="Trebuchet MS" w:hAnsi="Trebuchet MS"/>
          <w:bCs/>
        </w:rPr>
        <w:t>den</w:t>
      </w:r>
      <w:r w:rsidR="007F336E" w:rsidRPr="00196D83">
        <w:rPr>
          <w:rFonts w:ascii="Trebuchet MS" w:hAnsi="Trebuchet MS"/>
          <w:bCs/>
        </w:rPr>
        <w:t>se</w:t>
      </w:r>
      <w:r w:rsidR="00674B53" w:rsidRPr="00196D83">
        <w:rPr>
          <w:rFonts w:ascii="Trebuchet MS" w:hAnsi="Trebuchet MS"/>
          <w:bCs/>
        </w:rPr>
        <w:t xml:space="preserve"> slurries.</w:t>
      </w:r>
      <w:r w:rsidR="00B93C71" w:rsidRPr="00196D83">
        <w:rPr>
          <w:rFonts w:ascii="Trebuchet MS" w:hAnsi="Trebuchet MS"/>
          <w:bCs/>
        </w:rPr>
        <w:t xml:space="preserve"> The CF-S pump is ideal for grinding mill discharge, </w:t>
      </w:r>
      <w:proofErr w:type="spellStart"/>
      <w:r w:rsidR="00B93C71" w:rsidRPr="00196D83">
        <w:rPr>
          <w:rFonts w:ascii="Trebuchet MS" w:hAnsi="Trebuchet MS"/>
          <w:bCs/>
        </w:rPr>
        <w:t>hydrocyclone</w:t>
      </w:r>
      <w:proofErr w:type="spellEnd"/>
      <w:r w:rsidR="00B93C71" w:rsidRPr="00196D83">
        <w:rPr>
          <w:rFonts w:ascii="Trebuchet MS" w:hAnsi="Trebuchet MS"/>
          <w:bCs/>
        </w:rPr>
        <w:t xml:space="preserve"> feed, minerals processing, tailings, sugar processing</w:t>
      </w:r>
      <w:r w:rsidR="00674B53" w:rsidRPr="00196D83">
        <w:rPr>
          <w:rFonts w:ascii="Trebuchet MS" w:hAnsi="Trebuchet MS"/>
          <w:bCs/>
        </w:rPr>
        <w:t xml:space="preserve"> </w:t>
      </w:r>
      <w:r w:rsidR="00913D5E" w:rsidRPr="00196D83">
        <w:rPr>
          <w:rFonts w:ascii="Trebuchet MS" w:hAnsi="Trebuchet MS"/>
          <w:bCs/>
        </w:rPr>
        <w:t>and</w:t>
      </w:r>
      <w:r w:rsidR="00B93C71" w:rsidRPr="00196D83">
        <w:rPr>
          <w:rFonts w:ascii="Trebuchet MS" w:hAnsi="Trebuchet MS"/>
          <w:bCs/>
        </w:rPr>
        <w:t xml:space="preserve"> other industrial applications.</w:t>
      </w:r>
      <w:r w:rsidR="007F336E" w:rsidRPr="00196D83">
        <w:rPr>
          <w:rFonts w:ascii="Trebuchet MS" w:hAnsi="Trebuchet MS"/>
          <w:bCs/>
          <w:noProof/>
        </w:rPr>
        <w:t xml:space="preserve"> </w:t>
      </w:r>
    </w:p>
    <w:p w14:paraId="13856617" w14:textId="0243DD90" w:rsidR="00B93C71" w:rsidRPr="00196D83" w:rsidRDefault="00B93C71" w:rsidP="00913D5E">
      <w:pPr>
        <w:pStyle w:val="NoSpacing"/>
        <w:jc w:val="both"/>
        <w:rPr>
          <w:rFonts w:ascii="Trebuchet MS" w:hAnsi="Trebuchet MS"/>
          <w:bCs/>
        </w:rPr>
      </w:pPr>
    </w:p>
    <w:p w14:paraId="4824CA73" w14:textId="75D77CD7" w:rsidR="00DA1BEF" w:rsidRPr="00196D83" w:rsidRDefault="001749C2" w:rsidP="00913D5E">
      <w:pPr>
        <w:pStyle w:val="BodyText"/>
        <w:spacing w:before="1"/>
        <w:jc w:val="both"/>
        <w:rPr>
          <w:bCs/>
          <w:sz w:val="22"/>
          <w:szCs w:val="22"/>
        </w:rPr>
      </w:pPr>
      <w:bookmarkStart w:id="1" w:name="_Hlk14079218"/>
      <w:r w:rsidRPr="00196D83">
        <w:rPr>
          <w:bCs/>
          <w:sz w:val="22"/>
          <w:szCs w:val="22"/>
        </w:rPr>
        <w:t xml:space="preserve">The CF-S pump </w:t>
      </w:r>
      <w:r w:rsidRPr="00196D83">
        <w:rPr>
          <w:rFonts w:cs="Arial"/>
          <w:bCs/>
          <w:sz w:val="22"/>
          <w:szCs w:val="22"/>
        </w:rPr>
        <w:t>provide</w:t>
      </w:r>
      <w:r w:rsidR="00913D5E" w:rsidRPr="00196D83">
        <w:rPr>
          <w:rFonts w:cs="Arial"/>
          <w:bCs/>
          <w:sz w:val="22"/>
          <w:szCs w:val="22"/>
        </w:rPr>
        <w:t>s</w:t>
      </w:r>
      <w:r w:rsidRPr="00196D83">
        <w:rPr>
          <w:rFonts w:cs="Arial"/>
          <w:bCs/>
          <w:sz w:val="22"/>
          <w:szCs w:val="22"/>
        </w:rPr>
        <w:t xml:space="preserve"> ideal duty points</w:t>
      </w:r>
      <w:r w:rsidR="00913D5E" w:rsidRPr="00196D83">
        <w:rPr>
          <w:rFonts w:cs="Arial"/>
          <w:bCs/>
          <w:sz w:val="22"/>
          <w:szCs w:val="22"/>
        </w:rPr>
        <w:t xml:space="preserve"> with flows from as low as</w:t>
      </w:r>
      <w:r w:rsidRPr="00196D83">
        <w:rPr>
          <w:bCs/>
          <w:sz w:val="22"/>
          <w:szCs w:val="22"/>
        </w:rPr>
        <w:t xml:space="preserve"> 2.3 m</w:t>
      </w:r>
      <w:r w:rsidRPr="00196D83">
        <w:rPr>
          <w:bCs/>
          <w:sz w:val="22"/>
          <w:szCs w:val="22"/>
          <w:vertAlign w:val="superscript"/>
        </w:rPr>
        <w:t>3</w:t>
      </w:r>
      <w:r w:rsidRPr="00196D83">
        <w:rPr>
          <w:bCs/>
          <w:sz w:val="22"/>
          <w:szCs w:val="22"/>
        </w:rPr>
        <w:t xml:space="preserve">/h </w:t>
      </w:r>
      <w:r w:rsidR="00913D5E" w:rsidRPr="00196D83">
        <w:rPr>
          <w:bCs/>
          <w:sz w:val="22"/>
          <w:szCs w:val="22"/>
        </w:rPr>
        <w:t>to over</w:t>
      </w:r>
      <w:r w:rsidRPr="00196D83">
        <w:rPr>
          <w:bCs/>
          <w:sz w:val="22"/>
          <w:szCs w:val="22"/>
        </w:rPr>
        <w:t xml:space="preserve"> 4 000 m</w:t>
      </w:r>
      <w:r w:rsidRPr="00196D83">
        <w:rPr>
          <w:bCs/>
          <w:sz w:val="22"/>
          <w:szCs w:val="22"/>
          <w:vertAlign w:val="superscript"/>
        </w:rPr>
        <w:t>3</w:t>
      </w:r>
      <w:r w:rsidRPr="00196D83">
        <w:rPr>
          <w:bCs/>
          <w:sz w:val="22"/>
          <w:szCs w:val="22"/>
        </w:rPr>
        <w:t xml:space="preserve">/h. A single Flowrox CF-S centrifugal pump can reach heads </w:t>
      </w:r>
      <w:r w:rsidR="00913D5E" w:rsidRPr="00196D83">
        <w:rPr>
          <w:bCs/>
          <w:sz w:val="22"/>
          <w:szCs w:val="22"/>
        </w:rPr>
        <w:t>in excess of</w:t>
      </w:r>
      <w:r w:rsidRPr="00196D83">
        <w:rPr>
          <w:bCs/>
          <w:sz w:val="22"/>
          <w:szCs w:val="22"/>
        </w:rPr>
        <w:t xml:space="preserve"> 76 m and </w:t>
      </w:r>
      <w:r w:rsidR="00913D5E" w:rsidRPr="00196D83">
        <w:rPr>
          <w:bCs/>
          <w:sz w:val="22"/>
          <w:szCs w:val="22"/>
        </w:rPr>
        <w:t>provides</w:t>
      </w:r>
      <w:r w:rsidRPr="00196D83">
        <w:rPr>
          <w:bCs/>
          <w:sz w:val="22"/>
          <w:szCs w:val="22"/>
        </w:rPr>
        <w:t xml:space="preserve"> a good </w:t>
      </w:r>
      <w:r w:rsidR="00913D5E" w:rsidRPr="00196D83">
        <w:rPr>
          <w:bCs/>
          <w:sz w:val="22"/>
          <w:szCs w:val="22"/>
        </w:rPr>
        <w:t>balance</w:t>
      </w:r>
      <w:r w:rsidRPr="00196D83">
        <w:rPr>
          <w:bCs/>
          <w:sz w:val="22"/>
          <w:szCs w:val="22"/>
        </w:rPr>
        <w:t xml:space="preserve"> between efficiency and wear. </w:t>
      </w:r>
    </w:p>
    <w:p w14:paraId="7045F94B" w14:textId="77777777" w:rsidR="00DA1BEF" w:rsidRPr="00196D83" w:rsidRDefault="00DA1BEF" w:rsidP="00913D5E">
      <w:pPr>
        <w:pStyle w:val="BodyText"/>
        <w:spacing w:before="1"/>
        <w:jc w:val="both"/>
        <w:rPr>
          <w:bCs/>
          <w:sz w:val="22"/>
          <w:szCs w:val="22"/>
        </w:rPr>
      </w:pPr>
    </w:p>
    <w:p w14:paraId="153BDD5F" w14:textId="067206CE" w:rsidR="001749C2" w:rsidRPr="00196D83" w:rsidRDefault="001749C2" w:rsidP="00913D5E">
      <w:pPr>
        <w:pStyle w:val="BodyText"/>
        <w:spacing w:before="1"/>
        <w:jc w:val="both"/>
        <w:rPr>
          <w:bCs/>
          <w:sz w:val="22"/>
          <w:szCs w:val="22"/>
        </w:rPr>
      </w:pPr>
      <w:r w:rsidRPr="00196D83">
        <w:rPr>
          <w:bCs/>
          <w:sz w:val="22"/>
          <w:szCs w:val="22"/>
        </w:rPr>
        <w:t xml:space="preserve">The construction of the Flowrox CF-S pump is based on </w:t>
      </w:r>
      <w:r w:rsidR="00913D5E" w:rsidRPr="00196D83">
        <w:rPr>
          <w:bCs/>
          <w:sz w:val="22"/>
          <w:szCs w:val="22"/>
        </w:rPr>
        <w:t xml:space="preserve">a </w:t>
      </w:r>
      <w:r w:rsidRPr="00196D83">
        <w:rPr>
          <w:bCs/>
          <w:sz w:val="22"/>
          <w:szCs w:val="22"/>
        </w:rPr>
        <w:t xml:space="preserve">split-case and </w:t>
      </w:r>
      <w:r w:rsidR="00913D5E" w:rsidRPr="00196D83">
        <w:rPr>
          <w:bCs/>
          <w:sz w:val="22"/>
          <w:szCs w:val="22"/>
        </w:rPr>
        <w:t>has ava</w:t>
      </w:r>
      <w:r w:rsidR="000439A4" w:rsidRPr="00196D83">
        <w:rPr>
          <w:bCs/>
          <w:sz w:val="22"/>
          <w:szCs w:val="22"/>
        </w:rPr>
        <w:t>il</w:t>
      </w:r>
      <w:r w:rsidR="00913D5E" w:rsidRPr="00196D83">
        <w:rPr>
          <w:bCs/>
          <w:sz w:val="22"/>
          <w:szCs w:val="22"/>
        </w:rPr>
        <w:t>able</w:t>
      </w:r>
      <w:r w:rsidRPr="00196D83">
        <w:rPr>
          <w:bCs/>
          <w:sz w:val="22"/>
          <w:szCs w:val="22"/>
        </w:rPr>
        <w:t xml:space="preserve"> a range of liner material options for optimal performance.</w:t>
      </w:r>
    </w:p>
    <w:p w14:paraId="3711B764" w14:textId="77777777" w:rsidR="001749C2" w:rsidRPr="00196D83" w:rsidRDefault="001749C2" w:rsidP="00913D5E">
      <w:pPr>
        <w:pStyle w:val="BodyText"/>
        <w:ind w:right="98"/>
        <w:jc w:val="both"/>
        <w:rPr>
          <w:bCs/>
          <w:sz w:val="22"/>
          <w:szCs w:val="22"/>
        </w:rPr>
      </w:pPr>
    </w:p>
    <w:p w14:paraId="721EB557" w14:textId="062BE9F3" w:rsidR="007F336E" w:rsidRPr="00196D83" w:rsidRDefault="007F336E" w:rsidP="00913D5E">
      <w:pPr>
        <w:pStyle w:val="BodyText"/>
        <w:ind w:right="98"/>
        <w:jc w:val="both"/>
        <w:rPr>
          <w:bCs/>
          <w:sz w:val="22"/>
          <w:szCs w:val="22"/>
        </w:rPr>
      </w:pPr>
      <w:r w:rsidRPr="00196D83">
        <w:rPr>
          <w:bCs/>
          <w:sz w:val="22"/>
          <w:szCs w:val="22"/>
        </w:rPr>
        <w:t xml:space="preserve">Flowrox </w:t>
      </w:r>
      <w:r w:rsidR="00196D83">
        <w:rPr>
          <w:bCs/>
          <w:sz w:val="22"/>
          <w:szCs w:val="22"/>
        </w:rPr>
        <w:t>Digital Services</w:t>
      </w:r>
      <w:r w:rsidRPr="00196D83">
        <w:rPr>
          <w:bCs/>
          <w:sz w:val="22"/>
          <w:szCs w:val="22"/>
        </w:rPr>
        <w:t xml:space="preserve"> </w:t>
      </w:r>
      <w:r w:rsidR="00EC00F1">
        <w:rPr>
          <w:bCs/>
          <w:sz w:val="22"/>
          <w:szCs w:val="22"/>
        </w:rPr>
        <w:t xml:space="preserve">(supporting </w:t>
      </w:r>
      <w:r w:rsidRPr="00196D83">
        <w:rPr>
          <w:bCs/>
          <w:sz w:val="22"/>
          <w:szCs w:val="22"/>
        </w:rPr>
        <w:t>Industrial Internet of Things</w:t>
      </w:r>
      <w:r w:rsidR="00EC00F1">
        <w:rPr>
          <w:bCs/>
          <w:sz w:val="22"/>
          <w:szCs w:val="22"/>
        </w:rPr>
        <w:t>,</w:t>
      </w:r>
      <w:r w:rsidRPr="00196D83">
        <w:rPr>
          <w:bCs/>
          <w:sz w:val="22"/>
          <w:szCs w:val="22"/>
        </w:rPr>
        <w:t xml:space="preserve"> </w:t>
      </w:r>
      <w:proofErr w:type="spellStart"/>
      <w:r w:rsidRPr="00196D83">
        <w:rPr>
          <w:bCs/>
          <w:sz w:val="22"/>
          <w:szCs w:val="22"/>
        </w:rPr>
        <w:t>IIoT</w:t>
      </w:r>
      <w:proofErr w:type="spellEnd"/>
      <w:r w:rsidRPr="00196D83">
        <w:rPr>
          <w:bCs/>
          <w:sz w:val="22"/>
          <w:szCs w:val="22"/>
        </w:rPr>
        <w:t xml:space="preserve">) </w:t>
      </w:r>
      <w:r w:rsidR="00AF77E8" w:rsidRPr="00196D83">
        <w:rPr>
          <w:bCs/>
          <w:sz w:val="22"/>
          <w:szCs w:val="22"/>
        </w:rPr>
        <w:t xml:space="preserve">are optional features which </w:t>
      </w:r>
      <w:r w:rsidRPr="00196D83">
        <w:rPr>
          <w:bCs/>
          <w:sz w:val="22"/>
          <w:szCs w:val="22"/>
        </w:rPr>
        <w:t xml:space="preserve">increase </w:t>
      </w:r>
      <w:r w:rsidR="00AF77E8" w:rsidRPr="00196D83">
        <w:rPr>
          <w:bCs/>
          <w:sz w:val="22"/>
          <w:szCs w:val="22"/>
        </w:rPr>
        <w:t>Flowrox CF-S pump’s</w:t>
      </w:r>
      <w:r w:rsidRPr="00196D83">
        <w:rPr>
          <w:bCs/>
          <w:sz w:val="22"/>
          <w:szCs w:val="22"/>
        </w:rPr>
        <w:t xml:space="preserve"> productivity through </w:t>
      </w:r>
      <w:r w:rsidR="00196D83" w:rsidRPr="00196D83">
        <w:rPr>
          <w:bCs/>
          <w:sz w:val="22"/>
          <w:szCs w:val="22"/>
        </w:rPr>
        <w:t>optimization</w:t>
      </w:r>
      <w:r w:rsidRPr="00196D83">
        <w:rPr>
          <w:bCs/>
          <w:sz w:val="22"/>
          <w:szCs w:val="22"/>
        </w:rPr>
        <w:t xml:space="preserve"> and online predictability.</w:t>
      </w:r>
      <w:bookmarkEnd w:id="1"/>
    </w:p>
    <w:p w14:paraId="1F1FD214" w14:textId="77777777" w:rsidR="007F336E" w:rsidRPr="00196D83" w:rsidRDefault="007F336E" w:rsidP="00913D5E">
      <w:pPr>
        <w:pStyle w:val="BodyText"/>
        <w:spacing w:before="6"/>
        <w:jc w:val="both"/>
        <w:rPr>
          <w:bCs/>
          <w:sz w:val="22"/>
          <w:szCs w:val="22"/>
        </w:rPr>
      </w:pPr>
    </w:p>
    <w:p w14:paraId="775F5489" w14:textId="287B6F68" w:rsidR="00802590" w:rsidRPr="00196D83" w:rsidRDefault="001749C2" w:rsidP="00913D5E">
      <w:pPr>
        <w:pStyle w:val="NoSpacing"/>
        <w:jc w:val="both"/>
        <w:rPr>
          <w:rFonts w:ascii="Trebuchet MS" w:hAnsi="Trebuchet MS"/>
        </w:rPr>
      </w:pPr>
      <w:r w:rsidRPr="00196D83">
        <w:rPr>
          <w:rFonts w:ascii="Trebuchet MS" w:hAnsi="Trebuchet MS"/>
          <w:bCs/>
        </w:rPr>
        <w:t xml:space="preserve">The horizontal CF-S pump </w:t>
      </w:r>
      <w:r w:rsidR="00913D5E" w:rsidRPr="00196D83">
        <w:rPr>
          <w:rFonts w:ascii="Trebuchet MS" w:hAnsi="Trebuchet MS"/>
          <w:bCs/>
        </w:rPr>
        <w:t>is</w:t>
      </w:r>
      <w:r w:rsidRPr="00196D83">
        <w:rPr>
          <w:rFonts w:ascii="Trebuchet MS" w:hAnsi="Trebuchet MS"/>
          <w:bCs/>
        </w:rPr>
        <w:t xml:space="preserve"> </w:t>
      </w:r>
      <w:r w:rsidR="007F336E" w:rsidRPr="00196D83">
        <w:rPr>
          <w:rFonts w:ascii="Trebuchet MS" w:hAnsi="Trebuchet MS"/>
          <w:bCs/>
        </w:rPr>
        <w:t xml:space="preserve">the first </w:t>
      </w:r>
      <w:r w:rsidRPr="00196D83">
        <w:rPr>
          <w:rFonts w:ascii="Trebuchet MS" w:hAnsi="Trebuchet MS"/>
          <w:bCs/>
        </w:rPr>
        <w:t>in</w:t>
      </w:r>
      <w:r w:rsidR="007F336E" w:rsidRPr="00196D83">
        <w:rPr>
          <w:rFonts w:ascii="Trebuchet MS" w:hAnsi="Trebuchet MS"/>
          <w:bCs/>
        </w:rPr>
        <w:t xml:space="preserve"> </w:t>
      </w:r>
      <w:r w:rsidR="00913D5E" w:rsidRPr="00196D83">
        <w:rPr>
          <w:rFonts w:ascii="Trebuchet MS" w:hAnsi="Trebuchet MS"/>
          <w:bCs/>
        </w:rPr>
        <w:t xml:space="preserve">a </w:t>
      </w:r>
      <w:r w:rsidR="007F336E" w:rsidRPr="00196D83">
        <w:rPr>
          <w:rFonts w:ascii="Trebuchet MS" w:hAnsi="Trebuchet MS"/>
          <w:bCs/>
        </w:rPr>
        <w:t xml:space="preserve">range of </w:t>
      </w:r>
      <w:r w:rsidR="00DA1BEF" w:rsidRPr="00196D83">
        <w:rPr>
          <w:rFonts w:ascii="Trebuchet MS" w:hAnsi="Trebuchet MS"/>
          <w:bCs/>
        </w:rPr>
        <w:t>high-quality</w:t>
      </w:r>
      <w:r w:rsidRPr="00196D83">
        <w:rPr>
          <w:rFonts w:ascii="Trebuchet MS" w:hAnsi="Trebuchet MS"/>
          <w:bCs/>
        </w:rPr>
        <w:t xml:space="preserve"> </w:t>
      </w:r>
      <w:r w:rsidR="007F336E" w:rsidRPr="00196D83">
        <w:rPr>
          <w:rFonts w:ascii="Trebuchet MS" w:hAnsi="Trebuchet MS"/>
          <w:bCs/>
        </w:rPr>
        <w:t>centrifugal pumps</w:t>
      </w:r>
      <w:r w:rsidR="00DA1BEF" w:rsidRPr="00196D83">
        <w:rPr>
          <w:rFonts w:ascii="Trebuchet MS" w:hAnsi="Trebuchet MS"/>
        </w:rPr>
        <w:t xml:space="preserve"> which </w:t>
      </w:r>
      <w:r w:rsidR="00EC00F1">
        <w:rPr>
          <w:rFonts w:ascii="Trebuchet MS" w:hAnsi="Trebuchet MS"/>
        </w:rPr>
        <w:t>Flowrox is launching</w:t>
      </w:r>
      <w:r w:rsidR="00DA1BEF" w:rsidRPr="00196D83">
        <w:rPr>
          <w:rFonts w:ascii="Trebuchet MS" w:hAnsi="Trebuchet MS"/>
        </w:rPr>
        <w:t>.</w:t>
      </w:r>
    </w:p>
    <w:p w14:paraId="045F8F2D" w14:textId="24589816" w:rsidR="00DA1BEF" w:rsidRDefault="00DA1BEF" w:rsidP="00913D5E">
      <w:pPr>
        <w:pStyle w:val="NoSpacing"/>
        <w:jc w:val="both"/>
        <w:rPr>
          <w:rFonts w:ascii="Trebuchet MS" w:hAnsi="Trebuchet MS"/>
        </w:rPr>
      </w:pPr>
    </w:p>
    <w:p w14:paraId="75CF4F38" w14:textId="77777777" w:rsidR="00AC1B01" w:rsidRPr="00196D83" w:rsidRDefault="00AC1B01" w:rsidP="00913D5E">
      <w:pPr>
        <w:pStyle w:val="NoSpacing"/>
        <w:jc w:val="both"/>
        <w:rPr>
          <w:rFonts w:ascii="Trebuchet MS" w:hAnsi="Trebuchet MS"/>
        </w:rPr>
      </w:pPr>
    </w:p>
    <w:p w14:paraId="167ED86D" w14:textId="00979331" w:rsidR="00293862" w:rsidRPr="00196D83" w:rsidRDefault="00802590" w:rsidP="00913D5E">
      <w:pPr>
        <w:pStyle w:val="Heading2"/>
        <w:shd w:val="clear" w:color="auto" w:fill="FFFFFF"/>
        <w:jc w:val="both"/>
        <w:textAlignment w:val="baseline"/>
        <w:rPr>
          <w:rFonts w:ascii="Trebuchet MS" w:hAnsi="Trebuchet MS"/>
          <w:color w:val="auto"/>
          <w:sz w:val="22"/>
          <w:szCs w:val="22"/>
          <w:lang w:val="en-AU"/>
        </w:rPr>
      </w:pPr>
      <w:r w:rsidRPr="00196D83">
        <w:rPr>
          <w:rFonts w:ascii="Trebuchet MS" w:hAnsi="Trebuchet MS"/>
          <w:color w:val="auto"/>
          <w:sz w:val="22"/>
          <w:szCs w:val="22"/>
          <w:lang w:val="en-AU"/>
        </w:rPr>
        <w:t xml:space="preserve">For more information, </w:t>
      </w:r>
    </w:p>
    <w:p w14:paraId="646EE65C" w14:textId="0D883DA1" w:rsidR="003D67B0" w:rsidRPr="003D67B0" w:rsidRDefault="00F82BFB" w:rsidP="003D67B0">
      <w:pPr>
        <w:pStyle w:val="Heading2"/>
        <w:shd w:val="clear" w:color="auto" w:fill="FFFFFF"/>
        <w:jc w:val="both"/>
        <w:textAlignment w:val="baseline"/>
        <w:rPr>
          <w:rFonts w:ascii="Trebuchet MS" w:hAnsi="Trebuchet MS"/>
          <w:color w:val="auto"/>
          <w:sz w:val="22"/>
          <w:szCs w:val="22"/>
          <w:lang w:val="en-AU"/>
        </w:rPr>
      </w:pPr>
      <w:r w:rsidRPr="00196D83">
        <w:rPr>
          <w:rFonts w:ascii="Trebuchet MS" w:hAnsi="Trebuchet MS"/>
          <w:b/>
          <w:bCs/>
          <w:color w:val="auto"/>
          <w:sz w:val="22"/>
          <w:szCs w:val="22"/>
          <w:lang w:val="en-AU"/>
        </w:rPr>
        <w:t>Martti Lahtinen</w:t>
      </w:r>
      <w:r w:rsidR="00802590" w:rsidRPr="00196D83">
        <w:rPr>
          <w:rFonts w:ascii="Trebuchet MS" w:hAnsi="Trebuchet MS"/>
          <w:color w:val="auto"/>
          <w:sz w:val="22"/>
          <w:szCs w:val="22"/>
          <w:lang w:val="en-AU"/>
        </w:rPr>
        <w:t xml:space="preserve">, </w:t>
      </w:r>
      <w:r w:rsidRPr="00196D83">
        <w:rPr>
          <w:rFonts w:ascii="Trebuchet MS" w:hAnsi="Trebuchet MS"/>
          <w:color w:val="auto"/>
          <w:sz w:val="22"/>
          <w:szCs w:val="22"/>
          <w:lang w:val="en-AU"/>
        </w:rPr>
        <w:t>Business Line Director, Mining</w:t>
      </w:r>
      <w:r w:rsidR="00EC00F1">
        <w:rPr>
          <w:rFonts w:ascii="Trebuchet MS" w:hAnsi="Trebuchet MS"/>
          <w:color w:val="auto"/>
          <w:sz w:val="22"/>
          <w:szCs w:val="22"/>
          <w:lang w:val="en-AU"/>
        </w:rPr>
        <w:t>,</w:t>
      </w:r>
      <w:r w:rsidRPr="00196D83">
        <w:rPr>
          <w:rFonts w:ascii="Trebuchet MS" w:hAnsi="Trebuchet MS"/>
          <w:color w:val="auto"/>
          <w:sz w:val="22"/>
          <w:szCs w:val="22"/>
          <w:lang w:val="en-AU"/>
        </w:rPr>
        <w:t xml:space="preserve"> Minerals Processing, Metallurgy </w:t>
      </w:r>
      <w:r w:rsidR="00906543" w:rsidRPr="00196D83">
        <w:rPr>
          <w:rFonts w:ascii="Trebuchet MS" w:hAnsi="Trebuchet MS"/>
          <w:color w:val="auto"/>
          <w:sz w:val="22"/>
          <w:szCs w:val="22"/>
          <w:lang w:val="en-AU"/>
        </w:rPr>
        <w:t xml:space="preserve">martti.lahtinen@flowrox.com </w:t>
      </w:r>
    </w:p>
    <w:p w14:paraId="2F3B7FF7" w14:textId="77777777" w:rsidR="00831B50" w:rsidRDefault="00831B50" w:rsidP="00802590">
      <w:pPr>
        <w:pStyle w:val="NoSpacing"/>
        <w:rPr>
          <w:rFonts w:ascii="Trebuchet MS" w:hAnsi="Trebuchet MS"/>
        </w:rPr>
      </w:pPr>
    </w:p>
    <w:p w14:paraId="22B65EAF" w14:textId="77777777" w:rsidR="00831B50" w:rsidRDefault="00831B50" w:rsidP="00802590">
      <w:pPr>
        <w:pStyle w:val="NoSpacing"/>
        <w:rPr>
          <w:rFonts w:ascii="Trebuchet MS" w:hAnsi="Trebuchet MS"/>
        </w:rPr>
      </w:pPr>
    </w:p>
    <w:p w14:paraId="1F3AF5B8" w14:textId="18A8E719" w:rsidR="00802590" w:rsidRPr="00802590" w:rsidRDefault="00802590" w:rsidP="00802590">
      <w:pPr>
        <w:pStyle w:val="NoSpacing"/>
        <w:rPr>
          <w:rFonts w:ascii="Trebuchet MS" w:hAnsi="Trebuchet MS"/>
        </w:rPr>
      </w:pPr>
      <w:r w:rsidRPr="00802590">
        <w:rPr>
          <w:rFonts w:ascii="Trebuchet MS" w:hAnsi="Trebuchet MS"/>
        </w:rPr>
        <w:br/>
      </w:r>
    </w:p>
    <w:p w14:paraId="3EF95ABE" w14:textId="0BEDFCAA" w:rsidR="00831B50" w:rsidRPr="00831B50" w:rsidRDefault="00831B50" w:rsidP="00831B50">
      <w:pPr>
        <w:rPr>
          <w:rFonts w:ascii="Trebuchet MS" w:hAnsi="Trebuchet MS"/>
          <w:i/>
          <w:sz w:val="20"/>
          <w:lang w:val="en-US"/>
        </w:rPr>
      </w:pPr>
      <w:r w:rsidRPr="00831B50">
        <w:rPr>
          <w:rFonts w:ascii="Trebuchet MS" w:hAnsi="Trebuchet MS"/>
          <w:i/>
          <w:sz w:val="20"/>
          <w:lang w:val="en-US"/>
        </w:rPr>
        <w:t xml:space="preserve">Flowrox is a global supplier of flow control, pumping, filtration and environmental engineering solutions, as well as intelligent applications and automation systems. Flowrox focuses on solving problems related to the shut-off, control, pumping and separation of abrasive, corrosive, and other demanding media, </w:t>
      </w:r>
      <w:proofErr w:type="gramStart"/>
      <w:r w:rsidRPr="00831B50">
        <w:rPr>
          <w:rFonts w:ascii="Trebuchet MS" w:hAnsi="Trebuchet MS"/>
          <w:i/>
          <w:sz w:val="20"/>
          <w:lang w:val="en-US"/>
        </w:rPr>
        <w:t>and also</w:t>
      </w:r>
      <w:proofErr w:type="gramEnd"/>
      <w:r w:rsidRPr="00831B50">
        <w:rPr>
          <w:rFonts w:ascii="Trebuchet MS" w:hAnsi="Trebuchet MS"/>
          <w:i/>
          <w:sz w:val="20"/>
          <w:lang w:val="en-US"/>
        </w:rPr>
        <w:t xml:space="preserve"> provides </w:t>
      </w:r>
      <w:proofErr w:type="spellStart"/>
      <w:r w:rsidRPr="00831B50">
        <w:rPr>
          <w:rFonts w:ascii="Trebuchet MS" w:hAnsi="Trebuchet MS"/>
          <w:i/>
          <w:sz w:val="20"/>
          <w:lang w:val="en-US"/>
        </w:rPr>
        <w:t>IIoT</w:t>
      </w:r>
      <w:proofErr w:type="spellEnd"/>
      <w:r w:rsidRPr="00831B50">
        <w:rPr>
          <w:rFonts w:ascii="Trebuchet MS" w:hAnsi="Trebuchet MS"/>
          <w:i/>
          <w:sz w:val="20"/>
          <w:lang w:val="en-US"/>
        </w:rPr>
        <w:t xml:space="preserve"> solutions for various process industry applications, in particular in the mining and mineral sector and energy and environmental sector.  </w:t>
      </w:r>
    </w:p>
    <w:p w14:paraId="7269B876" w14:textId="4947AA3D" w:rsidR="001B65FD" w:rsidRPr="00831B50" w:rsidRDefault="00831B50">
      <w:pPr>
        <w:rPr>
          <w:rFonts w:ascii="Trebuchet MS" w:hAnsi="Trebuchet MS"/>
          <w:i/>
          <w:sz w:val="20"/>
          <w:lang w:val="en-US"/>
        </w:rPr>
      </w:pPr>
      <w:r w:rsidRPr="00831B50">
        <w:rPr>
          <w:rFonts w:ascii="Trebuchet MS" w:hAnsi="Trebuchet MS"/>
          <w:i/>
          <w:sz w:val="20"/>
          <w:lang w:val="en-US"/>
        </w:rPr>
        <w:t>Flowrox has subsidiaries in the United States, Australia, South Africa, Russia, Sweden, Chile</w:t>
      </w:r>
      <w:r w:rsidR="00863A39">
        <w:rPr>
          <w:rFonts w:ascii="Trebuchet MS" w:hAnsi="Trebuchet MS"/>
          <w:i/>
          <w:sz w:val="20"/>
          <w:lang w:val="en-US"/>
        </w:rPr>
        <w:t xml:space="preserve"> and</w:t>
      </w:r>
      <w:r w:rsidRPr="00831B50">
        <w:rPr>
          <w:rFonts w:ascii="Trebuchet MS" w:hAnsi="Trebuchet MS"/>
          <w:i/>
          <w:sz w:val="20"/>
          <w:lang w:val="en-US"/>
        </w:rPr>
        <w:t xml:space="preserve"> China, as well as a total of over 220 sales representatives in 81 countries. </w:t>
      </w:r>
    </w:p>
    <w:sectPr w:rsidR="001B65FD" w:rsidRPr="00831B50" w:rsidSect="00D77325">
      <w:headerReference w:type="default" r:id="rId7"/>
      <w:footerReference w:type="default" r:id="rId8"/>
      <w:pgSz w:w="12240" w:h="15840"/>
      <w:pgMar w:top="0" w:right="1797" w:bottom="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82C4B" w14:textId="77777777" w:rsidR="00150291" w:rsidRDefault="00150291" w:rsidP="001B65FD">
      <w:pPr>
        <w:spacing w:after="0" w:line="240" w:lineRule="auto"/>
      </w:pPr>
      <w:r>
        <w:separator/>
      </w:r>
    </w:p>
  </w:endnote>
  <w:endnote w:type="continuationSeparator" w:id="0">
    <w:p w14:paraId="139393AB" w14:textId="77777777" w:rsidR="00150291" w:rsidRDefault="00150291" w:rsidP="001B6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F5BDA" w14:textId="77777777" w:rsidR="001B65FD" w:rsidRPr="001B65FD" w:rsidRDefault="000525CD">
    <w:pPr>
      <w:pStyle w:val="Footer"/>
    </w:pPr>
    <w:r w:rsidRPr="000525CD">
      <w:tab/>
    </w:r>
    <w:r w:rsidR="00CD5758">
      <w:tab/>
    </w:r>
    <w:r w:rsidR="00CD5758" w:rsidRPr="00CD5758">
      <w:rPr>
        <w:noProof/>
        <w:lang w:eastAsia="fi-FI"/>
      </w:rPr>
      <w:drawing>
        <wp:inline distT="0" distB="0" distL="0" distR="0" wp14:anchorId="0871C818" wp14:editId="1015EDE7">
          <wp:extent cx="1019175" cy="764381"/>
          <wp:effectExtent l="19050" t="0" r="9525" b="0"/>
          <wp:docPr id="4" name="Picture 2" descr="L:\Marketing_2010\Common\Brand Management\Flowrox visual and logos\Logos\W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Marketing_2010\Common\Brand Management\Flowrox visual and logos\Logos\W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643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882A2" w14:textId="77777777" w:rsidR="00150291" w:rsidRDefault="00150291" w:rsidP="001B65FD">
      <w:pPr>
        <w:spacing w:after="0" w:line="240" w:lineRule="auto"/>
      </w:pPr>
      <w:r>
        <w:separator/>
      </w:r>
    </w:p>
  </w:footnote>
  <w:footnote w:type="continuationSeparator" w:id="0">
    <w:p w14:paraId="0D5E6FAA" w14:textId="77777777" w:rsidR="00150291" w:rsidRDefault="00150291" w:rsidP="001B6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CF83E" w14:textId="6DAA2D94" w:rsidR="000525CD" w:rsidRPr="000525CD" w:rsidRDefault="00B25729" w:rsidP="001B65FD">
    <w:pPr>
      <w:pStyle w:val="Header"/>
      <w:ind w:left="-851"/>
      <w:rPr>
        <w:rFonts w:ascii="Trebuchet MS" w:hAnsi="Trebuchet MS"/>
      </w:rPr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84F452" wp14:editId="689DCA96">
              <wp:simplePos x="0" y="0"/>
              <wp:positionH relativeFrom="column">
                <wp:posOffset>-799465</wp:posOffset>
              </wp:positionH>
              <wp:positionV relativeFrom="paragraph">
                <wp:posOffset>-396875</wp:posOffset>
              </wp:positionV>
              <wp:extent cx="2180590" cy="657860"/>
              <wp:effectExtent l="10160" t="12700" r="5080" b="508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0590" cy="657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547EB3" w14:textId="77777777" w:rsidR="00D77325" w:rsidRDefault="00D77325" w:rsidP="00D77325">
                          <w:r w:rsidRPr="00D77325">
                            <w:rPr>
                              <w:noProof/>
                              <w:lang w:eastAsia="fi-FI"/>
                            </w:rPr>
                            <w:drawing>
                              <wp:inline distT="0" distB="0" distL="0" distR="0" wp14:anchorId="39FA1E86" wp14:editId="4B71CB27">
                                <wp:extent cx="1992630" cy="405006"/>
                                <wp:effectExtent l="19050" t="0" r="7620" b="0"/>
                                <wp:docPr id="7" name="Picture 1" descr="L:\Marketing_2010\Common\Brand Management\Flowrox visual and logos\Logos\flowrox_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:\Marketing_2010\Common\Brand Management\Flowrox visual and logos\Logos\flowrox_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92630" cy="4050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84F4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2.95pt;margin-top:-31.25pt;width:171.7pt;height:51.8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" strokecolor="white [3212]">
              <v:textbox style="mso-fit-shape-to-text:t">
                <w:txbxContent>
                  <w:p w14:paraId="34547EB3" w14:textId="77777777" w:rsidR="00D77325" w:rsidRDefault="00D77325" w:rsidP="00D77325">
                    <w:r w:rsidRPr="00D77325">
                      <w:rPr>
                        <w:noProof/>
                        <w:lang w:eastAsia="fi-FI"/>
                      </w:rPr>
                      <w:drawing>
                        <wp:inline distT="0" distB="0" distL="0" distR="0" wp14:anchorId="39FA1E86" wp14:editId="4B71CB27">
                          <wp:extent cx="1992630" cy="405006"/>
                          <wp:effectExtent l="19050" t="0" r="7620" b="0"/>
                          <wp:docPr id="7" name="Picture 1" descr="L:\Marketing_2010\Common\Brand Management\Flowrox visual and logos\Logos\flowrox_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:\Marketing_2010\Common\Brand Management\Flowrox visual and logos\Logos\flowrox_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92630" cy="4050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B65FD">
      <w:tab/>
    </w:r>
    <w:r w:rsidR="00D77325">
      <w:tab/>
    </w:r>
    <w:r w:rsidR="00802590">
      <w:rPr>
        <w:rFonts w:ascii="Trebuchet MS" w:hAnsi="Trebuchet MS"/>
      </w:rPr>
      <w:t>Press release</w:t>
    </w:r>
  </w:p>
  <w:p w14:paraId="1C4C5F48" w14:textId="77777777" w:rsidR="000525CD" w:rsidRPr="000525CD" w:rsidRDefault="000525CD" w:rsidP="001B65FD">
    <w:pPr>
      <w:pStyle w:val="Header"/>
      <w:ind w:left="-851"/>
      <w:rPr>
        <w:rFonts w:ascii="Trebuchet MS" w:hAnsi="Trebuchet MS"/>
      </w:rPr>
    </w:pPr>
  </w:p>
  <w:p w14:paraId="38F01144" w14:textId="0EB2B62B" w:rsidR="001B65FD" w:rsidRPr="000525CD" w:rsidRDefault="000525CD" w:rsidP="00A325C3">
    <w:pPr>
      <w:pStyle w:val="Header"/>
      <w:ind w:left="-851"/>
      <w:rPr>
        <w:rFonts w:ascii="Trebuchet MS" w:hAnsi="Trebuchet MS"/>
      </w:rPr>
    </w:pPr>
    <w:r w:rsidRPr="000525CD">
      <w:rPr>
        <w:rFonts w:ascii="Trebuchet MS" w:hAnsi="Trebuchet MS"/>
      </w:rPr>
      <w:tab/>
    </w:r>
    <w:r w:rsidRPr="000525CD">
      <w:rPr>
        <w:rFonts w:ascii="Trebuchet MS" w:hAnsi="Trebuchet MS"/>
      </w:rPr>
      <w:tab/>
    </w:r>
    <w:r w:rsidR="00906543">
      <w:rPr>
        <w:rFonts w:ascii="Trebuchet MS" w:hAnsi="Trebuchet MS"/>
      </w:rPr>
      <w:t>1</w:t>
    </w:r>
    <w:r w:rsidR="00A325C3">
      <w:rPr>
        <w:rFonts w:ascii="Trebuchet MS" w:hAnsi="Trebuchet MS"/>
      </w:rPr>
      <w:t>7</w:t>
    </w:r>
    <w:r w:rsidR="00802590">
      <w:rPr>
        <w:rFonts w:ascii="Trebuchet MS" w:hAnsi="Trebuchet MS"/>
      </w:rPr>
      <w:t>.</w:t>
    </w:r>
    <w:r w:rsidR="00906543">
      <w:rPr>
        <w:rFonts w:ascii="Trebuchet MS" w:hAnsi="Trebuchet MS"/>
      </w:rPr>
      <w:t>9</w:t>
    </w:r>
    <w:r w:rsidR="00802590">
      <w:rPr>
        <w:rFonts w:ascii="Trebuchet MS" w:hAnsi="Trebuchet MS"/>
      </w:rPr>
      <w:t>.2019</w:t>
    </w:r>
  </w:p>
  <w:p w14:paraId="6CD33BD0" w14:textId="77777777" w:rsidR="001B65FD" w:rsidRDefault="001B65FD" w:rsidP="001B65FD">
    <w:pPr>
      <w:pStyle w:val="Header"/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90"/>
    <w:rsid w:val="00036A49"/>
    <w:rsid w:val="000439A4"/>
    <w:rsid w:val="000525CD"/>
    <w:rsid w:val="000575C0"/>
    <w:rsid w:val="000A238B"/>
    <w:rsid w:val="000A5F88"/>
    <w:rsid w:val="000D1D56"/>
    <w:rsid w:val="0014194F"/>
    <w:rsid w:val="00150291"/>
    <w:rsid w:val="00161FFC"/>
    <w:rsid w:val="001749C2"/>
    <w:rsid w:val="00196D83"/>
    <w:rsid w:val="001A3B20"/>
    <w:rsid w:val="001B65FD"/>
    <w:rsid w:val="00205854"/>
    <w:rsid w:val="002565F2"/>
    <w:rsid w:val="0027411E"/>
    <w:rsid w:val="00275A64"/>
    <w:rsid w:val="00293862"/>
    <w:rsid w:val="00317052"/>
    <w:rsid w:val="003423A1"/>
    <w:rsid w:val="003509D2"/>
    <w:rsid w:val="003A6F2A"/>
    <w:rsid w:val="003D67B0"/>
    <w:rsid w:val="003E169D"/>
    <w:rsid w:val="004560B9"/>
    <w:rsid w:val="0046086C"/>
    <w:rsid w:val="004642DC"/>
    <w:rsid w:val="004B1C1B"/>
    <w:rsid w:val="004B3CCB"/>
    <w:rsid w:val="004B4DA2"/>
    <w:rsid w:val="004B6CE5"/>
    <w:rsid w:val="004C120B"/>
    <w:rsid w:val="0051714D"/>
    <w:rsid w:val="0054737E"/>
    <w:rsid w:val="005A2FC0"/>
    <w:rsid w:val="005E31F3"/>
    <w:rsid w:val="005F125D"/>
    <w:rsid w:val="00674B53"/>
    <w:rsid w:val="006E66BD"/>
    <w:rsid w:val="007122C3"/>
    <w:rsid w:val="00717E81"/>
    <w:rsid w:val="00774281"/>
    <w:rsid w:val="007C7177"/>
    <w:rsid w:val="007F336E"/>
    <w:rsid w:val="00802590"/>
    <w:rsid w:val="00804449"/>
    <w:rsid w:val="00830096"/>
    <w:rsid w:val="00831B50"/>
    <w:rsid w:val="00832518"/>
    <w:rsid w:val="00863A39"/>
    <w:rsid w:val="00906543"/>
    <w:rsid w:val="0091316E"/>
    <w:rsid w:val="00913D5E"/>
    <w:rsid w:val="00916784"/>
    <w:rsid w:val="00946D77"/>
    <w:rsid w:val="00947BE5"/>
    <w:rsid w:val="009538A6"/>
    <w:rsid w:val="00976B2A"/>
    <w:rsid w:val="009C1A33"/>
    <w:rsid w:val="009D52A7"/>
    <w:rsid w:val="00A325C3"/>
    <w:rsid w:val="00AA3216"/>
    <w:rsid w:val="00AC1B01"/>
    <w:rsid w:val="00AE5168"/>
    <w:rsid w:val="00AE7205"/>
    <w:rsid w:val="00AE766F"/>
    <w:rsid w:val="00AF77E8"/>
    <w:rsid w:val="00B25729"/>
    <w:rsid w:val="00B93C71"/>
    <w:rsid w:val="00BD546F"/>
    <w:rsid w:val="00C10253"/>
    <w:rsid w:val="00C27B5E"/>
    <w:rsid w:val="00CD5758"/>
    <w:rsid w:val="00D73E53"/>
    <w:rsid w:val="00D77325"/>
    <w:rsid w:val="00DA1BEF"/>
    <w:rsid w:val="00DB65DB"/>
    <w:rsid w:val="00DF672A"/>
    <w:rsid w:val="00E04460"/>
    <w:rsid w:val="00E360F9"/>
    <w:rsid w:val="00E849FA"/>
    <w:rsid w:val="00EC00F1"/>
    <w:rsid w:val="00EE2EAF"/>
    <w:rsid w:val="00F10223"/>
    <w:rsid w:val="00F618E2"/>
    <w:rsid w:val="00F82BFB"/>
    <w:rsid w:val="00FD56D2"/>
    <w:rsid w:val="00FD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F3E5F7"/>
  <w15:docId w15:val="{4BF0AE20-E583-46FA-85D5-236872B5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B3CCB"/>
    <w:rPr>
      <w:lang w:val="fi-F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2B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5FD"/>
  </w:style>
  <w:style w:type="paragraph" w:styleId="Footer">
    <w:name w:val="footer"/>
    <w:basedOn w:val="Normal"/>
    <w:link w:val="FooterChar"/>
    <w:unhideWhenUsed/>
    <w:rsid w:val="001B6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B65FD"/>
  </w:style>
  <w:style w:type="paragraph" w:styleId="BalloonText">
    <w:name w:val="Balloon Text"/>
    <w:basedOn w:val="Normal"/>
    <w:link w:val="BalloonTextChar"/>
    <w:uiPriority w:val="99"/>
    <w:semiHidden/>
    <w:unhideWhenUsed/>
    <w:rsid w:val="001B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5FD"/>
    <w:rPr>
      <w:rFonts w:ascii="Tahoma" w:hAnsi="Tahoma" w:cs="Tahoma"/>
      <w:sz w:val="16"/>
      <w:szCs w:val="16"/>
    </w:rPr>
  </w:style>
  <w:style w:type="paragraph" w:customStyle="1" w:styleId="FooterFirst">
    <w:name w:val="FooterFirst"/>
    <w:basedOn w:val="Footer"/>
    <w:next w:val="Footer"/>
    <w:rsid w:val="000525CD"/>
    <w:pPr>
      <w:tabs>
        <w:tab w:val="clear" w:pos="4680"/>
        <w:tab w:val="clear" w:pos="9360"/>
      </w:tabs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Times New Roman" w:hAnsi="Arial" w:cs="Times New Roman"/>
      <w:sz w:val="16"/>
      <w:szCs w:val="20"/>
      <w:lang w:val="en-GB"/>
    </w:rPr>
  </w:style>
  <w:style w:type="character" w:styleId="Hyperlink">
    <w:name w:val="Hyperlink"/>
    <w:basedOn w:val="DefaultParagraphFont"/>
    <w:uiPriority w:val="99"/>
    <w:rsid w:val="000525CD"/>
    <w:rPr>
      <w:color w:val="0000FF"/>
      <w:u w:val="single"/>
    </w:rPr>
  </w:style>
  <w:style w:type="paragraph" w:styleId="NoSpacing">
    <w:name w:val="No Spacing"/>
    <w:uiPriority w:val="1"/>
    <w:qFormat/>
    <w:rsid w:val="00802590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02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590"/>
    <w:pPr>
      <w:spacing w:after="16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590"/>
    <w:rPr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F336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F336E"/>
    <w:rPr>
      <w:rFonts w:ascii="Trebuchet MS" w:eastAsia="Trebuchet MS" w:hAnsi="Trebuchet MS" w:cs="Trebuchet MS"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82B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i-FI"/>
    </w:rPr>
  </w:style>
  <w:style w:type="character" w:styleId="UnresolvedMention">
    <w:name w:val="Unresolved Mention"/>
    <w:basedOn w:val="DefaultParagraphFont"/>
    <w:uiPriority w:val="99"/>
    <w:semiHidden/>
    <w:unhideWhenUsed/>
    <w:rsid w:val="00DA1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35126-FAC5-4DCF-A8AC-8297F6A7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Mrak</dc:creator>
  <cp:keywords/>
  <dc:description/>
  <cp:lastModifiedBy>Helena Byckling</cp:lastModifiedBy>
  <cp:revision>6</cp:revision>
  <cp:lastPrinted>2011-09-22T11:56:00Z</cp:lastPrinted>
  <dcterms:created xsi:type="dcterms:W3CDTF">2019-09-16T10:27:00Z</dcterms:created>
  <dcterms:modified xsi:type="dcterms:W3CDTF">2019-09-17T10:29:00Z</dcterms:modified>
</cp:coreProperties>
</file>