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60" w:rsidRDefault="00BD6F60" w:rsidP="00BD6F60">
      <w:pPr>
        <w:ind w:left="5040" w:right="-540" w:firstLine="720"/>
        <w:rPr>
          <w:rFonts w:ascii="Arial" w:hAnsi="Arial" w:cs="Arial"/>
          <w:sz w:val="20"/>
          <w:szCs w:val="20"/>
          <w:u w:val="single"/>
          <w:lang w:val="sv-SE" w:eastAsia="en-GB"/>
        </w:rPr>
      </w:pPr>
    </w:p>
    <w:p w:rsidR="006F07A4" w:rsidRPr="00D16667" w:rsidRDefault="006F07A4" w:rsidP="00BD6F60">
      <w:pPr>
        <w:ind w:left="5040" w:right="-540" w:firstLine="720"/>
        <w:rPr>
          <w:rFonts w:ascii="Arial" w:hAnsi="Arial" w:cs="Arial"/>
          <w:sz w:val="22"/>
          <w:szCs w:val="22"/>
          <w:u w:val="single"/>
          <w:lang w:val="sv-SE"/>
        </w:rPr>
      </w:pPr>
      <w:r>
        <w:rPr>
          <w:rFonts w:ascii="Arial" w:hAnsi="Arial" w:cs="Arial"/>
          <w:sz w:val="20"/>
          <w:szCs w:val="20"/>
          <w:u w:val="single"/>
          <w:lang w:val="sv-SE" w:eastAsia="en-GB"/>
        </w:rPr>
        <w:t>Kontaktperson:</w:t>
      </w:r>
    </w:p>
    <w:p w:rsidR="006F07A4" w:rsidRPr="00D16667" w:rsidRDefault="006F07A4">
      <w:pPr>
        <w:tabs>
          <w:tab w:val="left" w:pos="8743"/>
        </w:tabs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  <w:r>
        <w:rPr>
          <w:rFonts w:ascii="Arial" w:hAnsi="Arial" w:cs="Arial"/>
          <w:sz w:val="20"/>
          <w:szCs w:val="20"/>
          <w:lang w:val="sv-SE" w:eastAsia="en-GB"/>
        </w:rPr>
        <w:t>Hindrek Pikk</w:t>
      </w:r>
    </w:p>
    <w:p w:rsidR="006F07A4" w:rsidRPr="00D16667" w:rsidRDefault="006F07A4">
      <w:pPr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  <w:r>
        <w:rPr>
          <w:rFonts w:ascii="Arial" w:hAnsi="Arial" w:cs="Arial"/>
          <w:sz w:val="20"/>
          <w:szCs w:val="20"/>
          <w:lang w:val="sv-SE" w:eastAsia="en-GB"/>
        </w:rPr>
        <w:t>Kommersiell marknadschef, Norden</w:t>
      </w:r>
    </w:p>
    <w:p w:rsidR="006F07A4" w:rsidRPr="00D16667" w:rsidRDefault="006F07A4">
      <w:pPr>
        <w:ind w:left="5760" w:right="-540"/>
        <w:rPr>
          <w:rStyle w:val="Hyperlink"/>
          <w:rFonts w:ascii="Arial" w:hAnsi="Arial" w:cs="Arial"/>
          <w:sz w:val="20"/>
          <w:szCs w:val="20"/>
          <w:lang w:val="sv-SE" w:eastAsia="en-GB"/>
        </w:rPr>
      </w:pPr>
      <w:r>
        <w:rPr>
          <w:rFonts w:ascii="Arial" w:hAnsi="Arial" w:cs="Arial"/>
          <w:sz w:val="20"/>
          <w:szCs w:val="20"/>
          <w:lang w:val="sv-SE" w:eastAsia="en-GB"/>
        </w:rPr>
        <w:t>+3725655880</w:t>
      </w:r>
      <w:r w:rsidRPr="00D16667">
        <w:rPr>
          <w:rFonts w:ascii="Arial" w:hAnsi="Arial" w:cs="Arial"/>
          <w:sz w:val="20"/>
          <w:szCs w:val="20"/>
          <w:lang w:val="sv-SE" w:eastAsia="en-GB"/>
        </w:rPr>
        <w:br/>
      </w:r>
      <w:hyperlink r:id="rId8" w:history="1">
        <w:r>
          <w:rPr>
            <w:rStyle w:val="Hyperlink"/>
            <w:rFonts w:ascii="Arial" w:hAnsi="Arial" w:cs="Arial"/>
            <w:vanish/>
            <w:sz w:val="20"/>
            <w:szCs w:val="20"/>
            <w:lang w:val="gd-GB" w:eastAsia="en-GB"/>
          </w:rPr>
          <w:t>hindrek_pikk@goodyear.com</w:t>
        </w:r>
      </w:hyperlink>
      <w:hyperlink r:id="rId9" w:history="1">
        <w:r>
          <w:rPr>
            <w:rStyle w:val="Hyperlink"/>
            <w:rFonts w:ascii="Arial" w:hAnsi="Arial" w:cs="Arial"/>
            <w:sz w:val="20"/>
            <w:szCs w:val="20"/>
            <w:lang w:val="sv-SE" w:eastAsia="en-GB"/>
          </w:rPr>
          <w:t>hindrek_pikk@goodyear.com</w:t>
        </w:r>
      </w:hyperlink>
    </w:p>
    <w:p w:rsidR="006F07A4" w:rsidRPr="00D16667" w:rsidRDefault="006F07A4">
      <w:pPr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</w:p>
    <w:p w:rsidR="006F07A4" w:rsidRPr="00D16667" w:rsidRDefault="006F07A4">
      <w:pPr>
        <w:pStyle w:val="PressRelease"/>
        <w:spacing w:before="0" w:after="120" w:line="360" w:lineRule="auto"/>
        <w:rPr>
          <w:b w:val="0"/>
          <w:lang w:val="sv-SE"/>
        </w:rPr>
      </w:pPr>
      <w:r>
        <w:rPr>
          <w:lang w:val="sv-SE"/>
        </w:rPr>
        <w:t>PRESSMEDDELANDE</w:t>
      </w:r>
    </w:p>
    <w:p w:rsidR="006F07A4" w:rsidRPr="00D16667" w:rsidRDefault="006F07A4">
      <w:pPr>
        <w:pStyle w:val="Title"/>
        <w:spacing w:after="120"/>
        <w:rPr>
          <w:b w:val="0"/>
          <w:sz w:val="32"/>
          <w:szCs w:val="36"/>
          <w:lang w:val="sv-SE"/>
        </w:rPr>
      </w:pPr>
      <w:r>
        <w:rPr>
          <w:sz w:val="32"/>
          <w:szCs w:val="36"/>
          <w:lang w:val="sv-SE"/>
        </w:rPr>
        <w:t>DAF är den första tillverkaren som godkänner Goodyear ULTRA GRIP MAX-däck som originalutrustning</w:t>
      </w:r>
    </w:p>
    <w:p w:rsidR="006F07A4" w:rsidRPr="00D16667" w:rsidRDefault="006F07A4">
      <w:pPr>
        <w:pStyle w:val="Title"/>
        <w:spacing w:after="240"/>
        <w:rPr>
          <w:b w:val="0"/>
          <w:i/>
          <w:sz w:val="22"/>
          <w:lang w:val="sv-SE"/>
        </w:rPr>
      </w:pPr>
      <w:r>
        <w:rPr>
          <w:b w:val="0"/>
          <w:i/>
          <w:sz w:val="28"/>
          <w:szCs w:val="36"/>
          <w:lang w:val="sv-SE"/>
        </w:rPr>
        <w:t>DAF erbjuder de senaste vinterdäcken för lastbilar från Goodyear som fabrikstillval</w:t>
      </w:r>
    </w:p>
    <w:p w:rsidR="006F07A4" w:rsidRPr="00D16667" w:rsidRDefault="006F07A4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Stockholm, </w:t>
      </w:r>
      <w:r w:rsidR="00BD6F60">
        <w:rPr>
          <w:rFonts w:ascii="Arial" w:hAnsi="Arial" w:cs="Arial"/>
          <w:b/>
          <w:sz w:val="22"/>
          <w:szCs w:val="22"/>
          <w:lang w:val="sv-SE"/>
        </w:rPr>
        <w:t xml:space="preserve">1.10 </w:t>
      </w:r>
      <w:r>
        <w:rPr>
          <w:rFonts w:ascii="Arial" w:hAnsi="Arial" w:cs="Arial"/>
          <w:b/>
          <w:sz w:val="22"/>
          <w:szCs w:val="22"/>
          <w:lang w:val="sv-SE"/>
        </w:rPr>
        <w:t>2015</w:t>
      </w:r>
      <w:r>
        <w:rPr>
          <w:rFonts w:ascii="Arial" w:hAnsi="Arial" w:cs="Arial"/>
          <w:sz w:val="22"/>
          <w:szCs w:val="22"/>
          <w:lang w:val="sv-SE"/>
        </w:rPr>
        <w:t xml:space="preserve"> – DAF blir den första lastbilstillverkaren som godkänner Goodyears helt nya ULTRA GRIP MAX-vinterdäck för lastbilar som fabriksmonterat tillval.</w:t>
      </w:r>
      <w:r w:rsidRPr="00D1666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Åkerier som beställer nya DAF-lastbilar som byggts från vecka 41 för användning under hårda vinterförhållanden kan nu välja Goodyear ULTRA GRIP MAX S-styrdäck och ULTRA GRIP MAX D-drivdäck i storlekarna 315/70R22.5 och 315/80R22.5.</w:t>
      </w:r>
    </w:p>
    <w:p w:rsidR="006F07A4" w:rsidRPr="00A11CB8" w:rsidRDefault="006F07A4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i/>
          <w:sz w:val="22"/>
          <w:szCs w:val="22"/>
          <w:lang w:val="sv-SE"/>
        </w:rPr>
        <w:t>”Vi är väldigt nöjda att DAF är den första tillverkaren som godkänner den nya vinterdäcksserie som vi lanserar i år.</w:t>
      </w:r>
      <w:r w:rsidRPr="00A11CB8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i/>
          <w:sz w:val="22"/>
          <w:szCs w:val="22"/>
          <w:lang w:val="sv-SE"/>
        </w:rPr>
        <w:t>Det är ett tecken på de enastående vintereg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  <w:lang w:val="sv-SE"/>
        </w:rPr>
        <w:t>enskaperna hos vår nya Goodyear ULTRA GRIP MAX-vinterserie för lastbilar”</w:t>
      </w:r>
      <w:r>
        <w:rPr>
          <w:rFonts w:ascii="Arial" w:hAnsi="Arial" w:cs="Arial"/>
          <w:sz w:val="22"/>
          <w:szCs w:val="22"/>
          <w:lang w:val="sv-SE"/>
        </w:rPr>
        <w:t>, säger Peter Platje, Director OE Sales Truck Tires Goodyear Dunlop EMEA.</w:t>
      </w:r>
      <w:r w:rsidRPr="00A11CB8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i/>
          <w:sz w:val="22"/>
          <w:szCs w:val="22"/>
          <w:lang w:val="sv-SE"/>
        </w:rPr>
        <w:t>”Mobilitet är en central faktor för kommersiella fordon, i synnerhet under vintern.</w:t>
      </w:r>
      <w:r w:rsidRPr="00A11CB8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i/>
          <w:sz w:val="22"/>
          <w:szCs w:val="22"/>
          <w:lang w:val="sv-SE"/>
        </w:rPr>
        <w:t>Nu kan kunderna få sina nya DAF-lastbilar levererade med våra bästa däck för de tuffaste vinterförhållandena – det är extra viktigt för kunder i de nordiska länderna, Ryssland, Tyskland, Österrike och Schweiz, men även för alla andra</w:t>
      </w:r>
      <w:r>
        <w:rPr>
          <w:rFonts w:ascii="Arial" w:hAnsi="Arial" w:cs="Arial"/>
          <w:sz w:val="22"/>
          <w:szCs w:val="22"/>
          <w:lang w:val="sv-SE"/>
        </w:rPr>
        <w:t>”.</w:t>
      </w:r>
    </w:p>
    <w:p w:rsidR="003B13B0" w:rsidRDefault="006F07A4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Den nya ULTRA GRIP MAX-vinterdäckserien för lastbilar ger upp till 40 % bättre grepp när de är halvslitna och upp till 15 % längre livslängd</w:t>
      </w:r>
      <w:r>
        <w:rPr>
          <w:rStyle w:val="FootnoteReference"/>
          <w:rFonts w:ascii="Arial" w:hAnsi="Arial"/>
          <w:sz w:val="22"/>
          <w:szCs w:val="22"/>
          <w:lang w:val="en-GB"/>
        </w:rPr>
        <w:footnoteReference w:id="1"/>
      </w:r>
      <w:r>
        <w:rPr>
          <w:rFonts w:ascii="Arial" w:hAnsi="Arial" w:cs="Arial"/>
          <w:sz w:val="22"/>
          <w:szCs w:val="22"/>
          <w:lang w:val="sv-SE"/>
        </w:rPr>
        <w:t>.</w:t>
      </w:r>
      <w:r w:rsidRPr="00A11CB8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Styrdäcket ULTRA GRIP MAX S och drivdäcket ULTRA GRIP MAX D är särskilda vinterdäck för lastbilar och är märkta med den officiella 3PMSF-symbolen (3-Peak-Mountain-Snowflake) för däck för svåra snöförhållanden samt med M+S-symbolen.</w:t>
      </w:r>
      <w:r w:rsidRPr="00A11CB8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Även när drivdäcken är slitna till 50 % uppfyller de kraven för 3PMSF-märkningen.</w:t>
      </w:r>
      <w:r>
        <w:rPr>
          <w:rStyle w:val="FootnoteReference"/>
          <w:rFonts w:ascii="Arial" w:hAnsi="Arial"/>
          <w:sz w:val="22"/>
          <w:szCs w:val="22"/>
          <w:lang w:val="en-GB"/>
        </w:rPr>
        <w:footnoteReference w:id="2"/>
      </w:r>
      <w:r>
        <w:rPr>
          <w:rFonts w:ascii="Arial" w:hAnsi="Arial" w:cs="Arial"/>
          <w:sz w:val="22"/>
          <w:szCs w:val="22"/>
          <w:lang w:val="sv-SE"/>
        </w:rPr>
        <w:t xml:space="preserve"> Tack vare den här unika egenskapen ser Goodyears nya vinterdäcksserie till att lastbilarna kommer fram och ger sinnesro för både förare och åkerier.</w:t>
      </w:r>
      <w:r w:rsidRPr="00A11CB8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De nya ULTRA GRIP MAX S och D i storlek 315/80R22.5 och 315/70R22.5 kommer att vara tillgängliga från mitten av 2015 på </w:t>
      </w:r>
      <w:r w:rsidR="00D16667">
        <w:rPr>
          <w:rFonts w:ascii="Arial" w:hAnsi="Arial" w:cs="Arial"/>
          <w:sz w:val="22"/>
          <w:szCs w:val="22"/>
          <w:lang w:val="sv-SE"/>
        </w:rPr>
        <w:t>eftermarknaden</w:t>
      </w:r>
      <w:r>
        <w:rPr>
          <w:rFonts w:ascii="Arial" w:hAnsi="Arial" w:cs="Arial"/>
          <w:sz w:val="22"/>
          <w:szCs w:val="22"/>
          <w:lang w:val="sv-SE"/>
        </w:rPr>
        <w:t>.</w:t>
      </w:r>
    </w:p>
    <w:p w:rsidR="006F07A4" w:rsidRPr="00A11CB8" w:rsidRDefault="006F07A4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:rsidR="006F07A4" w:rsidRPr="00A11CB8" w:rsidRDefault="006F07A4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18"/>
          <w:szCs w:val="18"/>
          <w:lang w:val="sv-SE" w:eastAsia="ja-JP"/>
        </w:rPr>
      </w:pPr>
      <w:r>
        <w:rPr>
          <w:rFonts w:ascii="Arial" w:hAnsi="Arial" w:cs="Arial"/>
          <w:b/>
          <w:sz w:val="18"/>
          <w:szCs w:val="18"/>
          <w:lang w:val="sv-SE" w:eastAsia="ja-JP"/>
        </w:rPr>
        <w:t>Om Goodyear</w:t>
      </w:r>
      <w:r w:rsidRPr="00A11CB8">
        <w:rPr>
          <w:rFonts w:ascii="Arial" w:hAnsi="Arial" w:cs="Arial"/>
          <w:sz w:val="18"/>
          <w:szCs w:val="18"/>
          <w:lang w:val="sv-SE" w:eastAsia="ja-JP"/>
        </w:rPr>
        <w:t xml:space="preserve"> </w:t>
      </w:r>
    </w:p>
    <w:p w:rsidR="006F07A4" w:rsidRPr="00A11CB8" w:rsidRDefault="006F07A4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da-DK" w:eastAsia="ja-JP"/>
        </w:rPr>
      </w:pPr>
      <w:r>
        <w:rPr>
          <w:rFonts w:ascii="Arial" w:hAnsi="Arial" w:cs="Arial"/>
          <w:sz w:val="18"/>
          <w:szCs w:val="18"/>
          <w:lang w:val="sv-SE" w:eastAsia="ja-JP"/>
        </w:rPr>
        <w:t>Goodyear är ett av världens största däckföretag.</w:t>
      </w:r>
      <w:r w:rsidRPr="00A11CB8">
        <w:rPr>
          <w:rFonts w:ascii="Arial" w:hAnsi="Arial" w:cs="Arial"/>
          <w:sz w:val="18"/>
          <w:szCs w:val="18"/>
          <w:lang w:val="sv-SE" w:eastAsia="ja-JP"/>
        </w:rPr>
        <w:t xml:space="preserve"> </w:t>
      </w:r>
      <w:r>
        <w:rPr>
          <w:rFonts w:ascii="Arial" w:hAnsi="Arial" w:cs="Arial"/>
          <w:sz w:val="18"/>
          <w:szCs w:val="18"/>
          <w:lang w:val="sv-SE" w:eastAsia="ja-JP"/>
        </w:rPr>
        <w:t>Företaget har cirka 67 000 anställda och tillverkning på mer än 50 anläggningar i 22 länder över hela världen.</w:t>
      </w:r>
      <w:r w:rsidRPr="00A11CB8">
        <w:rPr>
          <w:rFonts w:ascii="Arial" w:hAnsi="Arial" w:cs="Arial"/>
          <w:sz w:val="18"/>
          <w:szCs w:val="18"/>
          <w:lang w:val="da-DK" w:eastAsia="ja-JP"/>
        </w:rPr>
        <w:t xml:space="preserve"> </w:t>
      </w:r>
      <w:r>
        <w:rPr>
          <w:rFonts w:ascii="Arial" w:hAnsi="Arial" w:cs="Arial"/>
          <w:sz w:val="18"/>
          <w:szCs w:val="18"/>
          <w:lang w:val="sv-SE" w:eastAsia="ja-JP"/>
        </w:rPr>
        <w:t>På dess två innovationscenter i Akron, Ohio och Colmar-Berg, Luxemburg, utvecklas toppmoderna produkter och tjänster som sätter branschstandarden för teknik och prestanda.</w:t>
      </w:r>
      <w:r w:rsidRPr="00A11CB8">
        <w:rPr>
          <w:rFonts w:ascii="Arial" w:hAnsi="Arial" w:cs="Arial"/>
          <w:sz w:val="18"/>
          <w:szCs w:val="18"/>
          <w:lang w:val="da-DK" w:eastAsia="ja-JP"/>
        </w:rPr>
        <w:t xml:space="preserve"> </w:t>
      </w:r>
    </w:p>
    <w:p w:rsidR="006F07A4" w:rsidRPr="00A11CB8" w:rsidRDefault="006F07A4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da-DK" w:eastAsia="ja-JP"/>
        </w:rPr>
      </w:pPr>
      <w:r>
        <w:rPr>
          <w:rFonts w:ascii="Arial" w:hAnsi="Arial" w:cs="Arial"/>
          <w:sz w:val="18"/>
          <w:szCs w:val="18"/>
          <w:lang w:val="sv-SE" w:eastAsia="ja-JP"/>
        </w:rPr>
        <w:t>I Goodyear Dunlop Europes däcksortiment för kommersiella fordon och bussar finns mer än 400 olika däck i drygt 55 dimensioner.</w:t>
      </w:r>
      <w:r w:rsidRPr="00A11CB8">
        <w:rPr>
          <w:rFonts w:ascii="Arial" w:hAnsi="Arial" w:cs="Arial"/>
          <w:sz w:val="18"/>
          <w:szCs w:val="18"/>
          <w:lang w:val="da-DK" w:eastAsia="ja-JP"/>
        </w:rPr>
        <w:t xml:space="preserve"> </w:t>
      </w:r>
      <w:r>
        <w:rPr>
          <w:rFonts w:ascii="Arial" w:hAnsi="Arial" w:cs="Arial"/>
          <w:sz w:val="18"/>
          <w:szCs w:val="18"/>
          <w:lang w:val="sv-SE" w:eastAsia="ja-JP"/>
        </w:rPr>
        <w:t>Många världsledande tillverkare av kommersiella fordon monterar däck från Goodyear som standard, bland andra DAF, Iveco, MAN, Mercedes-Benz, Renault Trucks, Scania och Volvo.</w:t>
      </w:r>
      <w:r w:rsidRPr="00A11CB8">
        <w:rPr>
          <w:rFonts w:ascii="Arial" w:hAnsi="Arial" w:cs="Arial"/>
          <w:sz w:val="18"/>
          <w:szCs w:val="18"/>
          <w:lang w:val="da-DK" w:eastAsia="ja-JP"/>
        </w:rPr>
        <w:t xml:space="preserve"> </w:t>
      </w:r>
      <w:r>
        <w:rPr>
          <w:rFonts w:ascii="Arial" w:hAnsi="Arial" w:cs="Arial"/>
          <w:sz w:val="18"/>
          <w:szCs w:val="18"/>
          <w:lang w:val="sv-SE" w:eastAsia="ja-JP"/>
        </w:rPr>
        <w:t>Goodyear levererar dessutom däck till alla större trailertillverkare.</w:t>
      </w:r>
      <w:r w:rsidRPr="00A11CB8">
        <w:rPr>
          <w:rFonts w:ascii="Arial" w:hAnsi="Arial" w:cs="Arial"/>
          <w:sz w:val="18"/>
          <w:szCs w:val="18"/>
          <w:lang w:val="da-DK" w:eastAsia="ja-JP"/>
        </w:rPr>
        <w:t xml:space="preserve"> </w:t>
      </w:r>
      <w:r>
        <w:rPr>
          <w:rFonts w:ascii="Arial" w:hAnsi="Arial" w:cs="Arial"/>
          <w:sz w:val="18"/>
          <w:szCs w:val="18"/>
          <w:lang w:val="sv-SE" w:eastAsia="ja-JP"/>
        </w:rPr>
        <w:t>Med Fleet First, som innefattar servicenätverket TruckForce, vägassistanstjänsten ServiceLine 24h, det webbaserade hanteringssystemet FleetOnlineSolutions Internet och Goodyear Retread Technologies, erbjuder Goodyear ett av de bredaste utbuden av servicetjänster i branschen.</w:t>
      </w:r>
      <w:r w:rsidRPr="00A11CB8">
        <w:rPr>
          <w:rFonts w:ascii="Arial" w:hAnsi="Arial" w:cs="Arial"/>
          <w:sz w:val="18"/>
          <w:szCs w:val="18"/>
          <w:lang w:val="da-DK" w:eastAsia="ja-JP"/>
        </w:rPr>
        <w:t xml:space="preserve"> </w:t>
      </w:r>
    </w:p>
    <w:p w:rsidR="006F07A4" w:rsidRPr="00DF497E" w:rsidRDefault="006F07A4">
      <w:pPr>
        <w:jc w:val="both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18"/>
          <w:szCs w:val="18"/>
          <w:lang w:val="sv-SE" w:eastAsia="ja-JP"/>
        </w:rPr>
        <w:t>Gå in på www.goodyear.com för mer information om Goodyears produkter.</w:t>
      </w:r>
    </w:p>
    <w:sectPr w:rsidR="006F07A4" w:rsidRPr="00DF4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15" w:rsidRDefault="00434E15">
      <w:pPr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:rsidR="00434E15" w:rsidRDefault="00434E15">
      <w:pPr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A4" w:rsidRDefault="00CF622D">
    <w:pPr>
      <w:pStyle w:val="Footer"/>
      <w:framePr w:wrap="around" w:vAnchor="text" w:hAnchor="margin" w:xAlign="right" w:y="1"/>
      <w:rPr>
        <w:rStyle w:val="PageNumber"/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PAGE  </w:instrText>
    </w:r>
    <w:r>
      <w:rPr>
        <w:rStyle w:val="PageNumber"/>
        <w:lang w:val="en-GB"/>
      </w:rPr>
      <w:fldChar w:fldCharType="end"/>
    </w:r>
  </w:p>
  <w:p w:rsidR="006F07A4" w:rsidRDefault="006F07A4">
    <w:pPr>
      <w:pStyle w:val="Footer"/>
      <w:ind w:right="360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A4" w:rsidRDefault="00CF622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lang w:val="en-GB"/>
      </w:rPr>
    </w:pPr>
    <w:r w:rsidRPr="00424C0A">
      <w:rPr>
        <w:rStyle w:val="PageNumber"/>
        <w:rFonts w:ascii="Arial" w:hAnsi="Arial" w:cs="Arial"/>
        <w:sz w:val="20"/>
        <w:lang w:val="en-GB"/>
      </w:rPr>
      <w:fldChar w:fldCharType="begin"/>
    </w:r>
    <w:r w:rsidRPr="00424C0A">
      <w:rPr>
        <w:rStyle w:val="PageNumber"/>
        <w:rFonts w:ascii="Arial" w:hAnsi="Arial" w:cs="Arial"/>
        <w:sz w:val="20"/>
        <w:lang w:val="en-GB"/>
      </w:rPr>
      <w:instrText xml:space="preserve">PAGE  </w:instrText>
    </w:r>
    <w:r w:rsidRPr="00424C0A">
      <w:rPr>
        <w:rStyle w:val="PageNumber"/>
        <w:rFonts w:ascii="Arial" w:hAnsi="Arial" w:cs="Arial"/>
        <w:sz w:val="20"/>
        <w:lang w:val="en-GB"/>
      </w:rPr>
      <w:fldChar w:fldCharType="separate"/>
    </w:r>
    <w:r w:rsidR="00BD6F60">
      <w:rPr>
        <w:rStyle w:val="PageNumber"/>
        <w:rFonts w:ascii="Arial" w:hAnsi="Arial" w:cs="Arial"/>
        <w:noProof/>
        <w:sz w:val="20"/>
        <w:lang w:val="en-GB"/>
      </w:rPr>
      <w:t>2</w:t>
    </w:r>
    <w:r w:rsidRPr="00424C0A">
      <w:rPr>
        <w:rStyle w:val="PageNumber"/>
        <w:rFonts w:ascii="Arial" w:hAnsi="Arial" w:cs="Arial"/>
        <w:sz w:val="20"/>
        <w:lang w:val="en-GB"/>
      </w:rPr>
      <w:fldChar w:fldCharType="end"/>
    </w:r>
  </w:p>
  <w:p w:rsidR="006F07A4" w:rsidRDefault="006F07A4">
    <w:pPr>
      <w:pStyle w:val="Footer"/>
      <w:ind w:right="360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33" w:rsidRDefault="00A5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15" w:rsidRDefault="00434E15">
      <w:pPr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:rsidR="00434E15" w:rsidRDefault="00434E15">
      <w:pPr>
        <w:rPr>
          <w:lang w:val="en-GB"/>
        </w:rPr>
      </w:pPr>
      <w:r>
        <w:rPr>
          <w:lang w:val="en-GB"/>
        </w:rPr>
        <w:continuationSeparator/>
      </w:r>
    </w:p>
  </w:footnote>
  <w:footnote w:id="1">
    <w:p w:rsidR="006F07A4" w:rsidRPr="00DF497E" w:rsidRDefault="006F07A4">
      <w:pPr>
        <w:pStyle w:val="NormalWeb"/>
        <w:spacing w:before="0" w:beforeAutospacing="0" w:after="0" w:afterAutospacing="0"/>
        <w:rPr>
          <w:lang w:val="sv-SE"/>
        </w:rPr>
      </w:pPr>
      <w:r>
        <w:rPr>
          <w:rStyle w:val="FootnoteReference"/>
          <w:rFonts w:ascii="Arial" w:hAnsi="Arial" w:cs="Arial"/>
          <w:sz w:val="16"/>
          <w:szCs w:val="16"/>
          <w:vertAlign w:val="baseline"/>
          <w:lang w:val="en-GB"/>
        </w:rPr>
        <w:footnoteRef/>
      </w:r>
      <w:r w:rsidRPr="00D16667">
        <w:rPr>
          <w:rFonts w:ascii="Arial" w:hAnsi="Arial" w:cs="Arial"/>
          <w:sz w:val="16"/>
          <w:szCs w:val="16"/>
          <w:lang w:val="sv-SE"/>
        </w:rPr>
        <w:t xml:space="preserve"> </w:t>
      </w:r>
      <w:r>
        <w:rPr>
          <w:rFonts w:ascii="Arial" w:hAnsi="Arial" w:cs="Arial"/>
          <w:sz w:val="16"/>
          <w:szCs w:val="16"/>
          <w:lang w:val="sv-SE" w:eastAsia="en-US"/>
        </w:rPr>
        <w:t>Jämförelsetester som utfördes mellan oktober 2013 och juli 2014 av Goodyear Innovation Center i Luxemburg (GIC*L) på dimensionen 315/80R22.5 visar att Goodyears nya ULTRA GRIP MAX D-däck ger upp till 40 % bättre väggrepp på snö jämfört med Goodyear ULTRA GRIP WTD. Beräkningar som utförts av Goodyear GIC*L visar att det nya drivdäcket Goodyear ULTRA GRIP MAX D ger en förväntad längre livslängd på upp till 15 % jämfört med Goodyear ULTRA GRIP WTD. Faktiska resultat kan variera beroende på exempelvis, men inte begränsat till, väg- och väderförhållanden, däckstorlek, lufttryck och fordonsunderhåll.</w:t>
      </w:r>
    </w:p>
  </w:footnote>
  <w:footnote w:id="2">
    <w:p w:rsidR="006F07A4" w:rsidRPr="00D16667" w:rsidRDefault="006F07A4">
      <w:pPr>
        <w:pStyle w:val="FootnoteText"/>
        <w:rPr>
          <w:lang w:val="sv-SE"/>
        </w:rPr>
      </w:pPr>
      <w:r>
        <w:rPr>
          <w:rStyle w:val="FootnoteReference"/>
          <w:rFonts w:ascii="Arial" w:hAnsi="Arial" w:cs="Arial"/>
          <w:sz w:val="16"/>
          <w:szCs w:val="16"/>
          <w:vertAlign w:val="baseline"/>
          <w:lang w:val="en-GB"/>
        </w:rPr>
        <w:footnoteRef/>
      </w:r>
      <w:r w:rsidRPr="00D16667">
        <w:rPr>
          <w:rFonts w:ascii="Arial" w:hAnsi="Arial" w:cs="Arial"/>
          <w:sz w:val="16"/>
          <w:szCs w:val="16"/>
          <w:lang w:val="sv-SE"/>
        </w:rPr>
        <w:t xml:space="preserve"> </w:t>
      </w:r>
      <w:r>
        <w:rPr>
          <w:rFonts w:ascii="Arial" w:hAnsi="Arial" w:cs="Arial"/>
          <w:sz w:val="16"/>
          <w:szCs w:val="16"/>
          <w:lang w:val="sv-SE"/>
        </w:rPr>
        <w:t xml:space="preserve">Interna </w:t>
      </w:r>
      <w:r>
        <w:rPr>
          <w:rFonts w:ascii="Arial" w:hAnsi="Arial" w:cs="Arial"/>
          <w:sz w:val="16"/>
          <w:szCs w:val="16"/>
          <w:lang w:val="sv-SE"/>
        </w:rPr>
        <w:t>tester som utfördes av Goodyear GIC*L mellan oktober 2013 och juli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33" w:rsidRDefault="00A53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A4" w:rsidRDefault="00A11CB8">
    <w:pPr>
      <w:pStyle w:val="Header"/>
      <w:rPr>
        <w:lang w:val="en-GB"/>
      </w:rPr>
    </w:pPr>
    <w:r>
      <w:rPr>
        <w:noProof/>
      </w:rPr>
      <w:drawing>
        <wp:inline distT="0" distB="0" distL="0" distR="0">
          <wp:extent cx="1955800" cy="397510"/>
          <wp:effectExtent l="19050" t="0" r="635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33" w:rsidRDefault="00A53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110"/>
    <w:multiLevelType w:val="hybridMultilevel"/>
    <w:tmpl w:val="38D8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6A72"/>
    <w:multiLevelType w:val="hybridMultilevel"/>
    <w:tmpl w:val="7DB4F0B0"/>
    <w:lvl w:ilvl="0" w:tplc="15187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69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C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2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6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CE"/>
    <w:rsid w:val="00017746"/>
    <w:rsid w:val="000A1EF9"/>
    <w:rsid w:val="000C0C8B"/>
    <w:rsid w:val="001E7CA1"/>
    <w:rsid w:val="002765D9"/>
    <w:rsid w:val="003B13B0"/>
    <w:rsid w:val="003F2DC2"/>
    <w:rsid w:val="00424C0A"/>
    <w:rsid w:val="00434E15"/>
    <w:rsid w:val="00452C2E"/>
    <w:rsid w:val="00476E56"/>
    <w:rsid w:val="005F08EC"/>
    <w:rsid w:val="006F07A4"/>
    <w:rsid w:val="00A11CB8"/>
    <w:rsid w:val="00A24EC0"/>
    <w:rsid w:val="00A53F33"/>
    <w:rsid w:val="00A839CE"/>
    <w:rsid w:val="00B03E30"/>
    <w:rsid w:val="00B35229"/>
    <w:rsid w:val="00BD6F60"/>
    <w:rsid w:val="00CD2B59"/>
    <w:rsid w:val="00CF622D"/>
    <w:rsid w:val="00D16667"/>
    <w:rsid w:val="00DB45C1"/>
    <w:rsid w:val="00DF497E"/>
    <w:rsid w:val="00E93234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/>
      <w:b/>
      <w:sz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Cs w:val="20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</w:rPr>
  </w:style>
  <w:style w:type="character" w:customStyle="1" w:styleId="PRBodyTextChar">
    <w:name w:val="PR Body Text Char"/>
    <w:link w:val="PRBodyText"/>
    <w:uiPriority w:val="99"/>
    <w:locked/>
    <w:rPr>
      <w:rFonts w:ascii="Arial" w:hAnsi="Arial"/>
      <w:sz w:val="24"/>
      <w:lang w:eastAsia="en-US"/>
    </w:rPr>
  </w:style>
  <w:style w:type="character" w:customStyle="1" w:styleId="CityandDateChar">
    <w:name w:val="City and Date Char"/>
    <w:link w:val="CityandDate"/>
    <w:uiPriority w:val="99"/>
    <w:locked/>
    <w:rPr>
      <w:rFonts w:ascii="Arial" w:hAnsi="Arial"/>
      <w:b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</w:style>
  <w:style w:type="paragraph" w:styleId="Title">
    <w:name w:val="Title"/>
    <w:basedOn w:val="Normal"/>
    <w:link w:val="TitleChar"/>
    <w:uiPriority w:val="10"/>
    <w:qFormat/>
    <w:rsid w:val="008154FF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link w:val="Title"/>
    <w:uiPriority w:val="10"/>
    <w:locked/>
    <w:rPr>
      <w:rFonts w:ascii="Arial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714C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/>
      <w:sz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4583F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paragraph" w:styleId="NormalWeb">
    <w:name w:val="Normal (Web)"/>
    <w:basedOn w:val="Normal"/>
    <w:uiPriority w:val="99"/>
    <w:rsid w:val="00B655A5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Strong">
    <w:name w:val="Strong"/>
    <w:uiPriority w:val="22"/>
    <w:qFormat/>
    <w:locked/>
    <w:rPr>
      <w:b/>
    </w:rPr>
  </w:style>
  <w:style w:type="paragraph" w:styleId="ListParagraph">
    <w:name w:val="List Paragraph"/>
    <w:basedOn w:val="Normal"/>
    <w:uiPriority w:val="34"/>
    <w:qFormat/>
    <w:rsid w:val="009F53A7"/>
    <w:pPr>
      <w:ind w:left="720"/>
      <w:contextualSpacing/>
    </w:pPr>
  </w:style>
  <w:style w:type="character" w:customStyle="1" w:styleId="apple-style-span">
    <w:name w:val="apple-style-span"/>
    <w:rPr>
      <w:rFonts w:cs="Times New Roman"/>
    </w:rPr>
  </w:style>
  <w:style w:type="paragraph" w:customStyle="1" w:styleId="bodytext">
    <w:name w:val="bodytext"/>
    <w:basedOn w:val="Normal"/>
    <w:rsid w:val="006A0E7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D9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lang w:eastAsia="en-US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A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A3C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  <w:lang w:eastAsia="en-US"/>
    </w:rPr>
  </w:style>
  <w:style w:type="paragraph" w:styleId="Revision">
    <w:name w:val="Revision"/>
    <w:hidden/>
    <w:uiPriority w:val="99"/>
    <w:semiHidden/>
    <w:rsid w:val="002B04B6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73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drek_pikk@goodyea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ndrek_pikk@goodyea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C752-8AFE-4F25-81C4-8F87E137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3249</CharactersWithSpaces>
  <SharedDoc>false</SharedDoc>
  <HLinks>
    <vt:vector size="12" baseType="variant">
      <vt:variant>
        <vt:i4>3407918</vt:i4>
      </vt:variant>
      <vt:variant>
        <vt:i4>3</vt:i4>
      </vt:variant>
      <vt:variant>
        <vt:i4>0</vt:i4>
      </vt:variant>
      <vt:variant>
        <vt:i4>5</vt:i4>
      </vt:variant>
      <vt:variant>
        <vt:lpwstr>mailto:hindrek_pikk@goodyear.com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mailto:hindrek_pikk@goodyear.com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2015-09-18T11:49:00Z</dcterms:created>
  <dcterms:modified xsi:type="dcterms:W3CDTF">2015-09-30T16:57:00Z</dcterms:modified>
</cp:coreProperties>
</file>