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9C" w:rsidRPr="00D0219A" w:rsidRDefault="008B409C" w:rsidP="008B409C">
      <w:r>
        <w:rPr>
          <w:noProo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1714500</wp:posOffset>
                </wp:positionV>
                <wp:extent cx="2857500" cy="1371600"/>
                <wp:effectExtent l="0" t="2540" r="381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09C" w:rsidRDefault="008B409C" w:rsidP="008B40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pt;margin-top:135pt;width: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" filled="f" stroked="f">
                <v:textbox>
                  <w:txbxContent>
                    <w:p w:rsidR="008B409C" w:rsidRDefault="008B409C" w:rsidP="008B409C">
                      <w:r>
                        <w:t xml:space="preserve">  </w:t>
                      </w:r>
                      <w:bookmarkStart w:id="1" w:name="_GoBack"/>
                      <w:bookmarkEnd w:id="1"/>
                    </w:p>
                  </w:txbxContent>
                </v:textbox>
              </v:shape>
            </w:pict>
          </mc:Fallback>
        </mc:AlternateContent>
      </w:r>
    </w:p>
    <w:p w:rsidR="008B409C" w:rsidRPr="00D0219A" w:rsidRDefault="008B409C" w:rsidP="008B409C">
      <w:pPr>
        <w:pStyle w:val="Kopfzeile"/>
        <w:rPr>
          <w:rFonts w:ascii="Swis721 Cn BT" w:hAnsi="Swis721 Cn BT" w:cs="Arial"/>
          <w:b/>
          <w:sz w:val="28"/>
          <w:szCs w:val="28"/>
        </w:rPr>
      </w:pPr>
      <w:r w:rsidRPr="00D0219A">
        <w:rPr>
          <w:rFonts w:ascii="Swis721 Cn BT" w:hAnsi="Swis721 Cn BT" w:cs="Arial"/>
          <w:b/>
          <w:sz w:val="28"/>
          <w:szCs w:val="28"/>
        </w:rPr>
        <w:tab/>
        <w:t>Aslanidis, Kress &amp; Häcker – Hollmann</w:t>
      </w:r>
    </w:p>
    <w:p w:rsidR="008B409C" w:rsidRPr="00D0219A" w:rsidRDefault="008B409C" w:rsidP="008B409C">
      <w:pPr>
        <w:pStyle w:val="Kopfzeile"/>
        <w:tabs>
          <w:tab w:val="clear" w:pos="9072"/>
          <w:tab w:val="left" w:pos="7230"/>
          <w:tab w:val="right" w:pos="9356"/>
        </w:tabs>
        <w:rPr>
          <w:rFonts w:ascii="Swis721 Cn BT" w:hAnsi="Swis721 Cn BT" w:cs="Arial"/>
          <w:sz w:val="18"/>
          <w:szCs w:val="18"/>
        </w:rPr>
      </w:pPr>
      <w:r w:rsidRPr="00D0219A">
        <w:rPr>
          <w:rFonts w:ascii="Swis721 Cn BT" w:hAnsi="Swis721 Cn BT" w:cs="Arial"/>
          <w:sz w:val="20"/>
        </w:rPr>
        <w:tab/>
      </w:r>
      <w:r w:rsidRPr="00D0219A">
        <w:rPr>
          <w:rFonts w:ascii="Swis721 Cn BT" w:hAnsi="Swis721 Cn BT" w:cs="Arial"/>
          <w:sz w:val="18"/>
          <w:szCs w:val="18"/>
        </w:rPr>
        <w:t>Partnerschaftsgesellschaft</w:t>
      </w:r>
      <w:r>
        <w:rPr>
          <w:rFonts w:ascii="Swis721 Cn BT" w:hAnsi="Swis721 Cn BT" w:cs="Arial"/>
          <w:sz w:val="18"/>
          <w:szCs w:val="18"/>
        </w:rPr>
        <w:t xml:space="preserve">  mbB</w:t>
      </w:r>
    </w:p>
    <w:p w:rsidR="008B409C" w:rsidRPr="00D0219A" w:rsidRDefault="008B409C" w:rsidP="008B409C">
      <w:pPr>
        <w:pStyle w:val="Kopfzeile"/>
        <w:tabs>
          <w:tab w:val="clear" w:pos="9072"/>
          <w:tab w:val="left" w:pos="7655"/>
          <w:tab w:val="right" w:pos="9356"/>
          <w:tab w:val="right" w:pos="11482"/>
          <w:tab w:val="left" w:pos="11766"/>
          <w:tab w:val="left" w:pos="12474"/>
        </w:tabs>
        <w:rPr>
          <w:rFonts w:ascii="Swis721 Cn BT" w:hAnsi="Swis721 Cn BT" w:cs="Arial"/>
          <w:sz w:val="16"/>
          <w:szCs w:val="16"/>
        </w:rPr>
      </w:pPr>
      <w:r w:rsidRPr="00D0219A">
        <w:rPr>
          <w:rFonts w:ascii="Swis721 Cn BT" w:hAnsi="Swis721 Cn BT" w:cs="Arial"/>
          <w:sz w:val="16"/>
          <w:szCs w:val="16"/>
        </w:rPr>
        <w:tab/>
      </w:r>
      <w:r w:rsidRPr="00D0219A">
        <w:rPr>
          <w:rFonts w:ascii="Swis721 Cn BT" w:hAnsi="Swis721 Cn BT" w:cs="Arial"/>
          <w:sz w:val="16"/>
          <w:szCs w:val="16"/>
        </w:rPr>
        <w:tab/>
        <w:t>Telefon 0711 / 93 08 11 0</w:t>
      </w:r>
    </w:p>
    <w:p w:rsidR="008B409C" w:rsidRPr="00D0219A" w:rsidRDefault="008B409C" w:rsidP="008B409C">
      <w:pPr>
        <w:pStyle w:val="Kopfzeile"/>
        <w:tabs>
          <w:tab w:val="clear" w:pos="9072"/>
          <w:tab w:val="left" w:pos="7655"/>
          <w:tab w:val="right" w:pos="9356"/>
          <w:tab w:val="right" w:pos="11482"/>
          <w:tab w:val="left" w:pos="13041"/>
        </w:tabs>
        <w:rPr>
          <w:rFonts w:ascii="Swis721 Cn BT" w:hAnsi="Swis721 Cn BT" w:cs="Arial"/>
          <w:sz w:val="16"/>
          <w:szCs w:val="16"/>
        </w:rPr>
      </w:pPr>
      <w:r w:rsidRPr="00D0219A">
        <w:rPr>
          <w:rFonts w:ascii="Swis721 Cn BT" w:hAnsi="Swis721 Cn BT" w:cs="Arial"/>
          <w:sz w:val="16"/>
          <w:szCs w:val="16"/>
        </w:rPr>
        <w:tab/>
      </w:r>
      <w:r w:rsidRPr="00D0219A">
        <w:rPr>
          <w:rFonts w:ascii="Swis721 Cn BT" w:hAnsi="Swis721 Cn BT" w:cs="Arial"/>
          <w:sz w:val="16"/>
          <w:szCs w:val="16"/>
        </w:rPr>
        <w:tab/>
        <w:t>Telefax 0711 / 36 84 38</w:t>
      </w:r>
    </w:p>
    <w:p w:rsidR="008B409C" w:rsidRPr="00D0219A" w:rsidRDefault="008B409C" w:rsidP="008B409C">
      <w:pPr>
        <w:pStyle w:val="Kopfzeile"/>
        <w:tabs>
          <w:tab w:val="clear" w:pos="9072"/>
          <w:tab w:val="left" w:pos="7655"/>
          <w:tab w:val="right" w:pos="9356"/>
          <w:tab w:val="right" w:pos="11482"/>
          <w:tab w:val="left" w:pos="13041"/>
        </w:tabs>
        <w:rPr>
          <w:rFonts w:ascii="Swis721 Cn BT" w:hAnsi="Swis721 Cn BT" w:cs="Arial"/>
          <w:sz w:val="16"/>
          <w:szCs w:val="16"/>
        </w:rPr>
      </w:pPr>
      <w:r w:rsidRPr="00D0219A">
        <w:rPr>
          <w:rFonts w:ascii="Swis721 Cn BT" w:hAnsi="Swis721 Cn BT" w:cs="Arial"/>
          <w:sz w:val="16"/>
          <w:szCs w:val="16"/>
        </w:rPr>
        <w:t xml:space="preserve">                                                                                                                                                                                                                 </w:t>
      </w:r>
      <w:r w:rsidRPr="00D0219A">
        <w:rPr>
          <w:rFonts w:ascii="Swis721 Cn BT" w:hAnsi="Swis721 Cn BT" w:cs="Arial"/>
          <w:sz w:val="16"/>
          <w:szCs w:val="16"/>
        </w:rPr>
        <w:br/>
      </w:r>
      <w:r w:rsidRPr="00D0219A">
        <w:rPr>
          <w:rFonts w:ascii="Swis721 Cn BT" w:hAnsi="Swis721 Cn BT" w:cs="Arial"/>
          <w:sz w:val="16"/>
          <w:szCs w:val="16"/>
        </w:rPr>
        <w:tab/>
      </w:r>
      <w:r w:rsidRPr="00D0219A">
        <w:rPr>
          <w:rFonts w:ascii="Swis721 Cn BT" w:hAnsi="Swis721 Cn BT" w:cs="Arial"/>
          <w:sz w:val="16"/>
          <w:szCs w:val="16"/>
        </w:rPr>
        <w:tab/>
      </w:r>
      <w:r w:rsidRPr="00D0219A">
        <w:rPr>
          <w:rFonts w:ascii="Swis721 Cn BT" w:hAnsi="Swis721 Cn BT" w:cs="Arial"/>
          <w:b/>
          <w:color w:val="FF9900"/>
          <w:sz w:val="16"/>
          <w:szCs w:val="16"/>
        </w:rPr>
        <w:t>www.akh-h.de</w:t>
      </w:r>
    </w:p>
    <w:p w:rsidR="008B409C" w:rsidRPr="00D0219A" w:rsidRDefault="008B409C" w:rsidP="008B409C">
      <w:r w:rsidRPr="00D0219A">
        <w:tab/>
      </w:r>
    </w:p>
    <w:p w:rsidR="008B409C" w:rsidRPr="00D0219A" w:rsidRDefault="008B409C" w:rsidP="008B409C"/>
    <w:p w:rsidR="008B409C" w:rsidRPr="00D0219A" w:rsidRDefault="008B409C" w:rsidP="008B409C"/>
    <w:p w:rsidR="008B409C" w:rsidRPr="00D0219A" w:rsidRDefault="008B409C" w:rsidP="008B409C"/>
    <w:p w:rsidR="008B409C" w:rsidRPr="00D0219A" w:rsidRDefault="008B409C" w:rsidP="008B409C"/>
    <w:p w:rsidR="008B409C" w:rsidRPr="00D0219A" w:rsidRDefault="008B409C" w:rsidP="008B409C"/>
    <w:p w:rsidR="008B409C" w:rsidRPr="00D0219A" w:rsidRDefault="008B409C" w:rsidP="008B409C">
      <w:pPr>
        <w:rPr>
          <w:sz w:val="40"/>
          <w:szCs w:val="40"/>
        </w:rPr>
      </w:pPr>
      <w:r w:rsidRPr="00D0219A">
        <w:rPr>
          <w:sz w:val="40"/>
          <w:szCs w:val="40"/>
        </w:rPr>
        <w:t>Pressemitteilung</w:t>
      </w:r>
    </w:p>
    <w:p w:rsidR="008B409C" w:rsidRPr="00D0219A" w:rsidRDefault="008B409C" w:rsidP="008B409C"/>
    <w:p w:rsidR="008B409C" w:rsidRPr="00D0219A" w:rsidRDefault="008B409C" w:rsidP="008B409C">
      <w:r w:rsidRPr="00D0219A">
        <w:t xml:space="preserve">vom </w:t>
      </w:r>
      <w:r w:rsidRPr="00D0219A">
        <w:fldChar w:fldCharType="begin"/>
      </w:r>
      <w:r w:rsidRPr="00D0219A">
        <w:instrText xml:space="preserve"> TIME \@ "dd.MM.yyyy" </w:instrText>
      </w:r>
      <w:r w:rsidRPr="00D0219A">
        <w:fldChar w:fldCharType="separate"/>
      </w:r>
      <w:r w:rsidR="00FB56A5">
        <w:rPr>
          <w:noProof/>
        </w:rPr>
        <w:t>27.12.2016</w:t>
      </w:r>
      <w:r w:rsidRPr="00D0219A">
        <w:fldChar w:fldCharType="end"/>
      </w:r>
    </w:p>
    <w:p w:rsidR="008B409C" w:rsidRPr="00D0219A" w:rsidRDefault="008B409C" w:rsidP="008B409C"/>
    <w:p w:rsidR="008B409C" w:rsidRPr="00D0219A" w:rsidRDefault="008B409C" w:rsidP="008B409C"/>
    <w:p w:rsidR="00996D22" w:rsidRPr="00996D22" w:rsidRDefault="00996D22" w:rsidP="00996D22">
      <w:pPr>
        <w:rPr>
          <w:rFonts w:ascii="Calibri" w:eastAsiaTheme="minorHAnsi" w:hAnsi="Calibri"/>
          <w:b/>
          <w:lang w:eastAsia="en-US"/>
        </w:rPr>
      </w:pPr>
      <w:r w:rsidRPr="00996D22">
        <w:rPr>
          <w:rFonts w:ascii="Calibri" w:eastAsiaTheme="minorHAnsi" w:hAnsi="Calibri"/>
          <w:b/>
          <w:lang w:eastAsia="en-US"/>
        </w:rPr>
        <w:t xml:space="preserve">Landgericht </w:t>
      </w:r>
      <w:r w:rsidR="00F76740">
        <w:rPr>
          <w:rFonts w:ascii="Calibri" w:eastAsiaTheme="minorHAnsi" w:hAnsi="Calibri"/>
          <w:b/>
          <w:lang w:eastAsia="en-US"/>
        </w:rPr>
        <w:t>Magdeburg</w:t>
      </w:r>
      <w:r w:rsidR="00FB56A5">
        <w:rPr>
          <w:rFonts w:ascii="Calibri" w:eastAsiaTheme="minorHAnsi" w:hAnsi="Calibri"/>
          <w:b/>
          <w:lang w:eastAsia="en-US"/>
        </w:rPr>
        <w:t xml:space="preserve"> </w:t>
      </w:r>
      <w:r w:rsidRPr="00996D22">
        <w:rPr>
          <w:rFonts w:ascii="Calibri" w:eastAsiaTheme="minorHAnsi" w:hAnsi="Calibri"/>
          <w:b/>
          <w:lang w:eastAsia="en-US"/>
        </w:rPr>
        <w:t xml:space="preserve">verurteilt </w:t>
      </w:r>
      <w:r w:rsidR="005D13BA">
        <w:rPr>
          <w:rFonts w:ascii="Calibri" w:eastAsiaTheme="minorHAnsi" w:hAnsi="Calibri"/>
          <w:b/>
          <w:lang w:eastAsia="en-US"/>
        </w:rPr>
        <w:t>Salzlandsparka</w:t>
      </w:r>
      <w:r w:rsidR="0018147B">
        <w:rPr>
          <w:rFonts w:ascii="Calibri" w:eastAsiaTheme="minorHAnsi" w:hAnsi="Calibri"/>
          <w:b/>
          <w:lang w:eastAsia="en-US"/>
        </w:rPr>
        <w:t>sse wegen Verkaufs hochriskantem</w:t>
      </w:r>
      <w:r w:rsidRPr="00996D22">
        <w:rPr>
          <w:rFonts w:ascii="Calibri" w:eastAsiaTheme="minorHAnsi" w:hAnsi="Calibri"/>
          <w:b/>
          <w:lang w:eastAsia="en-US"/>
        </w:rPr>
        <w:t xml:space="preserve"> </w:t>
      </w:r>
      <w:r w:rsidR="0018147B">
        <w:rPr>
          <w:rFonts w:ascii="Calibri" w:eastAsiaTheme="minorHAnsi" w:hAnsi="Calibri"/>
          <w:b/>
          <w:lang w:eastAsia="en-US"/>
        </w:rPr>
        <w:t xml:space="preserve">HCI </w:t>
      </w:r>
      <w:r w:rsidRPr="00996D22">
        <w:rPr>
          <w:rFonts w:ascii="Calibri" w:eastAsiaTheme="minorHAnsi" w:hAnsi="Calibri"/>
          <w:b/>
          <w:lang w:eastAsia="en-US"/>
        </w:rPr>
        <w:t xml:space="preserve">Schiffsfonds </w:t>
      </w:r>
    </w:p>
    <w:p w:rsidR="00996D22" w:rsidRPr="00996D22" w:rsidRDefault="00996D22" w:rsidP="00996D22">
      <w:pPr>
        <w:rPr>
          <w:rFonts w:ascii="Calibri" w:eastAsiaTheme="minorHAnsi" w:hAnsi="Calibri"/>
          <w:sz w:val="22"/>
          <w:szCs w:val="22"/>
          <w:lang w:eastAsia="en-US"/>
        </w:rPr>
      </w:pPr>
    </w:p>
    <w:p w:rsidR="009B3029" w:rsidRDefault="00996D22" w:rsidP="00996D22">
      <w:pPr>
        <w:rPr>
          <w:rFonts w:ascii="Calibri" w:eastAsiaTheme="minorHAnsi" w:hAnsi="Calibri"/>
          <w:sz w:val="22"/>
          <w:szCs w:val="22"/>
          <w:lang w:eastAsia="en-US"/>
        </w:rPr>
      </w:pPr>
      <w:r w:rsidRPr="00996D22">
        <w:rPr>
          <w:rFonts w:ascii="Calibri" w:eastAsiaTheme="minorHAnsi" w:hAnsi="Calibri"/>
          <w:sz w:val="22"/>
          <w:szCs w:val="22"/>
          <w:lang w:eastAsia="en-US"/>
        </w:rPr>
        <w:t>In einem von der Esslinger Rechtsanwaltskanzlei Aslanidis, K</w:t>
      </w:r>
      <w:r w:rsidR="005D13BA">
        <w:rPr>
          <w:rFonts w:ascii="Calibri" w:eastAsiaTheme="minorHAnsi" w:hAnsi="Calibri"/>
          <w:sz w:val="22"/>
          <w:szCs w:val="22"/>
          <w:lang w:eastAsia="en-US"/>
        </w:rPr>
        <w:t>ress &amp; Häcker-Hollmann für  Anleger der</w:t>
      </w:r>
      <w:r w:rsidRPr="00996D22">
        <w:rPr>
          <w:rFonts w:ascii="Calibri" w:eastAsiaTheme="minorHAnsi" w:hAnsi="Calibri"/>
          <w:sz w:val="22"/>
          <w:szCs w:val="22"/>
          <w:lang w:eastAsia="en-US"/>
        </w:rPr>
        <w:t xml:space="preserve"> geschlossenen </w:t>
      </w:r>
      <w:r w:rsidR="005D13BA">
        <w:rPr>
          <w:rFonts w:ascii="Calibri" w:eastAsiaTheme="minorHAnsi" w:hAnsi="Calibri"/>
          <w:sz w:val="22"/>
          <w:szCs w:val="22"/>
          <w:lang w:eastAsia="en-US"/>
        </w:rPr>
        <w:t>Schiffsfonds HCI Shipping Select</w:t>
      </w:r>
      <w:r w:rsidR="007629F0">
        <w:rPr>
          <w:rFonts w:ascii="Calibri" w:eastAsiaTheme="minorHAnsi" w:hAnsi="Calibri"/>
          <w:sz w:val="22"/>
          <w:szCs w:val="22"/>
          <w:lang w:eastAsia="en-US"/>
        </w:rPr>
        <w:t xml:space="preserve"> XVII </w:t>
      </w:r>
      <w:r w:rsidR="005D13BA">
        <w:rPr>
          <w:rFonts w:ascii="Calibri" w:eastAsiaTheme="minorHAnsi" w:hAnsi="Calibri"/>
          <w:sz w:val="22"/>
          <w:szCs w:val="22"/>
          <w:lang w:eastAsia="en-US"/>
        </w:rPr>
        <w:t xml:space="preserve"> </w:t>
      </w:r>
      <w:r w:rsidRPr="00996D22">
        <w:rPr>
          <w:rFonts w:ascii="Calibri" w:eastAsiaTheme="minorHAnsi" w:hAnsi="Calibri"/>
          <w:sz w:val="22"/>
          <w:szCs w:val="22"/>
          <w:lang w:eastAsia="en-US"/>
        </w:rPr>
        <w:t>erstrittenen Urte</w:t>
      </w:r>
      <w:r w:rsidR="00FB56A5">
        <w:rPr>
          <w:rFonts w:ascii="Calibri" w:eastAsiaTheme="minorHAnsi" w:hAnsi="Calibri"/>
          <w:sz w:val="22"/>
          <w:szCs w:val="22"/>
          <w:lang w:eastAsia="en-US"/>
        </w:rPr>
        <w:t xml:space="preserve">il hat das Landgericht </w:t>
      </w:r>
      <w:r w:rsidR="00F76740">
        <w:rPr>
          <w:rFonts w:ascii="Calibri" w:eastAsiaTheme="minorHAnsi" w:hAnsi="Calibri"/>
          <w:sz w:val="22"/>
          <w:szCs w:val="22"/>
          <w:lang w:eastAsia="en-US"/>
        </w:rPr>
        <w:t>Magdeburg</w:t>
      </w:r>
      <w:r w:rsidR="00FB56A5">
        <w:rPr>
          <w:rFonts w:ascii="Calibri" w:eastAsiaTheme="minorHAnsi" w:hAnsi="Calibri"/>
          <w:sz w:val="22"/>
          <w:szCs w:val="22"/>
          <w:lang w:eastAsia="en-US"/>
        </w:rPr>
        <w:t xml:space="preserve">  am 16.12</w:t>
      </w:r>
      <w:r w:rsidRPr="00996D22">
        <w:rPr>
          <w:rFonts w:ascii="Calibri" w:eastAsiaTheme="minorHAnsi" w:hAnsi="Calibri"/>
          <w:sz w:val="22"/>
          <w:szCs w:val="22"/>
          <w:lang w:eastAsia="en-US"/>
        </w:rPr>
        <w:t>.2016 die</w:t>
      </w:r>
      <w:r w:rsidR="005D13BA">
        <w:rPr>
          <w:rFonts w:ascii="Calibri" w:eastAsiaTheme="minorHAnsi" w:hAnsi="Calibri"/>
          <w:sz w:val="22"/>
          <w:szCs w:val="22"/>
          <w:lang w:eastAsia="en-US"/>
        </w:rPr>
        <w:t xml:space="preserve"> Salzlandsparkasse zu Schadensersatz und </w:t>
      </w:r>
      <w:r w:rsidRPr="00996D22">
        <w:rPr>
          <w:rFonts w:ascii="Calibri" w:eastAsiaTheme="minorHAnsi" w:hAnsi="Calibri"/>
          <w:sz w:val="22"/>
          <w:szCs w:val="22"/>
          <w:lang w:eastAsia="en-US"/>
        </w:rPr>
        <w:t xml:space="preserve">Rückabwicklung der Beteiligung verurteilt </w:t>
      </w:r>
    </w:p>
    <w:p w:rsidR="00996D22" w:rsidRPr="00996D22" w:rsidRDefault="00996D22" w:rsidP="00996D22">
      <w:pPr>
        <w:rPr>
          <w:rFonts w:ascii="Calibri" w:eastAsiaTheme="minorHAnsi" w:hAnsi="Calibri"/>
          <w:sz w:val="22"/>
          <w:szCs w:val="22"/>
          <w:lang w:eastAsia="en-US"/>
        </w:rPr>
      </w:pPr>
      <w:r w:rsidRPr="00996D22">
        <w:rPr>
          <w:rFonts w:ascii="Calibri" w:eastAsiaTheme="minorHAnsi" w:hAnsi="Calibri"/>
          <w:sz w:val="22"/>
          <w:szCs w:val="22"/>
          <w:lang w:eastAsia="en-US"/>
        </w:rPr>
        <w:t>(Az.:</w:t>
      </w:r>
      <w:r w:rsidR="00FB56A5">
        <w:rPr>
          <w:rFonts w:ascii="Calibri" w:eastAsiaTheme="minorHAnsi" w:hAnsi="Calibri"/>
          <w:sz w:val="22"/>
          <w:szCs w:val="22"/>
          <w:lang w:eastAsia="en-US"/>
        </w:rPr>
        <w:t xml:space="preserve"> 11 O 772/16</w:t>
      </w:r>
      <w:r w:rsidRPr="00996D22">
        <w:rPr>
          <w:rFonts w:ascii="Calibri" w:eastAsiaTheme="minorHAnsi" w:hAnsi="Calibri"/>
          <w:sz w:val="22"/>
          <w:szCs w:val="22"/>
          <w:lang w:eastAsia="en-US"/>
        </w:rPr>
        <w:t>).</w:t>
      </w:r>
    </w:p>
    <w:p w:rsidR="00996D22" w:rsidRPr="00996D22" w:rsidRDefault="00996D22" w:rsidP="00996D22">
      <w:pPr>
        <w:rPr>
          <w:rFonts w:ascii="Calibri" w:eastAsiaTheme="minorHAnsi" w:hAnsi="Calibri"/>
          <w:sz w:val="22"/>
          <w:szCs w:val="22"/>
          <w:lang w:eastAsia="en-US"/>
        </w:rPr>
      </w:pPr>
    </w:p>
    <w:p w:rsidR="00996D22" w:rsidRDefault="0018147B" w:rsidP="00996D22">
      <w:pPr>
        <w:rPr>
          <w:rFonts w:ascii="Calibri" w:eastAsiaTheme="minorHAnsi" w:hAnsi="Calibri"/>
          <w:b/>
          <w:sz w:val="22"/>
          <w:szCs w:val="22"/>
          <w:lang w:eastAsia="en-US"/>
        </w:rPr>
      </w:pPr>
      <w:r>
        <w:rPr>
          <w:rFonts w:ascii="Calibri" w:eastAsiaTheme="minorHAnsi" w:hAnsi="Calibri"/>
          <w:b/>
          <w:sz w:val="22"/>
          <w:szCs w:val="22"/>
          <w:lang w:eastAsia="en-US"/>
        </w:rPr>
        <w:t xml:space="preserve">Salzlandsparkasse erhält </w:t>
      </w:r>
      <w:r w:rsidR="00372227">
        <w:rPr>
          <w:rFonts w:ascii="Calibri" w:eastAsiaTheme="minorHAnsi" w:hAnsi="Calibri"/>
          <w:b/>
          <w:sz w:val="22"/>
          <w:szCs w:val="22"/>
          <w:lang w:eastAsia="en-US"/>
        </w:rPr>
        <w:t xml:space="preserve">für Vermittlung des Fonds weit  </w:t>
      </w:r>
      <w:r>
        <w:rPr>
          <w:rFonts w:ascii="Calibri" w:eastAsiaTheme="minorHAnsi" w:hAnsi="Calibri"/>
          <w:b/>
          <w:sz w:val="22"/>
          <w:szCs w:val="22"/>
          <w:lang w:eastAsia="en-US"/>
        </w:rPr>
        <w:t xml:space="preserve">über 15 % </w:t>
      </w:r>
      <w:r w:rsidR="00372227">
        <w:rPr>
          <w:rFonts w:ascii="Calibri" w:eastAsiaTheme="minorHAnsi" w:hAnsi="Calibri"/>
          <w:b/>
          <w:sz w:val="22"/>
          <w:szCs w:val="22"/>
          <w:lang w:eastAsia="en-US"/>
        </w:rPr>
        <w:t>Provisionen</w:t>
      </w:r>
    </w:p>
    <w:p w:rsidR="0018147B" w:rsidRPr="00996D22" w:rsidRDefault="0018147B" w:rsidP="00996D22">
      <w:pPr>
        <w:rPr>
          <w:rFonts w:ascii="Calibri" w:eastAsiaTheme="minorHAnsi" w:hAnsi="Calibri"/>
          <w:sz w:val="22"/>
          <w:szCs w:val="22"/>
          <w:lang w:eastAsia="en-US"/>
        </w:rPr>
      </w:pPr>
    </w:p>
    <w:p w:rsidR="007629F0" w:rsidRDefault="00996D22" w:rsidP="00996D22">
      <w:pPr>
        <w:rPr>
          <w:rFonts w:ascii="Calibri" w:eastAsiaTheme="minorHAnsi" w:hAnsi="Calibri"/>
          <w:sz w:val="22"/>
          <w:szCs w:val="22"/>
          <w:lang w:eastAsia="en-US"/>
        </w:rPr>
      </w:pPr>
      <w:r w:rsidRPr="00996D22">
        <w:rPr>
          <w:rFonts w:ascii="Calibri" w:eastAsiaTheme="minorHAnsi" w:hAnsi="Calibri"/>
          <w:sz w:val="22"/>
          <w:szCs w:val="22"/>
          <w:lang w:eastAsia="en-US"/>
        </w:rPr>
        <w:t>Die</w:t>
      </w:r>
      <w:r w:rsidR="00372227">
        <w:rPr>
          <w:rFonts w:ascii="Calibri" w:eastAsiaTheme="minorHAnsi" w:hAnsi="Calibri"/>
          <w:sz w:val="22"/>
          <w:szCs w:val="22"/>
          <w:lang w:eastAsia="en-US"/>
        </w:rPr>
        <w:t xml:space="preserve"> beklagte Salzlandsparkasse </w:t>
      </w:r>
      <w:r w:rsidRPr="00996D22">
        <w:rPr>
          <w:rFonts w:ascii="Calibri" w:eastAsiaTheme="minorHAnsi" w:hAnsi="Calibri"/>
          <w:sz w:val="22"/>
          <w:szCs w:val="22"/>
          <w:lang w:eastAsia="en-US"/>
        </w:rPr>
        <w:t xml:space="preserve">hatte </w:t>
      </w:r>
      <w:r w:rsidR="007629F0">
        <w:rPr>
          <w:rFonts w:ascii="Calibri" w:eastAsiaTheme="minorHAnsi" w:hAnsi="Calibri"/>
          <w:sz w:val="22"/>
          <w:szCs w:val="22"/>
          <w:lang w:eastAsia="en-US"/>
        </w:rPr>
        <w:t xml:space="preserve">im Jahr 2006 den laut Anlegerprofilblatt als „konservativ“ eingestuften Klägern Anteile an dem geschlossenen Schiffsfonds HCI Shipping Select XVII verkauft und </w:t>
      </w:r>
      <w:r w:rsidR="00372227">
        <w:rPr>
          <w:rFonts w:ascii="Calibri" w:eastAsiaTheme="minorHAnsi" w:hAnsi="Calibri"/>
          <w:sz w:val="22"/>
          <w:szCs w:val="22"/>
          <w:lang w:eastAsia="en-US"/>
        </w:rPr>
        <w:t xml:space="preserve">hier </w:t>
      </w:r>
      <w:r w:rsidR="005948F8">
        <w:rPr>
          <w:rFonts w:ascii="Calibri" w:eastAsiaTheme="minorHAnsi" w:hAnsi="Calibri"/>
          <w:sz w:val="22"/>
          <w:szCs w:val="22"/>
          <w:lang w:eastAsia="en-US"/>
        </w:rPr>
        <w:t xml:space="preserve">für die Vermittlung </w:t>
      </w:r>
      <w:r w:rsidR="00372227">
        <w:rPr>
          <w:rFonts w:ascii="Calibri" w:eastAsiaTheme="minorHAnsi" w:hAnsi="Calibri"/>
          <w:sz w:val="22"/>
          <w:szCs w:val="22"/>
          <w:lang w:eastAsia="en-US"/>
        </w:rPr>
        <w:t xml:space="preserve">eine weit über das Agio in Höhe von 5 % </w:t>
      </w:r>
      <w:r w:rsidR="00F76740">
        <w:rPr>
          <w:rFonts w:ascii="Calibri" w:eastAsiaTheme="minorHAnsi" w:hAnsi="Calibri"/>
          <w:sz w:val="22"/>
          <w:szCs w:val="22"/>
          <w:lang w:eastAsia="en-US"/>
        </w:rPr>
        <w:t>hinausgehende</w:t>
      </w:r>
      <w:r w:rsidR="00372227">
        <w:rPr>
          <w:rFonts w:ascii="Calibri" w:eastAsiaTheme="minorHAnsi" w:hAnsi="Calibri"/>
          <w:sz w:val="22"/>
          <w:szCs w:val="22"/>
          <w:lang w:eastAsia="en-US"/>
        </w:rPr>
        <w:t xml:space="preserve"> Rückvergütung von den</w:t>
      </w:r>
      <w:r w:rsidR="005948F8">
        <w:rPr>
          <w:rFonts w:ascii="Calibri" w:eastAsiaTheme="minorHAnsi" w:hAnsi="Calibri"/>
          <w:sz w:val="22"/>
          <w:szCs w:val="22"/>
          <w:lang w:eastAsia="en-US"/>
        </w:rPr>
        <w:t xml:space="preserve"> Fondsgesellschaft</w:t>
      </w:r>
      <w:r w:rsidR="00372227">
        <w:rPr>
          <w:rFonts w:ascii="Calibri" w:eastAsiaTheme="minorHAnsi" w:hAnsi="Calibri"/>
          <w:sz w:val="22"/>
          <w:szCs w:val="22"/>
          <w:lang w:eastAsia="en-US"/>
        </w:rPr>
        <w:t xml:space="preserve">en </w:t>
      </w:r>
      <w:r w:rsidR="005948F8">
        <w:rPr>
          <w:rFonts w:ascii="Calibri" w:eastAsiaTheme="minorHAnsi" w:hAnsi="Calibri"/>
          <w:sz w:val="22"/>
          <w:szCs w:val="22"/>
          <w:lang w:eastAsia="en-US"/>
        </w:rPr>
        <w:t xml:space="preserve"> erhalten. </w:t>
      </w:r>
      <w:r w:rsidR="00372227">
        <w:rPr>
          <w:rFonts w:ascii="Calibri" w:eastAsiaTheme="minorHAnsi" w:hAnsi="Calibri"/>
          <w:sz w:val="22"/>
          <w:szCs w:val="22"/>
          <w:lang w:eastAsia="en-US"/>
        </w:rPr>
        <w:t xml:space="preserve"> Im vorliegenden Fall betrug die Gesamthöhe der seitens der beklagten Bank für die Vermittlung generierten </w:t>
      </w:r>
      <w:r w:rsidR="00F76740">
        <w:rPr>
          <w:rFonts w:ascii="Calibri" w:eastAsiaTheme="minorHAnsi" w:hAnsi="Calibri"/>
          <w:sz w:val="22"/>
          <w:szCs w:val="22"/>
          <w:lang w:eastAsia="en-US"/>
        </w:rPr>
        <w:t xml:space="preserve">Provisionen </w:t>
      </w:r>
      <w:r w:rsidR="00372227">
        <w:rPr>
          <w:rFonts w:ascii="Calibri" w:eastAsiaTheme="minorHAnsi" w:hAnsi="Calibri"/>
          <w:sz w:val="22"/>
          <w:szCs w:val="22"/>
          <w:lang w:eastAsia="en-US"/>
        </w:rPr>
        <w:t xml:space="preserve"> 24 % und lag damit weit über der eine Aufklärungsplicht nach sich ziehenden </w:t>
      </w:r>
      <w:r w:rsidR="00F76740">
        <w:rPr>
          <w:rFonts w:ascii="Calibri" w:eastAsiaTheme="minorHAnsi" w:hAnsi="Calibri"/>
          <w:sz w:val="22"/>
          <w:szCs w:val="22"/>
          <w:lang w:eastAsia="en-US"/>
        </w:rPr>
        <w:t xml:space="preserve">Grenze </w:t>
      </w:r>
      <w:r w:rsidR="00372227">
        <w:rPr>
          <w:rFonts w:ascii="Calibri" w:eastAsiaTheme="minorHAnsi" w:hAnsi="Calibri"/>
          <w:sz w:val="22"/>
          <w:szCs w:val="22"/>
          <w:lang w:eastAsia="en-US"/>
        </w:rPr>
        <w:t xml:space="preserve">in Höhe von </w:t>
      </w:r>
    </w:p>
    <w:p w:rsidR="00996D22" w:rsidRPr="00996D22" w:rsidRDefault="00372227" w:rsidP="00996D22">
      <w:pPr>
        <w:rPr>
          <w:rFonts w:ascii="Calibri" w:eastAsiaTheme="minorHAnsi" w:hAnsi="Calibri"/>
          <w:sz w:val="22"/>
          <w:szCs w:val="22"/>
          <w:lang w:eastAsia="en-US"/>
        </w:rPr>
      </w:pPr>
      <w:r>
        <w:rPr>
          <w:rFonts w:ascii="Calibri" w:eastAsiaTheme="minorHAnsi" w:hAnsi="Calibri"/>
          <w:sz w:val="22"/>
          <w:szCs w:val="22"/>
          <w:lang w:eastAsia="en-US"/>
        </w:rPr>
        <w:t>15 %.</w:t>
      </w:r>
    </w:p>
    <w:p w:rsidR="00996D22" w:rsidRPr="00996D22" w:rsidRDefault="00996D22" w:rsidP="00996D22">
      <w:pPr>
        <w:rPr>
          <w:rFonts w:ascii="Calibri" w:eastAsiaTheme="minorHAnsi" w:hAnsi="Calibri"/>
          <w:sz w:val="22"/>
          <w:szCs w:val="22"/>
          <w:lang w:eastAsia="en-US"/>
        </w:rPr>
      </w:pPr>
    </w:p>
    <w:p w:rsidR="00F76740" w:rsidRDefault="00F76740" w:rsidP="00996D22">
      <w:pPr>
        <w:rPr>
          <w:rFonts w:ascii="Calibri" w:eastAsiaTheme="minorHAnsi" w:hAnsi="Calibri"/>
          <w:b/>
          <w:sz w:val="22"/>
          <w:szCs w:val="22"/>
          <w:lang w:eastAsia="en-US"/>
        </w:rPr>
      </w:pPr>
      <w:r>
        <w:rPr>
          <w:rFonts w:ascii="Calibri" w:eastAsiaTheme="minorHAnsi" w:hAnsi="Calibri"/>
          <w:b/>
          <w:sz w:val="22"/>
          <w:szCs w:val="22"/>
          <w:lang w:eastAsia="en-US"/>
        </w:rPr>
        <w:t xml:space="preserve">Landgericht Magdeburg: Schiffsfonds für Altersvorsorge generell ungeeignet </w:t>
      </w:r>
    </w:p>
    <w:p w:rsidR="00F76740" w:rsidRPr="00F76740" w:rsidRDefault="00F76740" w:rsidP="00996D22">
      <w:pPr>
        <w:rPr>
          <w:rFonts w:ascii="Calibri" w:eastAsiaTheme="minorHAnsi" w:hAnsi="Calibri"/>
          <w:b/>
          <w:sz w:val="22"/>
          <w:szCs w:val="22"/>
          <w:lang w:eastAsia="en-US"/>
        </w:rPr>
      </w:pPr>
    </w:p>
    <w:p w:rsidR="00996D22" w:rsidRDefault="00F76740" w:rsidP="00996D22">
      <w:pPr>
        <w:rPr>
          <w:rFonts w:ascii="Calibri" w:eastAsiaTheme="minorHAnsi" w:hAnsi="Calibri"/>
          <w:sz w:val="22"/>
          <w:szCs w:val="22"/>
          <w:lang w:eastAsia="en-US"/>
        </w:rPr>
      </w:pPr>
      <w:r>
        <w:rPr>
          <w:rFonts w:ascii="Calibri" w:eastAsiaTheme="minorHAnsi" w:hAnsi="Calibri"/>
          <w:sz w:val="22"/>
          <w:szCs w:val="22"/>
          <w:lang w:eastAsia="en-US"/>
        </w:rPr>
        <w:t xml:space="preserve">Das Landgericht Magdeburg stellt in dessen Entscheidungsgründen fest, dass bereits in der Andienung eines geschlossenen Schiffsfonds an die nachweislich konservative </w:t>
      </w:r>
      <w:r w:rsidR="007629F0">
        <w:rPr>
          <w:rFonts w:ascii="Calibri" w:eastAsiaTheme="minorHAnsi" w:hAnsi="Calibri"/>
          <w:sz w:val="22"/>
          <w:szCs w:val="22"/>
          <w:lang w:eastAsia="en-US"/>
        </w:rPr>
        <w:t xml:space="preserve">und sicherheitsorientierte </w:t>
      </w:r>
      <w:r>
        <w:rPr>
          <w:rFonts w:ascii="Calibri" w:eastAsiaTheme="minorHAnsi" w:hAnsi="Calibri"/>
          <w:sz w:val="22"/>
          <w:szCs w:val="22"/>
          <w:lang w:eastAsia="en-US"/>
        </w:rPr>
        <w:t xml:space="preserve">Anlageziele verfolgenden Kläger eine Falschberatung </w:t>
      </w:r>
      <w:r w:rsidR="00874546">
        <w:rPr>
          <w:rFonts w:ascii="Calibri" w:eastAsiaTheme="minorHAnsi" w:hAnsi="Calibri"/>
          <w:sz w:val="22"/>
          <w:szCs w:val="22"/>
          <w:lang w:eastAsia="en-US"/>
        </w:rPr>
        <w:t xml:space="preserve">der beklagten Sparkasse </w:t>
      </w:r>
      <w:r>
        <w:rPr>
          <w:rFonts w:ascii="Calibri" w:eastAsiaTheme="minorHAnsi" w:hAnsi="Calibri"/>
          <w:sz w:val="22"/>
          <w:szCs w:val="22"/>
          <w:lang w:eastAsia="en-US"/>
        </w:rPr>
        <w:t xml:space="preserve">zu sehen sei.  Weiter führt das Gericht aus: „Schiffsfonds sind lediglich für Anleger geeignet, die erhebliche Erfahrungen mit derartigen Beteiligungen haben und bereit sind, die besonderen Risiken, die mit Schiffsfonds verbunden sind, einzugehen. Die </w:t>
      </w:r>
      <w:r w:rsidR="00874546">
        <w:rPr>
          <w:rFonts w:ascii="Calibri" w:eastAsiaTheme="minorHAnsi" w:hAnsi="Calibri"/>
          <w:sz w:val="22"/>
          <w:szCs w:val="22"/>
          <w:lang w:eastAsia="en-US"/>
        </w:rPr>
        <w:t>geschlossenen Schiffsfonds sind zur Altersvorsorge generell ungeeignet, weil es sich um hochspekulative Anlagen handelt, die mit sehr hohen Chancen, aber auch mit außerordentlichen Risiken, die vielfältige Ursachen haben können, verbunden sind.“</w:t>
      </w:r>
    </w:p>
    <w:p w:rsidR="00874546" w:rsidRPr="00996D22" w:rsidRDefault="00874546" w:rsidP="00996D22">
      <w:pPr>
        <w:rPr>
          <w:rFonts w:ascii="Calibri" w:eastAsiaTheme="minorHAnsi" w:hAnsi="Calibri"/>
          <w:sz w:val="22"/>
          <w:szCs w:val="22"/>
          <w:lang w:eastAsia="en-US"/>
        </w:rPr>
      </w:pPr>
    </w:p>
    <w:p w:rsidR="00996D22" w:rsidRDefault="007629F0" w:rsidP="00996D22">
      <w:pPr>
        <w:rPr>
          <w:rFonts w:ascii="Calibri" w:eastAsiaTheme="minorHAnsi" w:hAnsi="Calibri"/>
          <w:b/>
          <w:sz w:val="22"/>
          <w:szCs w:val="22"/>
          <w:lang w:eastAsia="en-US"/>
        </w:rPr>
      </w:pPr>
      <w:r>
        <w:rPr>
          <w:rFonts w:ascii="Calibri" w:eastAsiaTheme="minorHAnsi" w:hAnsi="Calibri"/>
          <w:b/>
          <w:sz w:val="22"/>
          <w:szCs w:val="22"/>
          <w:lang w:eastAsia="en-US"/>
        </w:rPr>
        <w:t xml:space="preserve">Landgericht Magdeburg: </w:t>
      </w:r>
      <w:r w:rsidR="003B747A">
        <w:rPr>
          <w:rFonts w:ascii="Calibri" w:eastAsiaTheme="minorHAnsi" w:hAnsi="Calibri"/>
          <w:b/>
          <w:sz w:val="22"/>
          <w:szCs w:val="22"/>
          <w:lang w:eastAsia="en-US"/>
        </w:rPr>
        <w:t xml:space="preserve">Keine anlagegerechte Beratung im Hinblick auf </w:t>
      </w:r>
      <w:r w:rsidR="009B3029">
        <w:rPr>
          <w:rFonts w:ascii="Calibri" w:eastAsiaTheme="minorHAnsi" w:hAnsi="Calibri"/>
          <w:b/>
          <w:sz w:val="22"/>
          <w:szCs w:val="22"/>
          <w:lang w:eastAsia="en-US"/>
        </w:rPr>
        <w:t>Provisionen</w:t>
      </w:r>
    </w:p>
    <w:p w:rsidR="003B747A" w:rsidRPr="00996D22" w:rsidRDefault="003B747A" w:rsidP="00996D22">
      <w:pPr>
        <w:rPr>
          <w:rFonts w:ascii="Calibri" w:eastAsiaTheme="minorHAnsi" w:hAnsi="Calibri"/>
          <w:sz w:val="22"/>
          <w:szCs w:val="22"/>
          <w:lang w:eastAsia="en-US"/>
        </w:rPr>
      </w:pPr>
    </w:p>
    <w:p w:rsidR="00996D22" w:rsidRDefault="003B747A" w:rsidP="00996D22">
      <w:pPr>
        <w:rPr>
          <w:rFonts w:ascii="Calibri" w:eastAsiaTheme="minorHAnsi" w:hAnsi="Calibri"/>
          <w:sz w:val="22"/>
          <w:szCs w:val="22"/>
          <w:lang w:eastAsia="en-US"/>
        </w:rPr>
      </w:pPr>
      <w:r>
        <w:rPr>
          <w:rFonts w:ascii="Calibri" w:eastAsiaTheme="minorHAnsi" w:hAnsi="Calibri"/>
          <w:sz w:val="22"/>
          <w:szCs w:val="22"/>
          <w:lang w:eastAsia="en-US"/>
        </w:rPr>
        <w:t>Auch im Hinblick auf die an die beklagte Sparkasse ausgekehrten Provisionen moniert das Landgericht die nicht stattgefundene anlagegerechte Beratung. Den Entscheidungsgründe</w:t>
      </w:r>
      <w:r w:rsidR="00FF588B">
        <w:rPr>
          <w:rFonts w:ascii="Calibri" w:eastAsiaTheme="minorHAnsi" w:hAnsi="Calibri"/>
          <w:sz w:val="22"/>
          <w:szCs w:val="22"/>
          <w:lang w:eastAsia="en-US"/>
        </w:rPr>
        <w:t>n</w:t>
      </w:r>
      <w:r>
        <w:rPr>
          <w:rFonts w:ascii="Calibri" w:eastAsiaTheme="minorHAnsi" w:hAnsi="Calibri"/>
          <w:sz w:val="22"/>
          <w:szCs w:val="22"/>
          <w:lang w:eastAsia="en-US"/>
        </w:rPr>
        <w:t xml:space="preserve"> zufolge oblag der Bank im Rahmen einer objektiven Beratung die Pflicht, die Kläger unaufgefordert über Betriebsprovisionen aufzuklären, wenn diese eine Größenordnung von 15 % des von den Anlegern einzubringenden Kapitals überschreiten.</w:t>
      </w:r>
    </w:p>
    <w:p w:rsidR="003B747A" w:rsidRDefault="00FF588B" w:rsidP="00996D22">
      <w:pPr>
        <w:rPr>
          <w:rFonts w:ascii="Calibri" w:eastAsiaTheme="minorHAnsi" w:hAnsi="Calibri"/>
          <w:sz w:val="22"/>
          <w:szCs w:val="22"/>
          <w:lang w:eastAsia="en-US"/>
        </w:rPr>
      </w:pPr>
      <w:r>
        <w:rPr>
          <w:rFonts w:ascii="Calibri" w:eastAsiaTheme="minorHAnsi" w:hAnsi="Calibri"/>
          <w:sz w:val="22"/>
          <w:szCs w:val="22"/>
          <w:lang w:eastAsia="en-US"/>
        </w:rPr>
        <w:t xml:space="preserve">Hier war </w:t>
      </w:r>
      <w:r w:rsidR="003B747A">
        <w:rPr>
          <w:rFonts w:ascii="Calibri" w:eastAsiaTheme="minorHAnsi" w:hAnsi="Calibri"/>
          <w:sz w:val="22"/>
          <w:szCs w:val="22"/>
          <w:lang w:eastAsia="en-US"/>
        </w:rPr>
        <w:t xml:space="preserve">die beklagte Sparkasse dem Klägervortrag, wonach </w:t>
      </w:r>
      <w:r>
        <w:rPr>
          <w:rFonts w:ascii="Calibri" w:eastAsiaTheme="minorHAnsi" w:hAnsi="Calibri"/>
          <w:sz w:val="22"/>
          <w:szCs w:val="22"/>
          <w:lang w:eastAsia="en-US"/>
        </w:rPr>
        <w:t>die Sparkasse über das Agio in Höhe von 5 % hinausgehende Provision bzw. Rückvergütungen in einer Größenordnung von 24 % vereinnahmt habe, nicht entgegen getreten. Somit  stand nach Durchführung der Beweisaufnahme zur Überzeugung des Gerichts fest, dass die Sparkasse die Kläger lediglich über das Agio, nicht jedoch über die „konkrete Höhe aller der Beklagten aus Anlass des Geschäfts umsatzabhängig zufließenden Provisionen“ informiert habe.</w:t>
      </w:r>
    </w:p>
    <w:p w:rsidR="003B747A" w:rsidRPr="00996D22" w:rsidRDefault="003B747A" w:rsidP="00996D22">
      <w:pPr>
        <w:rPr>
          <w:rFonts w:ascii="Calibri" w:eastAsiaTheme="minorHAnsi" w:hAnsi="Calibri"/>
          <w:sz w:val="22"/>
          <w:szCs w:val="22"/>
          <w:lang w:eastAsia="en-US"/>
        </w:rPr>
      </w:pPr>
    </w:p>
    <w:p w:rsidR="00996D22" w:rsidRPr="00996D22" w:rsidRDefault="00996D22" w:rsidP="00996D22">
      <w:pPr>
        <w:rPr>
          <w:rFonts w:ascii="Calibri" w:eastAsiaTheme="minorHAnsi" w:hAnsi="Calibri"/>
          <w:sz w:val="22"/>
          <w:szCs w:val="22"/>
          <w:lang w:eastAsia="en-US"/>
        </w:rPr>
      </w:pPr>
      <w:r w:rsidRPr="00996D22">
        <w:rPr>
          <w:rFonts w:ascii="Calibri" w:eastAsiaTheme="minorHAnsi" w:hAnsi="Calibri"/>
          <w:sz w:val="22"/>
          <w:szCs w:val="22"/>
          <w:lang w:eastAsia="en-US"/>
        </w:rPr>
        <w:lastRenderedPageBreak/>
        <w:t>Das Urteil ist noch nicht rechtskräftig.</w:t>
      </w:r>
    </w:p>
    <w:p w:rsidR="00996D22" w:rsidRPr="00996D22" w:rsidRDefault="00996D22" w:rsidP="00996D22">
      <w:pPr>
        <w:rPr>
          <w:rFonts w:ascii="Calibri" w:eastAsiaTheme="minorHAnsi" w:hAnsi="Calibri"/>
          <w:sz w:val="22"/>
          <w:szCs w:val="22"/>
          <w:lang w:eastAsia="en-US"/>
        </w:rPr>
      </w:pPr>
    </w:p>
    <w:p w:rsidR="00996D22" w:rsidRDefault="00996D22" w:rsidP="00996D22">
      <w:pPr>
        <w:rPr>
          <w:rFonts w:ascii="Calibri" w:eastAsiaTheme="minorHAnsi" w:hAnsi="Calibri"/>
          <w:sz w:val="22"/>
          <w:szCs w:val="22"/>
          <w:lang w:eastAsia="en-US"/>
        </w:rPr>
      </w:pPr>
    </w:p>
    <w:p w:rsidR="00996D22" w:rsidRPr="00996D22" w:rsidRDefault="00996D22" w:rsidP="00996D22">
      <w:pPr>
        <w:rPr>
          <w:rFonts w:ascii="Calibri" w:eastAsiaTheme="minorHAnsi" w:hAnsi="Calibri"/>
          <w:b/>
          <w:sz w:val="22"/>
          <w:szCs w:val="22"/>
          <w:lang w:eastAsia="en-US"/>
        </w:rPr>
      </w:pPr>
      <w:r w:rsidRPr="00996D22">
        <w:rPr>
          <w:rFonts w:ascii="Calibri" w:eastAsiaTheme="minorHAnsi" w:hAnsi="Calibri"/>
          <w:b/>
          <w:sz w:val="22"/>
          <w:szCs w:val="22"/>
          <w:lang w:eastAsia="en-US"/>
        </w:rPr>
        <w:t xml:space="preserve">Fazit: </w:t>
      </w:r>
      <w:r w:rsidR="009B3029">
        <w:rPr>
          <w:rFonts w:ascii="Calibri" w:eastAsiaTheme="minorHAnsi" w:hAnsi="Calibri"/>
          <w:b/>
          <w:sz w:val="22"/>
          <w:szCs w:val="22"/>
          <w:lang w:eastAsia="en-US"/>
        </w:rPr>
        <w:t>Provisionshöhe und Ungeeignetheit zur Altersvorsorge stechen hervor</w:t>
      </w:r>
    </w:p>
    <w:p w:rsidR="00996D22" w:rsidRPr="00996D22" w:rsidRDefault="00996D22" w:rsidP="00996D22">
      <w:pPr>
        <w:rPr>
          <w:rFonts w:ascii="Calibri" w:eastAsiaTheme="minorHAnsi" w:hAnsi="Calibri"/>
          <w:sz w:val="22"/>
          <w:szCs w:val="22"/>
          <w:lang w:eastAsia="en-US"/>
        </w:rPr>
      </w:pPr>
    </w:p>
    <w:p w:rsidR="00FF588B" w:rsidRDefault="00996D22" w:rsidP="00996D22">
      <w:pPr>
        <w:rPr>
          <w:rFonts w:ascii="Calibri" w:eastAsiaTheme="minorHAnsi" w:hAnsi="Calibri"/>
          <w:sz w:val="22"/>
          <w:szCs w:val="22"/>
          <w:lang w:eastAsia="en-US"/>
        </w:rPr>
      </w:pPr>
      <w:r w:rsidRPr="00996D22">
        <w:rPr>
          <w:rFonts w:ascii="Calibri" w:eastAsiaTheme="minorHAnsi" w:hAnsi="Calibri"/>
          <w:sz w:val="22"/>
          <w:szCs w:val="22"/>
          <w:lang w:eastAsia="en-US"/>
        </w:rPr>
        <w:t xml:space="preserve">Das seitens der Kanzlei Aslanidis, Kress &amp; Häcker-Hollmann erstrittene Urteil stärkt erneut die Position von Zeichnern geschlossener Fonds. </w:t>
      </w:r>
    </w:p>
    <w:p w:rsidR="009B3029" w:rsidRDefault="009B3029" w:rsidP="00996D22">
      <w:pPr>
        <w:rPr>
          <w:rFonts w:ascii="Calibri" w:eastAsiaTheme="minorHAnsi" w:hAnsi="Calibri"/>
          <w:sz w:val="22"/>
          <w:szCs w:val="22"/>
          <w:lang w:eastAsia="en-US"/>
        </w:rPr>
      </w:pPr>
    </w:p>
    <w:p w:rsidR="00FF588B" w:rsidRDefault="00FF588B" w:rsidP="00996D22">
      <w:pPr>
        <w:rPr>
          <w:rFonts w:ascii="Calibri" w:eastAsiaTheme="minorHAnsi" w:hAnsi="Calibri"/>
          <w:sz w:val="22"/>
          <w:szCs w:val="22"/>
          <w:lang w:eastAsia="en-US"/>
        </w:rPr>
      </w:pPr>
      <w:r>
        <w:rPr>
          <w:rFonts w:ascii="Calibri" w:eastAsiaTheme="minorHAnsi" w:hAnsi="Calibri"/>
          <w:sz w:val="22"/>
          <w:szCs w:val="22"/>
          <w:lang w:eastAsia="en-US"/>
        </w:rPr>
        <w:t xml:space="preserve">Interessant sind hier zum einen, die konkrete und hier unbestrittene Höhe der seitens der Sparkasse vereinnahmten Provisionen. </w:t>
      </w:r>
    </w:p>
    <w:p w:rsidR="00FF588B" w:rsidRDefault="00FF588B" w:rsidP="00996D22">
      <w:pPr>
        <w:rPr>
          <w:rFonts w:ascii="Calibri" w:eastAsiaTheme="minorHAnsi" w:hAnsi="Calibri"/>
          <w:sz w:val="22"/>
          <w:szCs w:val="22"/>
          <w:lang w:eastAsia="en-US"/>
        </w:rPr>
      </w:pPr>
      <w:r>
        <w:rPr>
          <w:rFonts w:ascii="Calibri" w:eastAsiaTheme="minorHAnsi" w:hAnsi="Calibri"/>
          <w:sz w:val="22"/>
          <w:szCs w:val="22"/>
          <w:lang w:eastAsia="en-US"/>
        </w:rPr>
        <w:t xml:space="preserve">Zum anderen ist hier der konkrete Hinweis des Landgerichts, wonach geschlossene Schiffsfonds aufgrund deren immanenten Risiken zur Altersvorsorge </w:t>
      </w:r>
      <w:r w:rsidR="009B3029">
        <w:rPr>
          <w:rFonts w:ascii="Calibri" w:eastAsiaTheme="minorHAnsi" w:hAnsi="Calibri"/>
          <w:sz w:val="22"/>
          <w:szCs w:val="22"/>
          <w:lang w:eastAsia="en-US"/>
        </w:rPr>
        <w:t xml:space="preserve"> gänzlich ungeeignet </w:t>
      </w:r>
      <w:r>
        <w:rPr>
          <w:rFonts w:ascii="Calibri" w:eastAsiaTheme="minorHAnsi" w:hAnsi="Calibri"/>
          <w:sz w:val="22"/>
          <w:szCs w:val="22"/>
          <w:lang w:eastAsia="en-US"/>
        </w:rPr>
        <w:t>sei</w:t>
      </w:r>
      <w:r w:rsidR="009B3029">
        <w:rPr>
          <w:rFonts w:ascii="Calibri" w:eastAsiaTheme="minorHAnsi" w:hAnsi="Calibri"/>
          <w:sz w:val="22"/>
          <w:szCs w:val="22"/>
          <w:lang w:eastAsia="en-US"/>
        </w:rPr>
        <w:t>en</w:t>
      </w:r>
      <w:r>
        <w:rPr>
          <w:rFonts w:ascii="Calibri" w:eastAsiaTheme="minorHAnsi" w:hAnsi="Calibri"/>
          <w:sz w:val="22"/>
          <w:szCs w:val="22"/>
          <w:lang w:eastAsia="en-US"/>
        </w:rPr>
        <w:t>, hervorzuheben.</w:t>
      </w:r>
    </w:p>
    <w:p w:rsidR="00FF588B" w:rsidRDefault="00FF588B" w:rsidP="00996D22">
      <w:pPr>
        <w:rPr>
          <w:rFonts w:ascii="Calibri" w:eastAsiaTheme="minorHAnsi" w:hAnsi="Calibri"/>
          <w:sz w:val="22"/>
          <w:szCs w:val="22"/>
          <w:lang w:eastAsia="en-US"/>
        </w:rPr>
      </w:pPr>
    </w:p>
    <w:p w:rsidR="00996D22" w:rsidRPr="00996D22" w:rsidRDefault="009B3029" w:rsidP="00996D22">
      <w:pPr>
        <w:rPr>
          <w:rFonts w:ascii="Calibri" w:eastAsiaTheme="minorHAnsi" w:hAnsi="Calibri"/>
          <w:sz w:val="22"/>
          <w:szCs w:val="22"/>
          <w:lang w:eastAsia="en-US"/>
        </w:rPr>
      </w:pPr>
      <w:r>
        <w:rPr>
          <w:rFonts w:ascii="Calibri" w:eastAsiaTheme="minorHAnsi" w:hAnsi="Calibri"/>
          <w:sz w:val="22"/>
          <w:szCs w:val="22"/>
          <w:lang w:eastAsia="en-US"/>
        </w:rPr>
        <w:t xml:space="preserve">Anleger geschlossener Fonds </w:t>
      </w:r>
      <w:r w:rsidR="00996D22" w:rsidRPr="00996D22">
        <w:rPr>
          <w:rFonts w:ascii="Calibri" w:eastAsiaTheme="minorHAnsi" w:hAnsi="Calibri"/>
          <w:sz w:val="22"/>
          <w:szCs w:val="22"/>
          <w:lang w:eastAsia="en-US"/>
        </w:rPr>
        <w:t>haben nun die Möglichkeit, durch ein Vorgehen gegen die vermittelnden Banken und Sparkassen eine Rückabwicklung der riskanten Kapitalanlage durchzusetzen.</w:t>
      </w:r>
    </w:p>
    <w:p w:rsidR="008B409C" w:rsidRPr="00D0219A" w:rsidRDefault="008B409C" w:rsidP="008B409C">
      <w:pPr>
        <w:rPr>
          <w:b/>
        </w:rPr>
      </w:pPr>
    </w:p>
    <w:p w:rsidR="008B409C" w:rsidRPr="00D0219A" w:rsidRDefault="008B409C" w:rsidP="008B409C">
      <w:bookmarkStart w:id="0" w:name="_GoBack"/>
      <w:bookmarkEnd w:id="0"/>
    </w:p>
    <w:p w:rsidR="008B409C" w:rsidRPr="00D0219A" w:rsidRDefault="008B409C" w:rsidP="008B409C">
      <w:r w:rsidRPr="00D0219A">
        <w:t>_______________________________________________</w:t>
      </w:r>
    </w:p>
    <w:p w:rsidR="008B409C" w:rsidRPr="00D0219A" w:rsidRDefault="008B409C" w:rsidP="008B409C">
      <w:pPr>
        <w:rPr>
          <w:b/>
        </w:rPr>
      </w:pPr>
      <w:r w:rsidRPr="00D0219A">
        <w:rPr>
          <w:b/>
        </w:rPr>
        <w:t>Pressekontakt:</w:t>
      </w:r>
    </w:p>
    <w:p w:rsidR="008B409C" w:rsidRPr="00D0219A" w:rsidRDefault="008B409C" w:rsidP="008B409C">
      <w:r w:rsidRPr="00D0219A">
        <w:t xml:space="preserve">RAin Nursel Özel </w:t>
      </w:r>
    </w:p>
    <w:p w:rsidR="008B409C" w:rsidRPr="00D0219A" w:rsidRDefault="008B409C" w:rsidP="008B409C">
      <w:r w:rsidRPr="00D0219A">
        <w:t>RA    Andreas Frank</w:t>
      </w:r>
    </w:p>
    <w:p w:rsidR="008B409C" w:rsidRPr="00D0219A" w:rsidRDefault="008B409C" w:rsidP="008B409C">
      <w:r w:rsidRPr="00D0219A">
        <w:t>Rechtsanwälte</w:t>
      </w:r>
    </w:p>
    <w:p w:rsidR="008B409C" w:rsidRPr="00D0219A" w:rsidRDefault="008B409C" w:rsidP="008B409C">
      <w:r w:rsidRPr="00D0219A">
        <w:t>Hänssler &amp; Häcker-Hollmann</w:t>
      </w:r>
    </w:p>
    <w:p w:rsidR="008B409C" w:rsidRPr="00D0219A" w:rsidRDefault="008B409C" w:rsidP="008B409C">
      <w:r w:rsidRPr="00D0219A">
        <w:t>Freihofstr. 6</w:t>
      </w:r>
    </w:p>
    <w:p w:rsidR="008B409C" w:rsidRPr="00D0219A" w:rsidRDefault="008B409C" w:rsidP="008B409C">
      <w:r w:rsidRPr="00D0219A">
        <w:t>73730 Esslingen</w:t>
      </w:r>
    </w:p>
    <w:p w:rsidR="008B409C" w:rsidRPr="00D0219A" w:rsidRDefault="009B3029" w:rsidP="008B409C">
      <w:hyperlink r:id="rId5" w:history="1">
        <w:r w:rsidR="008B409C" w:rsidRPr="00D0219A">
          <w:rPr>
            <w:rStyle w:val="Hyperlink"/>
          </w:rPr>
          <w:t>presse@hh-h.de</w:t>
        </w:r>
      </w:hyperlink>
      <w:r w:rsidR="008B409C" w:rsidRPr="00D0219A">
        <w:t xml:space="preserve"> </w:t>
      </w:r>
    </w:p>
    <w:p w:rsidR="008B409C" w:rsidRPr="00D0219A" w:rsidRDefault="008B409C" w:rsidP="008B409C"/>
    <w:p w:rsidR="008B409C" w:rsidRPr="00D0219A" w:rsidRDefault="008B409C" w:rsidP="008B409C"/>
    <w:p w:rsidR="008B409C" w:rsidRDefault="008B409C" w:rsidP="008B409C">
      <w:r w:rsidRPr="00D0219A">
        <w:t>Wir freuen uns über Ihre Rückmeldung, soweit Sie diese Pressemitteilung verwenden konnten.</w:t>
      </w:r>
    </w:p>
    <w:p w:rsidR="008B409C" w:rsidRDefault="008B409C" w:rsidP="008B409C"/>
    <w:p w:rsidR="00605916" w:rsidRDefault="00605916"/>
    <w:sectPr w:rsidR="00605916">
      <w:pgSz w:w="11906" w:h="16838"/>
      <w:pgMar w:top="45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wis721 Cn BT">
    <w:altName w:val="Arial Narrow"/>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9C"/>
    <w:rsid w:val="0018147B"/>
    <w:rsid w:val="00372227"/>
    <w:rsid w:val="003B747A"/>
    <w:rsid w:val="005948F8"/>
    <w:rsid w:val="005D13BA"/>
    <w:rsid w:val="00605916"/>
    <w:rsid w:val="007629F0"/>
    <w:rsid w:val="00874546"/>
    <w:rsid w:val="008B409C"/>
    <w:rsid w:val="00996D22"/>
    <w:rsid w:val="009B3029"/>
    <w:rsid w:val="00F76740"/>
    <w:rsid w:val="00FB56A5"/>
    <w:rsid w:val="00FF5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09C"/>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B409C"/>
    <w:rPr>
      <w:color w:val="0000FF"/>
      <w:u w:val="single"/>
    </w:rPr>
  </w:style>
  <w:style w:type="paragraph" w:styleId="Kopfzeile">
    <w:name w:val="header"/>
    <w:basedOn w:val="Standard"/>
    <w:link w:val="KopfzeileZchn"/>
    <w:rsid w:val="008B409C"/>
    <w:pPr>
      <w:tabs>
        <w:tab w:val="center" w:pos="4536"/>
        <w:tab w:val="right" w:pos="9072"/>
      </w:tabs>
    </w:pPr>
    <w:rPr>
      <w:szCs w:val="20"/>
    </w:rPr>
  </w:style>
  <w:style w:type="character" w:customStyle="1" w:styleId="KopfzeileZchn">
    <w:name w:val="Kopfzeile Zchn"/>
    <w:basedOn w:val="Absatz-Standardschriftart"/>
    <w:link w:val="Kopfzeile"/>
    <w:rsid w:val="008B409C"/>
    <w:rPr>
      <w:rFonts w:eastAsia="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09C"/>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B409C"/>
    <w:rPr>
      <w:color w:val="0000FF"/>
      <w:u w:val="single"/>
    </w:rPr>
  </w:style>
  <w:style w:type="paragraph" w:styleId="Kopfzeile">
    <w:name w:val="header"/>
    <w:basedOn w:val="Standard"/>
    <w:link w:val="KopfzeileZchn"/>
    <w:rsid w:val="008B409C"/>
    <w:pPr>
      <w:tabs>
        <w:tab w:val="center" w:pos="4536"/>
        <w:tab w:val="right" w:pos="9072"/>
      </w:tabs>
    </w:pPr>
    <w:rPr>
      <w:szCs w:val="20"/>
    </w:rPr>
  </w:style>
  <w:style w:type="character" w:customStyle="1" w:styleId="KopfzeileZchn">
    <w:name w:val="Kopfzeile Zchn"/>
    <w:basedOn w:val="Absatz-Standardschriftart"/>
    <w:link w:val="Kopfzeile"/>
    <w:rsid w:val="008B409C"/>
    <w:rPr>
      <w:rFonts w:eastAsia="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hh-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Andreas</dc:creator>
  <cp:lastModifiedBy>Frank, Andreas</cp:lastModifiedBy>
  <cp:revision>2</cp:revision>
  <dcterms:created xsi:type="dcterms:W3CDTF">2016-12-27T15:12:00Z</dcterms:created>
  <dcterms:modified xsi:type="dcterms:W3CDTF">2016-12-27T15:12:00Z</dcterms:modified>
</cp:coreProperties>
</file>